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the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w:t>
      </w:r>
      <w:r>
        <w:t xml:space="preserve"> </w:t>
      </w:r>
      <w:r>
        <w:rPr>
          <w:highlight w:val="yellow"/>
        </w:rPr>
        <w:t xml:space="preserve">case-template</w:t>
      </w:r>
      <w:r>
        <w:t xml:space="preserve"> </w:t>
      </w:r>
      <w:r>
        <w:t xml:space="preserve">strata (cross-model spread, disagreement metrics and typology-level rates), 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t xml:space="preserve"> </w:t>
      </w:r>
      <m:oMath>
        <m:r>
          <m:t>Q</m:t>
        </m:r>
        <m:r>
          <m:rPr>
            <m:sty m:val="p"/>
          </m:rPr>
          <m:t>=</m:t>
        </m:r>
        <m:r>
          <m:t>117.0</m:t>
        </m:r>
      </m:oMath>
      <w:r>
        <w:rPr>
          <w:highlight w:val="yellow"/>
        </w:rPr>
        <w:t xml:space="preserve">,</w:t>
      </w:r>
      <w:r>
        <w:t xml:space="preserve"> </w:t>
      </w:r>
      <m:oMath>
        <m:r>
          <m:rPr>
            <m:sty m:val="p"/>
          </m:rPr>
          <m:t>d</m:t>
        </m:r>
        <m:r>
          <m:rPr>
            <m:sty m:val="p"/>
          </m:rPr>
          <m:t>f</m:t>
        </m:r>
        <m:r>
          <m:rPr>
            <m:sty m:val="p"/>
          </m:rPr>
          <m:t>=</m:t>
        </m:r>
        <m:r>
          <m:t>4</m:t>
        </m:r>
      </m:oMath>
      <w:r>
        <w:rPr>
          <w:highlight w:val="yellow"/>
        </w:rPr>
        <w:t xml:space="preserve">,</w:t>
      </w:r>
      <w:r>
        <w:t xml:space="preserve"> </w:t>
      </w:r>
      <m:oMath>
        <m:r>
          <m:t>P</m:t>
        </m:r>
        <m:r>
          <m:rPr>
            <m:sty m:val="p"/>
          </m:rPr>
          <m:t>≈</m:t>
        </m:r>
        <m:r>
          <m:t>2.3</m:t>
        </m:r>
        <m:r>
          <m:rPr>
            <m:sty m:val="p"/>
          </m:rPr>
          <m:t>×</m:t>
        </m:r>
        <m:sSup>
          <m:e>
            <m:r>
              <m:t>10</m:t>
            </m:r>
          </m:e>
          <m:sup>
            <m:r>
              <m:rPr>
                <m:sty m:val="p"/>
              </m:rPr>
              <m:t>−</m:t>
            </m:r>
            <m:r>
              <m:t>24</m:t>
            </m:r>
          </m:sup>
        </m:sSup>
      </m:oMath>
      <w:r>
        <w:rPr>
          <w:highlight w:val="yellow"/>
        </w:rPr>
        <w:t xml:space="preserve">). Because cases generated from a shared typology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A provider main effect therefore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typology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117.0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80.4</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123.7</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117.6</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118.6</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127.4</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2026-10-16T16:29:37Z</dcterms:created>
  <dcterms:modified xsi:type="dcterms:W3CDTF">2026-10-16T16:29:37Z</dcterms:modified>
</cp:coreProperties>
</file>

<file path=docProps/custom.xml><?xml version="1.0" encoding="utf-8"?>
<Properties xmlns="http://schemas.openxmlformats.org/officeDocument/2006/custom-properties" xmlns:vt="http://schemas.openxmlformats.org/officeDocument/2006/docPropsVTypes"/>
</file>