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38.png" ContentType="image/png"/>
  <Override PartName="/word/media/rId46.png" ContentType="image/png"/>
  <Override PartName="/word/media/rId5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 consequences of model choice are poorly quantified. We investigate how foundation-model selection affects the screening operating point when the task, cases and evaluation procedure are held fixed. Five off-the-shelf models from two providers were tested as zero-shot screeners on a preregistered, reproducible battery of 600 synthetic transaction cases anchored on established laundering typologies, half suspicious and half hard negatives. For the same 300 legitimate cases, false-positive rates ranged from 2.3% to 85.7%—an 83.3 percentage-point spread (95% confidence interval 71.8 to 93.7 points, cluster bootstrap over eight case-template strata)—and the models disagreed on 88.7% of legitimate cases. Differences were systematic: rates decreased monotonically with model tier within each of the two provider families studied, so lower-tier models over-flagged legitimate activity. The models occupied different points on the sensitivity–specificity trade-off, not merely different accuracy levels. In an illustrative scenario of one million transactions per day at 0.1% prevalence, projected daily alert workload differed by 36- to 196-fold across the four deployable single-call configurations and by about 35-fold under the preregistered per-case aggregate, with model ordering invariant across prompts, seeds and prevalence. Foundation-model choice is therefore not merely an AML procurement decision but a core operational risk parameter. Because commercially accessed models may be updated, substituted or retired by providers, model-tier substitution and alias redirection should be treated as first-class model-risk events, and operating-point stability monitored through a standing probe.</w:t>
      </w:r>
    </w:p>
    <w:p>
      <w:pPr>
        <w:pStyle w:val="BodyText"/>
      </w:pPr>
      <w:r>
        <w:rPr>
          <w:b/>
          <w:bCs/>
        </w:rPr>
        <w:t xml:space="preserve">Keywords:</w:t>
      </w:r>
      <w:r>
        <w:t xml:space="preserve"> </w:t>
      </w:r>
      <w:r>
        <w:t xml:space="preserve">AML transaction screening, Large language models, AI model risk management, False-positive rates, AI foundation model governance, Financial crime detection</w:t>
      </w:r>
    </w:p>
    <w:bookmarkEnd w:id="9"/>
    <w:bookmarkStart w:id="10"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 models [8, 9]—trained on broad data and adapted to many tasks through natural-language instructions—have 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 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We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rPr>
        <w:t xml:space="preserve">A foundation-model-swap interpretation of model governance.</w:t>
      </w:r>
      <w:r>
        <w:t xml:space="preserve"> </w:t>
      </w:r>
      <w:r>
        <w:t xml:space="preserve">We treat model-tier substitution and provider-managed</w:t>
      </w:r>
      <w:r>
        <w:t xml:space="preserve"> </w:t>
      </w:r>
      <w:r>
        <w:rPr>
          <w:rStyle w:val="VerbatimChar"/>
        </w:rPr>
        <w:t xml:space="preserve">-latest</w:t>
      </w:r>
      <w:r>
        <w:t xml:space="preserve"> </w:t>
      </w:r>
      <w:r>
        <w:t xml:space="preserve">alias redirection as first-class model-risk events, and propose a standing operating-point probe as a monitoring control, so that the specific model version and its operating point become part of model inventories, validation procedures and ongoing monitoring (Section </w:t>
      </w:r>
      <w:hyperlink w:anchor="sec:probe">
        <w:r>
          <w:rPr>
            <w:rStyle w:val="Hyperlink"/>
          </w:rPr>
          <w:t xml:space="preserve">4.1</w:t>
        </w:r>
      </w:hyperlink>
      <w:r>
        <w:t xml:space="preserve">).</w:t>
      </w:r>
    </w:p>
    <w:p>
      <w:pPr>
        <w:numPr>
          <w:ilvl w:val="0"/>
          <w:numId w:val="1001"/>
        </w:numPr>
      </w:pPr>
      <w:r>
        <w:rPr>
          <w:i/>
          <w:iCs/>
        </w:rPr>
        <w:t xml:space="preserve">Domain-specific controlled measurement.</w:t>
      </w:r>
      <w:r>
        <w:t xml:space="preserve"> </w:t>
      </w:r>
      <w:r>
        <w:t xml:space="preserve">That different language models disagree on identical inputs, and that model-induced variance can exceed prompt-induced variance, is established in the broader model-evaluation literature [26, 39].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 cluster-robust 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0"/>
    <w:bookmarkStart w:id="18" w:name="sec:methods"/>
    <w:p>
      <w:pPr>
        <w:pStyle w:val="Heading1"/>
      </w:pPr>
      <w:r>
        <w:rPr>
          <w:rStyle w:val="SectionNumber"/>
        </w:rPr>
        <w:t xml:space="preserve">2</w:t>
      </w:r>
      <w:r>
        <w:tab/>
      </w:r>
      <w:r>
        <w:t xml:space="preserve">Methods</w:t>
      </w:r>
    </w:p>
    <w:bookmarkStart w:id="11"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 Section </w:t>
      </w:r>
      <w:hyperlink w:anchor="sec:limits">
        <w:r>
          <w:rPr>
            <w:rStyle w:val="Hyperlink"/>
          </w:rPr>
          <w:t xml:space="preserve">4.2</w:t>
        </w:r>
      </w:hyperlink>
      <w: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case-template strata are used as clustering units for cluster-bootstrap confidence intervals and cluster-level permutation tests. Wilson score intervals for individual model proportions remain case-level intervals.</w:t>
      </w:r>
    </w:p>
    <w:bookmarkEnd w:id="11"/>
    <w:bookmarkStart w:id="12" w:name="sec:design"/>
    <w:p>
      <w:pPr>
        <w:pStyle w:val="Heading2"/>
      </w:pPr>
      <w:r>
        <w:rPr>
          <w:rStyle w:val="SectionNumber"/>
        </w:rPr>
        <w:t xml:space="preserve">2.2</w:t>
      </w:r>
      <w:r>
        <w:tab/>
      </w:r>
      <w: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 Only the alias strings were captured: the concrete model version served behind each Google alias at the collection date (July 2026) was not recorded in the archived per-call metadata and cannot now be recovered. This is itself an instance of the governance problem examined here, and it is stated again among the limitations. 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 effect [39]—a known source of variation in LLM behaviour—each case was tested with two versions of the supervisory prompt: a short instruction for a compliance officer, and a more elaborate instruction aware of the FATF typologies. Each prompt setting was run twice with different random seeds. The complete design therefore comprised five models, two prompt formulations, two seeds and 600 cases, giving 12</w:t>
      </w:r>
      <w:r>
        <w:t xml:space="preserve">,</w:t>
      </w:r>
      <w:r>
        <w:t xml:space="preserve">000 screening calls by design. The frozen corpus holds 12</w:t>
      </w:r>
      <w:r>
        <w:t xml:space="preserve">,</w:t>
      </w:r>
      <w:r>
        <w:t xml:space="preserve">120 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t xml:space="preserve">, lowering that model’s false-positive rate by 0.3 percentage points. Duplicate calls are retained in the archive for auditability. Restricting the vote to the four designed prompt–seed cells gives GPT-4o-mini a false-positive rate of 86.0% and a cross-model spread of 83.7 percentage points. We report aggregation over all valid calls as primary because D4 specifies the</w:t>
      </w:r>
      <w:r>
        <w:t xml:space="preserve"> </w:t>
      </w:r>
      <w:r>
        <w:t xml:space="preserve">“modal replicate decision across seeds</w:t>
      </w:r>
      <w:r>
        <w:t xml:space="preserve"> </w:t>
      </w:r>
      <m:oMath>
        <m:r>
          <m:rPr>
            <m:sty m:val="p"/>
          </m:rPr>
          <m:t>×</m:t>
        </m:r>
      </m:oMath>
      <w:r>
        <w:t xml:space="preserve"> </w:t>
      </w:r>
      <w:r>
        <w:t xml:space="preserve">prompt variants”</w:t>
      </w:r>
      <w:r>
        <w:t xml:space="preserve"> </w:t>
      </w:r>
      <w:r>
        <w:t xml:space="preserve">with</w:t>
      </w:r>
      <w:r>
        <w:t xml:space="preserve"> </w:t>
      </w:r>
      <w:r>
        <w:t xml:space="preserve">“ERROR replicates excluded from the vote”</w:t>
      </w:r>
      <w: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t xml:space="preserve">for thinking-mode incompatibility and cost, and D19 dropped</w:t>
      </w:r>
      <w:r>
        <w:t xml:space="preserve"> </w:t>
      </w:r>
      <w:r>
        <w:rPr>
          <w:rStyle w:val="VerbatimChar"/>
        </w:rPr>
        <w:t xml:space="preserve">xai-grok</w:t>
      </w:r>
      <w:r>
        <w:t xml:space="preserve"> </w:t>
      </w:r>
      <w:r>
        <w:t xml:space="preserve">because sustained interface access for the full run could not be secured. The final grid of five models from two providers is therefore the result of documented attrition rather than a two-provider design, and, because tier is defined only within providers, a provider main effect cannot be separated from the tier effect.</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2"/>
    <w:bookmarkStart w:id="13" w:name="sec:agg"/>
    <w:p>
      <w:pPr>
        <w:pStyle w:val="Heading2"/>
      </w:pPr>
      <w:r>
        <w:rPr>
          <w:rStyle w:val="SectionNumber"/>
        </w:rPr>
        <w:t xml:space="preserve">2.3</w:t>
      </w:r>
      <w:r>
        <w:tab/>
      </w:r>
      <w:r>
        <w:t xml:space="preserve">Per-case aggregation rule</w:t>
      </w:r>
    </w:p>
    <w:p>
      <w:pPr>
        <w:pStyle w:val="FirstParagraph"/>
      </w:pPr>
      <w:r>
        <w:t xml:space="preserve">Each (model, case) pair carries four valid calls by design, two prompt formulations crossed with two seeds. Preregistered decision D4 reduces them to one decision per case by the modal replicate decision, with ties broken toward</w:t>
      </w:r>
      <w:r>
        <w:t xml:space="preserve"> </w:t>
      </w:r>
      <w:r>
        <w:rPr>
          <w:rStyle w:val="VerbatimChar"/>
        </w:rPr>
        <w:t xml:space="preserve">flag</w:t>
      </w:r>
      <w:r>
        <w:t xml:space="preserve">. The rule is stated in the decisions log and repeated in both preregistration documents, and it makes no reference to the ground-truth label of the case. That label-independent rule is the primary rule throughout this paper. Ties are not uniformly distributed: on legitimate cases they number 6, 20, 40, 58 and 8 for Gemini Flash, GPT-4o, GPT-4.1-mini, Gemini Flash-Lite and GPT-4o-mini respectively, and on suspicious cases 19, 15, 10, 4 and 0. They concentrate where a model sits near its own decision boundary, so the rule affects the middle of the distribution more than its extremes.</w:t>
      </w:r>
    </w:p>
    <w:p>
      <w:pPr>
        <w:pStyle w:val="BodyText"/>
      </w:pPr>
      <w:r>
        <w:t xml:space="preserve">Because the choice of rule is consequential, the results are reported under four further tie policies and under each deployable single-call configuration (Table </w:t>
      </w:r>
      <w:hyperlink w:anchor="tab:agg">
        <w:r>
          <w:rPr>
            <w:rStyle w:val="Hyperlink"/>
          </w:rPr>
          <w:t xml:space="preserve">1</w:t>
        </w:r>
      </w:hyperlink>
      <w:r>
        <w:t xml:space="preserve">). Across all nine analyses the spread lies between 77.7 and 85.3 percentage points and no pair of models reverses order.</w:t>
      </w:r>
    </w:p>
    <w:p>
      <w:pPr>
        <w:pStyle w:val="BodyText"/>
      </w:pPr>
      <w:r>
        <w:t xml:space="preserve">Two further points follow. First, the four-call aggregate is an evaluation construct rather than an operationally validated multi-call screening configuration. A multi-call implementation is possible but would require separate assessment of cost, latency and screening workflow. The deployable quantity is a single call, and those configurations are reported alongside the aggregate. Second, a label-independent rule that resolves ties by strict majority on both labels reproduces the label-dependent false-positive rates exactly but raises miss rates from 12.0, 3.3, 3.7, 0.7 and 0.0% to 18.3, 8.3, 7.0, 2.0 and 0.0%. Those rates are therefore attainable without reference to the label, at a cost on the miss axis.</w:t>
      </w:r>
    </w:p>
    <w:bookmarkEnd w:id="13"/>
    <w:bookmarkStart w:id="14"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t xml:space="preserve">Cochran’s</w:t>
      </w:r>
      <w:r>
        <w:t xml:space="preserve"> </w:t>
      </w:r>
      <m:oMath>
        <m:r>
          <m:t>Q</m:t>
        </m:r>
      </m:oMath>
      <w:r>
        <w:t xml:space="preserve"> </w:t>
      </w:r>
      <w: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t xml:space="preserve">-values are retained for comparability with the preregistered analysis plan, and the cluster-robust results are the ones relied upon. All Cochran’s</w:t>
      </w:r>
      <w:r>
        <w:t xml:space="preserve"> </w:t>
      </w:r>
      <m:oMath>
        <m:r>
          <m:t>Q</m:t>
        </m:r>
      </m:oMath>
      <w:r>
        <w:t xml:space="preserve"> </w:t>
      </w:r>
      <w:r>
        <w:t xml:space="preserve">values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 case-template strata (cross-model spread and disagreement metrics), additional 95% percentile bootstrap confidence intervals were constructed via cluster resampling over the eight case-template 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 statistics [21]—Cohen’s</w:t>
      </w:r>
      <w:r>
        <w:t xml:space="preserve"> </w:t>
      </w:r>
      <m:oMath>
        <m:r>
          <m:t>κ</m:t>
        </m:r>
      </m:oMath>
      <w:r>
        <w:t xml:space="preserve">, Scott’s</w:t>
      </w:r>
      <w:r>
        <w:t xml:space="preserve"> </w:t>
      </w:r>
      <m:oMath>
        <m:r>
          <m:t>π</m:t>
        </m:r>
      </m:oMath>
      <w:r>
        <w:t xml:space="preserve"> </w:t>
      </w:r>
      <w:r>
        <w:t xml:space="preserve">and Gwet’s AC1—particularly 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t xml:space="preserve">is defined operationally as the provider’s published price positioning at the time of data collection, with the tier ordering following the price ordering inside each provider family. For the OpenAI models these are the published list prices per million input and output tokens: $2.50 and $10.00 for GPT-4o, $0.40 and $1.60 for GPT-4.1-mini, and $0.15 and $0.60 for GPT-4o-mini [33]. For the Google models the list prices current in July 2026 cannot be substantiated retrospectively, because the models were reached through</w:t>
      </w:r>
      <w:r>
        <w:t xml:space="preserve"> </w:t>
      </w:r>
      <w:r>
        <w:rPr>
          <w:rStyle w:val="VerbatimChar"/>
        </w:rPr>
        <w:t xml:space="preserve">-latest</w:t>
      </w:r>
      <w:r>
        <w:t xml:space="preserve"> </w:t>
      </w:r>
      <w: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t xml:space="preserve">) are conservative budgeting placeholders, not list prices. The tier ordering is therefore corroborated for all five models by the measured cost per call recorded in the archived spend ledger—$0.002108 for GPT-4o, $0.000536 for Gemini Flash, $0.000342 for GPT-4.1-mini, $0.000148 for Gemini Flash-Lite and $0.000125 for GPT-4o-mini—which is reproducible from the deposit. Measured cost per call is reported as an expenditure measure and may also reflect differences in token usage. It is not interpreted as a direct measure of model capability or size. Tier is used only within provider families, not as a universal cross-provider capability scale.</w:t>
      </w:r>
    </w:p>
    <w:bookmarkEnd w:id="14"/>
    <w:bookmarkStart w:id="15"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5"/>
    <w:bookmarkStart w:id="16"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6"/>
    <w:bookmarkStart w:id="17"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7"/>
    <w:bookmarkEnd w:id="18"/>
    <w:bookmarkStart w:id="24" w:name="sec:results"/>
    <w:p>
      <w:pPr>
        <w:pStyle w:val="Heading1"/>
      </w:pPr>
      <w:r>
        <w:rPr>
          <w:rStyle w:val="SectionNumber"/>
        </w:rPr>
        <w:t xml:space="preserve">3</w:t>
      </w:r>
      <w:r>
        <w:tab/>
      </w:r>
      <w:r>
        <w:t xml:space="preserve">Results</w:t>
      </w:r>
    </w:p>
    <w:bookmarkStart w:id="19"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 2.3% (7 of 300 cases) for Gemini Flash to 85.7% (257 of 300 cases) for GPT-4o-mini. The resulting cross-model spread was 83.3 percentage points (95% confidence interval [CI] 71.8 to 93.7, cluster bootstrap over the eight case-template strata) (Fig. </w:t>
      </w:r>
      <w:hyperlink w:anchor="fig:fp">
        <w:r>
          <w:rPr>
            <w:rStyle w:val="Hyperlink"/>
          </w:rPr>
          <w:t xml:space="preserve">1</w:t>
        </w:r>
      </w:hyperlink>
      <w:r>
        <w:t xml:space="preserve">, Table </w:t>
      </w:r>
      <w:hyperlink w:anchor="tab:ops">
        <w:r>
          <w:rPr>
            <w:rStyle w:val="Hyperlink"/>
          </w:rPr>
          <w:t xml:space="preserve">2</w:t>
        </w:r>
      </w:hyperlink>
      <w:r>
        <w:t xml:space="preserve">). Under the preregistered aggregation rule, the five models differed in false-positive rate (Cochran’s</w:t>
      </w:r>
      <w:r>
        <w:t xml:space="preserve"> </w:t>
      </w:r>
      <m:oMath>
        <m:r>
          <m:t>Q</m:t>
        </m:r>
        <m:r>
          <m:rPr>
            <m:sty m:val="p"/>
          </m:rPr>
          <m:t>=</m:t>
        </m:r>
        <m:r>
          <m:t>585.0</m:t>
        </m:r>
      </m:oMath>
      <w:r>
        <w:t xml:space="preserve">, 4 df, case-level</w:t>
      </w:r>
      <w:r>
        <w:t xml:space="preserve"> </w:t>
      </w:r>
      <m:oMath>
        <m:r>
          <m:t>P</m:t>
        </m:r>
        <m:r>
          <m:rPr>
            <m:sty m:val="p"/>
          </m:rPr>
          <m:t>≈</m:t>
        </m:r>
        <m:r>
          <m:t>2.7</m:t>
        </m:r>
        <m:r>
          <m:rPr>
            <m:sty m:val="p"/>
          </m:rPr>
          <m:t>×</m:t>
        </m:r>
        <m:sSup>
          <m:e>
            <m:r>
              <m:t>10</m:t>
            </m:r>
          </m:e>
          <m:sup>
            <m:r>
              <m:rPr>
                <m:sty m:val="p"/>
              </m:rPr>
              <m:t>−</m:t>
            </m:r>
            <m:r>
              <m:t>125</m:t>
            </m:r>
          </m:sup>
        </m:sSup>
      </m:oMath>
      <w: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t xml:space="preserve">, using the plus-one correction). We rely on the cluster-level inference for the principal significance claim. Pairwise exact McNemar tests (Bonferroni-corrected across the ten possible model comparisons) compared every model pair on the same legitimate cases. Nine of the ten comparisons were statistically significant after correction, the weakest being Gemini Flash versus GPT-4o (</w:t>
      </w:r>
      <m:oMath>
        <m:r>
          <m:t>P</m:t>
        </m:r>
        <m:r>
          <m:rPr>
            <m:sty m:val="p"/>
          </m:rPr>
          <m:t>=</m:t>
        </m:r>
        <m:r>
          <m:t>4.0</m:t>
        </m:r>
        <m:r>
          <m:rPr>
            <m:sty m:val="p"/>
          </m:rPr>
          <m:t>×</m:t>
        </m:r>
        <m:sSup>
          <m:e>
            <m:r>
              <m:t>10</m:t>
            </m:r>
          </m:e>
          <m:sup>
            <m:r>
              <m:rPr>
                <m:sty m:val="p"/>
              </m:rPr>
              <m:t>−</m:t>
            </m:r>
            <m:r>
              <m:t>3</m:t>
            </m:r>
          </m:sup>
        </m:sSup>
      </m:oMath>
      <w:r>
        <w:t xml:space="preserve">). The single exception was GPT-4.1-mini versus Gemini Flash-Lite (</w:t>
      </w:r>
      <m:oMath>
        <m:r>
          <m:t>P</m:t>
        </m:r>
        <m:r>
          <m:rPr>
            <m:sty m:val="p"/>
          </m:rPr>
          <m:t>=</m:t>
        </m:r>
        <m:r>
          <m:t>0.76</m:t>
        </m:r>
      </m:oMath>
      <w:r>
        <w:t xml:space="preserve">), two models that occupy the same region of the operating-point space (Table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 88.7% of the legitimate cases (95% CI 82.2–95.0). 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19"/>
    <w:bookmarkStart w:id="20"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t xml:space="preserve">, Table </w:t>
      </w:r>
      <w:hyperlink w:anchor="tab:ops">
        <w:r>
          <w:rPr>
            <w:rStyle w:val="Hyperlink"/>
          </w:rPr>
          <w:t xml:space="preserve">2</w:t>
        </w:r>
      </w:hyperlink>
      <w:r>
        <w:t xml:space="preserve">). Across the three OpenAI models, the false-positive rate fell from 85.7% for GPT-4o-mini, to 37.0% for GPT-4.1-mini, to 7.7% for GPT-4o. Across the two Google models, it fell from 44.0% for Gemini Flash-Lite to 2.3% for Gemini Flash. In both provider families, the smaller, lower-tier model generated more false positives.</w:t>
      </w:r>
    </w:p>
    <w:p>
      <w:pPr>
        <w:pStyle w:val="BodyText"/>
      </w:pPr>
      <w: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 CI 12.6 to 51.2), GPT-4.1-mini to GPT-4o-mini (3 and 149, 48.7 points, CI 25.8 to 72.5), and Gemini Flash to Gemini Flash-Lite (0 and 125, 41.7 points, CI 19.7 to 65.2). Each interval excludes zero. This monotonic pattern should be understood only within the two evaluated provider 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 85.7% of legitimate cases. Gemini Flash, by contrast, had the lowest false-positive rate (2.3%)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 42 percentage points in false-positive rate. In contrast, the two higher-tier models, GPT-4o and Gemini Flash, remained an order of magnitude lower than the most permissive model, at 7.7% and 2.3% respectively.</w:t>
      </w:r>
    </w:p>
    <w:bookmarkEnd w:id="20"/>
    <w:bookmarkStart w:id="21"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 24,000 alerts for Gemini Flash to approximately 857,000 alerts for GPT-4o-mini (Fig. </w:t>
      </w:r>
      <w:hyperlink w:anchor="fig:vol">
        <w:r>
          <w:rPr>
            <w:rStyle w:val="Hyperlink"/>
          </w:rPr>
          <w:t xml:space="preserve">3</w:t>
        </w:r>
      </w:hyperlink>
      <w:r>
        <w:t xml:space="preserve">, Table </w:t>
      </w:r>
      <w:hyperlink w:anchor="tab:vol">
        <w:r>
          <w:rPr>
            <w:rStyle w:val="Hyperlink"/>
          </w:rPr>
          <w:t xml:space="preserve">4</w:t>
        </w:r>
      </w:hyperlink>
      <w:r>
        <w:t xml:space="preserve">)—a difference in daily alert workload of about 35-fold on the same underlying transaction population. The contents of those alert queues also differed sharply. At the Gemini Flash operating point, the estimated precision was about 3.6%, versus about 0.12% at the GPT-4o-mini operating point. At the latter, about 999 of every 1,000 alerts would be expected to be false under the stated prevalence assumption.</w:t>
      </w:r>
    </w:p>
    <w:p>
      <w:pPr>
        <w:pStyle w:val="BodyText"/>
      </w:pPr>
      <w:r>
        <w:t xml:space="preserve">The magnitude of this ratio depends on how the replicate calls are reduced to one decision per case, whereas the ordering of the models does not. Under the four deployable single-call configurations (Section </w:t>
      </w:r>
      <w:hyperlink w:anchor="sec:agg">
        <w:r>
          <w:rPr>
            <w:rStyle w:val="Hyperlink"/>
          </w:rPr>
          <w:t xml:space="preserve">2.3</w:t>
        </w:r>
      </w:hyperlink>
      <w: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 to 1% moves the ratio from about 37-fold to about 27-fold while leaving the ordering unchanged (Fig. </w:t>
      </w:r>
      <w:hyperlink w:anchor="fig:sweep">
        <w:r>
          <w:rPr>
            <w:rStyle w:val="Hyperlink"/>
          </w:rPr>
          <w:t xml:space="preserve">4</w:t>
        </w:r>
      </w:hyperlink>
      <w:r>
        <w:t xml:space="preserve">), because true positives occupy a growing share of the queue for the low-false-positive models as prevalence rises. Precision moves over the same range from 0.4% to 27.6% for Gemini Flash and from 0.01% to 1.2% for GPT-4o-mini. 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1"/>
    <w:bookmarkStart w:id="22"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 lower false-positive rates (7.7% and 2.3%). 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2"/>
    <w:bookmarkStart w:id="23"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 1.0%</w:t>
      </w:r>
      <m:oMath>
        <m:r>
          <m:rPr>
            <m:sty m:val="p"/>
          </m:rPr>
          <m:t>→</m:t>
        </m:r>
      </m:oMath>
      <w:r>
        <w:t xml:space="preserve">9.7%, GPT-4.1-mini 24.0%</w:t>
      </w:r>
      <m:oMath>
        <m:r>
          <m:rPr>
            <m:sty m:val="p"/>
          </m:rPr>
          <m:t>→</m:t>
        </m:r>
      </m:oMath>
      <w:r>
        <w:t xml:space="preserve">42.7%, Gemini Flash-Lite 24.7%</w:t>
      </w:r>
      <m:oMath>
        <m:r>
          <m:rPr>
            <m:sty m:val="p"/>
          </m:rPr>
          <m:t>→</m:t>
        </m:r>
      </m:oMath>
      <w:r>
        <w:t xml:space="preserve">44.0%, and GPT-4o-mini 82.7%</w:t>
      </w:r>
      <m:oMath>
        <m:r>
          <m:rPr>
            <m:sty m:val="p"/>
          </m:rPr>
          <m:t>→</m:t>
        </m:r>
      </m:oMath>
      <w:r>
        <w:t xml:space="preserve">90.0%.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t xml:space="preserve">) and a mean pairwise Scott’s</w:t>
      </w:r>
      <w:r>
        <w:t xml:space="preserve"> </w:t>
      </w:r>
      <m:oMath>
        <m:r>
          <m:t>π</m:t>
        </m:r>
        <m:r>
          <m:rPr>
            <m:sty m:val="p"/>
          </m:rPr>
          <m:t>=</m:t>
        </m:r>
        <m:r>
          <m:t>0.051</m:t>
        </m:r>
      </m:oMath>
      <w:r>
        <w:t xml:space="preserve">. Gwet’s AC1 instead averaged 0.924, the divergence expected when one category is rare and raw agreement is already 93.2%, so the low-agreement reading rests on the direct counts above rather than on any single coefficient. The dominant cross-model phenomenon was therefore not a common set of missed suspicious cases, but a large divergence in the aggressiveness with which legitimate activity was escalated.</w:t>
      </w:r>
    </w:p>
    <w:bookmarkEnd w:id="23"/>
    <w:bookmarkEnd w:id="24"/>
    <w:bookmarkStart w:id="27"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 2.3% and 85.7% on the same legitimate cases, and the models disagreed on 88.7%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 86%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 a 36- to 196-fold change in expected daily alert 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 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[6]. Broader AI-governance frameworks and regulation provide additional governance expectations for AI systems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5" w:name="sec:probe"/>
    <w:p>
      <w:pPr>
        <w:pStyle w:val="Heading2"/>
      </w:pPr>
      <w:r>
        <w:rPr>
          <w:rStyle w:val="SectionNumber"/>
        </w:rPr>
        <w:t xml:space="preserve">4.1</w:t>
      </w:r>
      <w:r>
        <w:tab/>
      </w:r>
      <w:r>
        <w:t xml:space="preserve">An operating-point probe as a monitoring control</w:t>
      </w:r>
    </w:p>
    <w:p>
      <w:pPr>
        <w:pStyle w:val="FirstParagraph"/>
      </w:pPr>
      <w: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5"/>
    <w:bookmarkStart w:id="26" w:name="sec:limits"/>
    <w:p>
      <w:pPr>
        <w:pStyle w:val="Heading2"/>
      </w:pPr>
      <w:r>
        <w:rPr>
          <w:rStyle w:val="SectionNumber"/>
        </w:rPr>
        <w:t xml:space="preserve">4.2</w:t>
      </w:r>
      <w:r>
        <w:tab/>
      </w:r>
      <w: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 time, and that set is the surviving part of a preregistered three-family grid, a third provider having been dropped before the full run. Because tier is defined only within providers, a provider main effect cannot be separated from the tier effect, and the paper’s</w:t>
      </w:r>
      <w:r>
        <w:t xml:space="preserve"> </w:t>
      </w:r>
      <w:r>
        <w:t xml:space="preserve">“foundation-model choice”</w:t>
      </w:r>
      <w:r>
        <w:t xml:space="preserve"> </w:t>
      </w:r>
      <w:r>
        <w:t xml:space="preserve">language should be read as scoped to the evaluated model set rather than as a claim about foundation models in general. Replication with a third provider is the natural extension. 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t xml:space="preserve">A related limitation concerns the inference. Cochran’s</w:t>
      </w:r>
      <w:r>
        <w:t xml:space="preserve"> </w:t>
      </w:r>
      <m:oMath>
        <m:r>
          <m:t>Q</m:t>
        </m:r>
      </m:oMath>
      <w:r>
        <w:t xml:space="preserve"> </w:t>
      </w:r>
      <w:r>
        <w:t xml:space="preserve">and the exact McNemar test treat the 300 legitimate cases as exchangeable units, and cases drawn from a shared case template are not independent. The cluster-level permutation test and the cluster-robust intervals reported in Section </w:t>
      </w:r>
      <w:hyperlink w:anchor="sec:fpspread">
        <w:r>
          <w:rPr>
            <w:rStyle w:val="Hyperlink"/>
          </w:rPr>
          <w:t xml:space="preserve">3.1</w:t>
        </w:r>
      </w:hyperlink>
      <w:r>
        <w:t xml:space="preserve"> </w:t>
      </w:r>
      <w:r>
        <w:t xml:space="preserve">and Section </w:t>
      </w:r>
      <w:hyperlink w:anchor="sec:tier">
        <w:r>
          <w:rPr>
            <w:rStyle w:val="Hyperlink"/>
          </w:rPr>
          <w:t xml:space="preserve">3.2</w:t>
        </w:r>
      </w:hyperlink>
      <w:r>
        <w:t xml:space="preserve"> </w:t>
      </w:r>
      <w:r>
        <w:t xml:space="preserve">are the safeguards against this, and they are materially wider than case-level inference would give. The case-level</w:t>
      </w:r>
      <w:r>
        <w:t xml:space="preserve"> </w:t>
      </w:r>
      <m:oMath>
        <m:r>
          <m:t>P</m:t>
        </m:r>
      </m:oMath>
      <w:r>
        <w:t xml:space="preserve">-values are retained only for comparability with the preregistered plan.</w:t>
      </w:r>
    </w:p>
    <w:p>
      <w:pPr>
        <w:pStyle w:val="BodyText"/>
      </w:pPr>
      <w:r>
        <w:t xml:space="preserve">The aggregation rule is a further qualification. Results are reported under four further tie policies and each deployable single-call configuration (Table </w:t>
      </w:r>
      <w:hyperlink w:anchor="tab:agg">
        <w:r>
          <w:rPr>
            <w:rStyle w:val="Hyperlink"/>
          </w:rPr>
          <w:t xml:space="preserve">1</w:t>
        </w:r>
      </w:hyperlink>
      <w: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6"/>
    <w:bookmarkEnd w:id="27"/>
    <w:bookmarkStart w:id="29"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 2.3% to 85.7% on the same legitimate cases, and 88.7% of legitimate cases were not classified unanimously across models. In both of the two provider families studied, the lower-tier models had much higher false-positive rates than the more capable models, placing the models at very different points on the sensitivity–specificity trade-off. 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 36- to 196-fold across deployable configurations. 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8" w:name="tab:agg"/>
    <w:p>
      <w:pPr>
        <w:pStyle w:val="TableCaption"/>
      </w:pP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 A label-dependent rule, which resolves ties with reference to the known case label, is included for comparison. Strict majority applied to both labels reproduces its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A label-dependent rule, which resolves ties with reference to the known case label, is included for comparison. Strict majority applied to both labels reproduces its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t xml:space="preserve">Aggregation rule</w:t>
            </w:r>
          </w:p>
        </w:tc>
        <w:tc>
          <w:tcPr/>
          <w:p>
            <w:pPr>
              <w:pStyle w:val="Compact"/>
              <w:jc w:val="right"/>
            </w:pPr>
            <w:r>
              <w:t xml:space="preserve">G. Flash</w:t>
            </w:r>
          </w:p>
        </w:tc>
        <w:tc>
          <w:tcPr/>
          <w:p>
            <w:pPr>
              <w:pStyle w:val="Compact"/>
              <w:jc w:val="right"/>
            </w:pPr>
            <w:r>
              <w:t xml:space="preserve">GPT-4o</w:t>
            </w:r>
          </w:p>
        </w:tc>
        <w:tc>
          <w:tcPr/>
          <w:p>
            <w:pPr>
              <w:pStyle w:val="Compact"/>
              <w:jc w:val="right"/>
            </w:pPr>
            <w:r>
              <w:t xml:space="preserve">4.1-mini</w:t>
            </w:r>
          </w:p>
        </w:tc>
        <w:tc>
          <w:tcPr/>
          <w:p>
            <w:pPr>
              <w:pStyle w:val="Compact"/>
              <w:jc w:val="right"/>
            </w:pPr>
            <w:r>
              <w:t xml:space="preserve">Flash-Lite</w:t>
            </w:r>
          </w:p>
        </w:tc>
        <w:tc>
          <w:tcPr/>
          <w:p>
            <w:pPr>
              <w:pStyle w:val="Compact"/>
              <w:jc w:val="right"/>
            </w:pPr>
            <w:r>
              <w:t xml:space="preserve">4o-mini</w:t>
            </w:r>
          </w:p>
        </w:tc>
        <w:tc>
          <w:tcPr/>
          <w:p>
            <w:pPr>
              <w:pStyle w:val="Compact"/>
              <w:jc w:val="right"/>
            </w:pPr>
            <w:r>
              <w:t xml:space="preserve">Spread</w:t>
            </w:r>
          </w:p>
        </w:tc>
        <w:tc>
          <w:tcPr/>
          <w:p>
            <w:pPr>
              <w:pStyle w:val="Compact"/>
              <w:jc w:val="right"/>
            </w:pPr>
            <m:oMath>
              <m:r>
                <m:t>Q</m:t>
              </m:r>
            </m:oMath>
            <w:r>
              <w:t xml:space="preserve">​</w:t>
            </w:r>
          </w:p>
        </w:tc>
      </w:tr>
      <w:tr>
        <w:tc>
          <w:tcPr/>
          <w:p>
            <w:pPr>
              <w:pStyle w:val="Compact"/>
              <w:jc w:val="left"/>
            </w:pPr>
            <w:r>
              <w:t xml:space="preserve">Ties to flag (D4, primary)</w:t>
            </w:r>
          </w:p>
        </w:tc>
        <w:tc>
          <w:tcPr/>
          <w:p>
            <w:pPr>
              <w:pStyle w:val="Compact"/>
              <w:jc w:val="right"/>
            </w:pPr>
            <w:r>
              <w:t xml:space="preserve">2.3</w:t>
            </w:r>
          </w:p>
        </w:tc>
        <w:tc>
          <w:tcPr/>
          <w:p>
            <w:pPr>
              <w:pStyle w:val="Compact"/>
              <w:jc w:val="right"/>
            </w:pPr>
            <w:r>
              <w:t xml:space="preserve">7.7</w:t>
            </w:r>
          </w:p>
        </w:tc>
        <w:tc>
          <w:tcPr/>
          <w:p>
            <w:pPr>
              <w:pStyle w:val="Compact"/>
              <w:jc w:val="right"/>
            </w:pPr>
            <w:r>
              <w:t xml:space="preserve">37.0</w:t>
            </w:r>
          </w:p>
        </w:tc>
        <w:tc>
          <w:tcPr/>
          <w:p>
            <w:pPr>
              <w:pStyle w:val="Compact"/>
              <w:jc w:val="right"/>
            </w:pPr>
            <w:r>
              <w:t xml:space="preserve">44.0</w:t>
            </w:r>
          </w:p>
        </w:tc>
        <w:tc>
          <w:tcPr/>
          <w:p>
            <w:pPr>
              <w:pStyle w:val="Compact"/>
              <w:jc w:val="right"/>
            </w:pPr>
            <w:r>
              <w:t xml:space="preserve">85.7</w:t>
            </w:r>
          </w:p>
        </w:tc>
        <w:tc>
          <w:tcPr/>
          <w:p>
            <w:pPr>
              <w:pStyle w:val="Compact"/>
              <w:jc w:val="right"/>
            </w:pPr>
            <w:r>
              <w:t xml:space="preserve">83.3</w:t>
            </w:r>
          </w:p>
        </w:tc>
        <w:tc>
          <w:tcPr/>
          <w:p>
            <w:pPr>
              <w:pStyle w:val="Compact"/>
              <w:jc w:val="right"/>
            </w:pPr>
            <w:r>
              <w:t xml:space="preserve">585.0</w:t>
            </w:r>
          </w:p>
        </w:tc>
      </w:tr>
      <w:tr>
        <w:tc>
          <w:tcPr/>
          <w:p>
            <w:pPr>
              <w:pStyle w:val="Compact"/>
              <w:jc w:val="left"/>
            </w:pPr>
            <w:r>
              <w:t xml:space="preserve">Ties to no flag (strict majority)</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Ties as abstentions</w:t>
            </w:r>
          </w:p>
        </w:tc>
        <w:tc>
          <w:tcPr/>
          <w:p>
            <w:pPr>
              <w:pStyle w:val="Compact"/>
              <w:jc w:val="right"/>
            </w:pPr>
            <w:r>
              <w:t xml:space="preserve">0.3</w:t>
            </w:r>
          </w:p>
        </w:tc>
        <w:tc>
          <w:tcPr/>
          <w:p>
            <w:pPr>
              <w:pStyle w:val="Compact"/>
              <w:jc w:val="right"/>
            </w:pPr>
            <w:r>
              <w:t xml:space="preserve">1.1</w:t>
            </w:r>
          </w:p>
        </w:tc>
        <w:tc>
          <w:tcPr/>
          <w:p>
            <w:pPr>
              <w:pStyle w:val="Compact"/>
              <w:jc w:val="right"/>
            </w:pPr>
            <w:r>
              <w:t xml:space="preserve">27.3</w:t>
            </w:r>
          </w:p>
        </w:tc>
        <w:tc>
          <w:tcPr/>
          <w:p>
            <w:pPr>
              <w:pStyle w:val="Compact"/>
              <w:jc w:val="right"/>
            </w:pPr>
            <w:r>
              <w:t xml:space="preserve">30.6</w:t>
            </w:r>
          </w:p>
        </w:tc>
        <w:tc>
          <w:tcPr/>
          <w:p>
            <w:pPr>
              <w:pStyle w:val="Compact"/>
              <w:jc w:val="right"/>
            </w:pPr>
            <w:r>
              <w:t xml:space="preserve">85.3</w:t>
            </w:r>
          </w:p>
        </w:tc>
        <w:tc>
          <w:tcPr/>
          <w:p>
            <w:pPr>
              <w:pStyle w:val="Compact"/>
              <w:jc w:val="right"/>
            </w:pPr>
            <w:r>
              <w:t xml:space="preserve">84.9</w:t>
            </w:r>
          </w:p>
        </w:tc>
        <w:tc>
          <w:tcPr/>
          <w:p>
            <w:pPr>
              <w:pStyle w:val="Compact"/>
              <w:jc w:val="right"/>
            </w:pPr>
            <w:r>
              <w:t xml:space="preserve">402.2</w:t>
            </w:r>
          </w:p>
        </w:tc>
      </w:tr>
      <w:tr>
        <w:tc>
          <w:tcPr/>
          <w:p>
            <w:pPr>
              <w:pStyle w:val="Compact"/>
              <w:jc w:val="left"/>
            </w:pPr>
            <w:r>
              <w:t xml:space="preserve">Unanimity required</w:t>
            </w:r>
          </w:p>
        </w:tc>
        <w:tc>
          <w:tcPr/>
          <w:p>
            <w:pPr>
              <w:pStyle w:val="Compact"/>
              <w:jc w:val="right"/>
            </w:pPr>
            <w:r>
              <w:t xml:space="preserve">0.3</w:t>
            </w:r>
          </w:p>
        </w:tc>
        <w:tc>
          <w:tcPr/>
          <w:p>
            <w:pPr>
              <w:pStyle w:val="Compact"/>
              <w:jc w:val="right"/>
            </w:pPr>
            <w:r>
              <w:t xml:space="preserve">0.3</w:t>
            </w:r>
          </w:p>
        </w:tc>
        <w:tc>
          <w:tcPr/>
          <w:p>
            <w:pPr>
              <w:pStyle w:val="Compact"/>
              <w:jc w:val="right"/>
            </w:pPr>
            <w:r>
              <w:t xml:space="preserve">20.3</w:t>
            </w:r>
          </w:p>
        </w:tc>
        <w:tc>
          <w:tcPr/>
          <w:p>
            <w:pPr>
              <w:pStyle w:val="Compact"/>
              <w:jc w:val="right"/>
            </w:pPr>
            <w:r>
              <w:t xml:space="preserve">24.7</w:t>
            </w:r>
          </w:p>
        </w:tc>
        <w:tc>
          <w:tcPr/>
          <w:p>
            <w:pPr>
              <w:pStyle w:val="Compact"/>
              <w:jc w:val="right"/>
            </w:pPr>
            <w:r>
              <w:t xml:space="preserve">78.0</w:t>
            </w:r>
          </w:p>
        </w:tc>
        <w:tc>
          <w:tcPr/>
          <w:p>
            <w:pPr>
              <w:pStyle w:val="Compact"/>
              <w:jc w:val="right"/>
            </w:pPr>
            <w:r>
              <w:t xml:space="preserve">77.7</w:t>
            </w:r>
          </w:p>
        </w:tc>
        <w:tc>
          <w:tcPr/>
          <w:p>
            <w:pPr>
              <w:pStyle w:val="Compact"/>
              <w:jc w:val="right"/>
            </w:pPr>
            <w:r>
              <w:t xml:space="preserve">618.5</w:t>
            </w:r>
          </w:p>
        </w:tc>
      </w:tr>
      <w:tr>
        <w:tc>
          <w:tcPr/>
          <w:p>
            <w:pPr>
              <w:pStyle w:val="Compact"/>
              <w:jc w:val="left"/>
            </w:pPr>
            <w:r>
              <w:t xml:space="preserve">Label-dependent tie rule</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Single call: FATF seed 0</w:t>
            </w:r>
          </w:p>
        </w:tc>
        <w:tc>
          <w:tcPr/>
          <w:p>
            <w:pPr>
              <w:pStyle w:val="Compact"/>
              <w:jc w:val="right"/>
            </w:pPr>
            <w:r>
              <w:t xml:space="preserve">2.3</w:t>
            </w:r>
          </w:p>
        </w:tc>
        <w:tc>
          <w:tcPr/>
          <w:p>
            <w:pPr>
              <w:pStyle w:val="Compact"/>
              <w:jc w:val="right"/>
            </w:pPr>
            <w:r>
              <w:t xml:space="preserve">9.3</w:t>
            </w:r>
          </w:p>
        </w:tc>
        <w:tc>
          <w:tcPr/>
          <w:p>
            <w:pPr>
              <w:pStyle w:val="Compact"/>
              <w:jc w:val="right"/>
            </w:pPr>
            <w:r>
              <w:t xml:space="preserve">40.3</w:t>
            </w:r>
          </w:p>
        </w:tc>
        <w:tc>
          <w:tcPr/>
          <w:p>
            <w:pPr>
              <w:pStyle w:val="Compact"/>
              <w:jc w:val="right"/>
            </w:pPr>
            <w:r>
              <w:t xml:space="preserve">44.0</w:t>
            </w:r>
          </w:p>
        </w:tc>
        <w:tc>
          <w:tcPr/>
          <w:p>
            <w:pPr>
              <w:pStyle w:val="Compact"/>
              <w:jc w:val="right"/>
            </w:pPr>
            <w:r>
              <w:t xml:space="preserve">87.7</w:t>
            </w:r>
          </w:p>
        </w:tc>
        <w:tc>
          <w:tcPr/>
          <w:p>
            <w:pPr>
              <w:pStyle w:val="Compact"/>
              <w:jc w:val="right"/>
            </w:pPr>
            <w:r>
              <w:t xml:space="preserve">85.3</w:t>
            </w:r>
          </w:p>
        </w:tc>
        <w:tc>
          <w:tcPr/>
          <w:p>
            <w:pPr>
              <w:pStyle w:val="Compact"/>
              <w:jc w:val="right"/>
            </w:pPr>
            <w:r>
              <w:t xml:space="preserve">588.1</w:t>
            </w:r>
          </w:p>
        </w:tc>
      </w:tr>
      <w:tr>
        <w:tc>
          <w:tcPr/>
          <w:p>
            <w:pPr>
              <w:pStyle w:val="Compact"/>
              <w:jc w:val="left"/>
            </w:pPr>
            <w:r>
              <w:t xml:space="preserve">Single call: FATF seed 1</w:t>
            </w:r>
          </w:p>
        </w:tc>
        <w:tc>
          <w:tcPr/>
          <w:p>
            <w:pPr>
              <w:pStyle w:val="Compact"/>
              <w:jc w:val="right"/>
            </w:pPr>
            <w:r>
              <w:t xml:space="preserve">2.3</w:t>
            </w:r>
          </w:p>
        </w:tc>
        <w:tc>
          <w:tcPr/>
          <w:p>
            <w:pPr>
              <w:pStyle w:val="Compact"/>
              <w:jc w:val="right"/>
            </w:pPr>
            <w:r>
              <w:t xml:space="preserve">8.0</w:t>
            </w:r>
          </w:p>
        </w:tc>
        <w:tc>
          <w:tcPr/>
          <w:p>
            <w:pPr>
              <w:pStyle w:val="Compact"/>
              <w:jc w:val="right"/>
            </w:pPr>
            <w:r>
              <w:t xml:space="preserve">39.0</w:t>
            </w:r>
          </w:p>
        </w:tc>
        <w:tc>
          <w:tcPr/>
          <w:p>
            <w:pPr>
              <w:pStyle w:val="Compact"/>
              <w:jc w:val="right"/>
            </w:pPr>
            <w:r>
              <w:t xml:space="preserve">44.0</w:t>
            </w:r>
          </w:p>
        </w:tc>
        <w:tc>
          <w:tcPr/>
          <w:p>
            <w:pPr>
              <w:pStyle w:val="Compact"/>
              <w:jc w:val="right"/>
            </w:pPr>
            <w:r>
              <w:t xml:space="preserve">87.3</w:t>
            </w:r>
          </w:p>
        </w:tc>
        <w:tc>
          <w:tcPr/>
          <w:p>
            <w:pPr>
              <w:pStyle w:val="Compact"/>
              <w:jc w:val="right"/>
            </w:pPr>
            <w:r>
              <w:t xml:space="preserve">85.0</w:t>
            </w:r>
          </w:p>
        </w:tc>
        <w:tc>
          <w:tcPr/>
          <w:p>
            <w:pPr>
              <w:pStyle w:val="Compact"/>
              <w:jc w:val="right"/>
            </w:pPr>
            <w:r>
              <w:t xml:space="preserve">593.0</w:t>
            </w:r>
          </w:p>
        </w:tc>
      </w:tr>
      <w:tr>
        <w:tc>
          <w:tcPr/>
          <w:p>
            <w:pPr>
              <w:pStyle w:val="Compact"/>
              <w:jc w:val="left"/>
            </w:pPr>
            <w:r>
              <w:t xml:space="preserve">Single call: terse seed 0</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80.7</w:t>
            </w:r>
          </w:p>
        </w:tc>
        <w:tc>
          <w:tcPr/>
          <w:p>
            <w:pPr>
              <w:pStyle w:val="Compact"/>
              <w:jc w:val="right"/>
            </w:pPr>
            <w:r>
              <w:t xml:space="preserve">80.3</w:t>
            </w:r>
          </w:p>
        </w:tc>
        <w:tc>
          <w:tcPr/>
          <w:p>
            <w:pPr>
              <w:pStyle w:val="Compact"/>
              <w:jc w:val="right"/>
            </w:pPr>
            <w:r>
              <w:t xml:space="preserve">637.0</w:t>
            </w:r>
          </w:p>
        </w:tc>
      </w:tr>
      <w:tr>
        <w:tc>
          <w:tcPr/>
          <w:p>
            <w:pPr>
              <w:pStyle w:val="Compact"/>
              <w:jc w:val="left"/>
            </w:pPr>
            <w:r>
              <w:t xml:space="preserve">Single call: terse seed 1</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21.0</w:t>
            </w:r>
          </w:p>
        </w:tc>
        <w:tc>
          <w:tcPr/>
          <w:p>
            <w:pPr>
              <w:pStyle w:val="Compact"/>
              <w:jc w:val="right"/>
            </w:pPr>
            <w:r>
              <w:t xml:space="preserve">24.7</w:t>
            </w:r>
          </w:p>
        </w:tc>
        <w:tc>
          <w:tcPr/>
          <w:p>
            <w:pPr>
              <w:pStyle w:val="Compact"/>
              <w:jc w:val="right"/>
            </w:pPr>
            <w:r>
              <w:t xml:space="preserve">81.7</w:t>
            </w:r>
          </w:p>
        </w:tc>
        <w:tc>
          <w:tcPr/>
          <w:p>
            <w:pPr>
              <w:pStyle w:val="Compact"/>
              <w:jc w:val="right"/>
            </w:pPr>
            <w:r>
              <w:t xml:space="preserve">81.3</w:t>
            </w:r>
          </w:p>
        </w:tc>
        <w:tc>
          <w:tcPr/>
          <w:p>
            <w:pPr>
              <w:pStyle w:val="Compact"/>
              <w:jc w:val="right"/>
            </w:pPr>
            <w: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
    <w:bookmarkEnd w:id="29"/>
    <w:bookmarkStart w:id="58"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 One row of Table </w:t>
      </w:r>
      <w:hyperlink w:anchor="tab:agg">
        <w:r>
          <w:rPr>
            <w:rStyle w:val="Hyperlink"/>
          </w:rPr>
          <w:t xml:space="preserve">1</w:t>
        </w:r>
      </w:hyperlink>
      <w:r>
        <w:t xml:space="preserve"> </w:t>
      </w:r>
      <w: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 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t xml:space="preserve">and does not consult the known case label. It was fixed before the full evaluation and is applied identically to legitimate and suspicious cases and to every model. Results under alternative tie policies are set out in Section </w:t>
      </w:r>
      <w:hyperlink w:anchor="sec:agg">
        <w:r>
          <w:rPr>
            <w:rStyle w:val="Hyperlink"/>
          </w:rPr>
          <w:t xml:space="preserve">2.3</w:t>
        </w:r>
      </w:hyperlink>
      <w:r>
        <w:t xml:space="preserve"> </w:t>
      </w:r>
      <w:r>
        <w:t xml:space="preserve">and Table </w:t>
      </w:r>
      <w:hyperlink w:anchor="tab:agg">
        <w:r>
          <w:rPr>
            <w:rStyle w:val="Hyperlink"/>
          </w:rPr>
          <w:t xml:space="preserve">1</w:t>
        </w:r>
      </w:hyperlink>
      <w:r>
        <w:t xml:space="preserve">. The four-call aggregate is an evaluation construct rather than an operationally validated multi-call screening configuration. A multi-call implementation is possible but would require separate assessment of cost, latency and screening workflow. The deployable single-call configurations are reported in Table </w:t>
      </w:r>
      <w:hyperlink w:anchor="tab:agg">
        <w:r>
          <w:rPr>
            <w:rStyle w:val="Hyperlink"/>
          </w:rPr>
          <w:t xml:space="preserve">1</w:t>
        </w:r>
      </w:hyperlink>
      <w:r>
        <w:t xml:space="preserve">.</w:t>
      </w:r>
    </w:p>
    <w:bookmarkStart w:id="33" w:name="fig:fp"/>
    <w:p>
      <w:pPr>
        <w:pStyle w:val="CaptionedFigure"/>
      </w:pPr>
      <w:r>
        <w:drawing>
          <wp:inline>
            <wp:extent cx="3840480" cy="2416403"/>
            <wp:effectExtent b="0" l="0" r="0" t="0"/>
            <wp:docPr descr="" title="" id="31" name="Picture"/>
            <a:graphic>
              <a:graphicData uri="http://schemas.openxmlformats.org/drawingml/2006/picture">
                <pic:pic>
                  <pic:nvPicPr>
                    <pic:cNvPr descr="fig1_fp_by_model.png" id="32" name="Picture"/>
                    <pic:cNvPicPr>
                      <a:picLocks noChangeArrowheads="1" noChangeAspect="1"/>
                    </pic:cNvPicPr>
                  </pic:nvPicPr>
                  <pic:blipFill>
                    <a:blip r:embed="rId30"/>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3"/>
    <w:bookmarkStart w:id="37" w:name="fig:ops"/>
    <w:p>
      <w:pPr>
        <w:pStyle w:val="CaptionedFigure"/>
      </w:pPr>
      <w:r>
        <w:drawing>
          <wp:inline>
            <wp:extent cx="3307080" cy="2613081"/>
            <wp:effectExtent b="0" l="0" r="0" t="0"/>
            <wp:docPr descr="" title="" id="35" name="Picture"/>
            <a:graphic>
              <a:graphicData uri="http://schemas.openxmlformats.org/drawingml/2006/picture">
                <pic:pic>
                  <pic:nvPicPr>
                    <pic:cNvPr descr="fig2_operating_points.png" id="36" name="Picture"/>
                    <pic:cNvPicPr>
                      <a:picLocks noChangeArrowheads="1" noChangeAspect="1"/>
                    </pic:cNvPicPr>
                  </pic:nvPicPr>
                  <pic:blipFill>
                    <a:blip r:embed="rId34"/>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and supervised classifier). Within each provider in the evaluated model set, the more capable model is consistently associated with a lower false-positive rate</w:t>
      </w:r>
    </w:p>
    <w:bookmarkEnd w:id="37"/>
    <w:bookmarkStart w:id="41" w:name="fig:vol"/>
    <w:p>
      <w:pPr>
        <w:pStyle w:val="CaptionedFigure"/>
      </w:pPr>
      <w:r>
        <w:drawing>
          <wp:inline>
            <wp:extent cx="3840480" cy="2425198"/>
            <wp:effectExtent b="0" l="0" r="0" t="0"/>
            <wp:docPr descr="" title="" id="39" name="Picture"/>
            <a:graphic>
              <a:graphicData uri="http://schemas.openxmlformats.org/drawingml/2006/picture">
                <pic:pic>
                  <pic:nvPicPr>
                    <pic:cNvPr descr="fig3_alert_volume.png" id="40" name="Picture"/>
                    <pic:cNvPicPr>
                      <a:picLocks noChangeArrowheads="1" noChangeAspect="1"/>
                    </pic:cNvPicPr>
                  </pic:nvPicPr>
                  <pic:blipFill>
                    <a:blip r:embed="rId38"/>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1"/>
    <w:bookmarkStart w:id="45" w:name="fig:sweep"/>
    <w:p>
      <w:pPr>
        <w:pStyle w:val="CaptionedFigure"/>
      </w:pPr>
      <w:r>
        <w:drawing>
          <wp:inline>
            <wp:extent cx="5067300" cy="2737586"/>
            <wp:effectExtent b="0" l="0" r="0" t="0"/>
            <wp:docPr descr="" title="" id="43" name="Picture"/>
            <a:graphic>
              <a:graphicData uri="http://schemas.openxmlformats.org/drawingml/2006/picture">
                <pic:pic>
                  <pic:nvPicPr>
                    <pic:cNvPr descr="fig6_prevalence_sweep.png" id="44" name="Picture"/>
                    <pic:cNvPicPr>
                      <a:picLocks noChangeArrowheads="1" noChangeAspect="1"/>
                    </pic:cNvPicPr>
                  </pic:nvPicPr>
                  <pic:blipFill>
                    <a:blip r:embed="rId42"/>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5"/>
    <w:bookmarkStart w:id="49" w:name="fig:typ"/>
    <w:p>
      <w:pPr>
        <w:pStyle w:val="CaptionedFigure"/>
      </w:pPr>
      <w:r>
        <w:drawing>
          <wp:inline>
            <wp:extent cx="4000500" cy="2533991"/>
            <wp:effectExtent b="0" l="0" r="0" t="0"/>
            <wp:docPr descr="" title="" id="47" name="Picture"/>
            <a:graphic>
              <a:graphicData uri="http://schemas.openxmlformats.org/drawingml/2006/picture">
                <pic:pic>
                  <pic:nvPicPr>
                    <pic:cNvPr descr="fig4_typology_miss.png" id="48" name="Picture"/>
                    <pic:cNvPicPr>
                      <a:picLocks noChangeArrowheads="1" noChangeAspect="1"/>
                    </pic:cNvPicPr>
                  </pic:nvPicPr>
                  <pic:blipFill>
                    <a:blip r:embed="rId46"/>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49"/>
    <w:bookmarkStart w:id="53" w:name="fig:heat"/>
    <w:p>
      <w:pPr>
        <w:pStyle w:val="CaptionedFigure"/>
      </w:pPr>
      <w:r>
        <w:drawing>
          <wp:inline>
            <wp:extent cx="3520440" cy="2365160"/>
            <wp:effectExtent b="0" l="0" r="0" t="0"/>
            <wp:docPr descr="" title="" id="51" name="Picture"/>
            <a:graphic>
              <a:graphicData uri="http://schemas.openxmlformats.org/drawingml/2006/picture">
                <pic:pic>
                  <pic:nvPicPr>
                    <pic:cNvPr descr="fig5_typology_model_heatmap.png" id="52" name="Picture"/>
                    <pic:cNvPicPr>
                      <a:picLocks noChangeArrowheads="1" noChangeAspect="1"/>
                    </pic:cNvPicPr>
                  </pic:nvPicPr>
                  <pic:blipFill>
                    <a:blip r:embed="rId50"/>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3"/>
    <w:bookmarkStart w:id="54" w:name="tab:ops"/>
    <w:p>
      <w:pPr>
        <w:pStyle w:val="TableCaption"/>
      </w:pPr>
      <w:r>
        <w:rPr>
          <w:b/>
          <w:bCs/>
        </w:rPr>
        <w:t xml:space="preserve">Per-model operating point on the identical 600-case battery.</w:t>
      </w:r>
      <w:r>
        <w:t xml:space="preserve"> </w:t>
      </w:r>
      <w:r>
        <w:t xml:space="preserve">Values are percentages with 95% Wilson score confidence intervals. Here</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Per-model operating point on the identical 600-case battery. Values are percentages with 95% Wilson score confidence intervals. Here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4"/>
    <w:p/>
    <w:bookmarkStart w:id="55" w:name="tab:mcnemar"/>
    <w:p>
      <w:pPr>
        <w:pStyle w:val="TableCaption"/>
      </w:pPr>
      <w:r>
        <w:rPr>
          <w:b/>
          <w:bCs/>
        </w:rPr>
        <w:t xml:space="preserve">Pairwise comparison of false-positive rates.</w:t>
      </w:r>
      <w:r>
        <w:t xml:space="preserve"> </w:t>
      </w:r>
      <w:r>
        <w:t xml:space="preserve">McNemar’s exact (binomial) test on the 300 legitimate cases (same cases for all models). Here</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Pairwise comparison of false-positive rates. McNemar’s exact (binomial) test on the 300 legitimate cases (same cases for all models). Here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vol"/>
    <w:p>
      <w:pPr>
        <w:pStyle w:val="TableCaption"/>
      </w:pP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te"/>
    <w:p>
      <w:pPr>
        <w:pStyle w:val="TableCaption"/>
      </w:pP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pPr>
          </w:p>
        </w:tc>
        <w:tc>
          <w:tcPr/>
          <w:p>
            <w:pPr>
              <w:pStyle w:val="Compact"/>
            </w:pPr>
          </w:p>
        </w:tc>
      </w:tr>
    </w:tbl>
    <w:bookmarkEnd w:id="57"/>
    <w:p>
      <w:pPr>
        <w:pStyle w:val="BodyText"/>
      </w:pPr>
      <w:r>
        <w:t xml:space="preserve">Analyses used open-source software (Python, NumPy, scikit-learn, SciPy, Matplotlib). The authors thank the maintainers of these open-source projects.</w:t>
      </w:r>
    </w:p>
    <w:bookmarkEnd w:id="58"/>
    <w:bookmarkStart w:id="61"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59">
        <w:r>
          <w:rPr>
            <w:rStyle w:val="Hyperlink"/>
          </w:rPr>
          <w:t xml:space="preserve">https://github.com/samirrc2/ai-foundation-model-aml-false-positives</w:t>
        </w:r>
      </w:hyperlink>
      <w:r>
        <w:t xml:space="preserve"> </w:t>
      </w:r>
      <w:r>
        <w:t xml:space="preserve">under the MIT licence, and archived on Zenodo under the concept DOI</w:t>
      </w:r>
      <w:r>
        <w:t xml:space="preserve"> </w:t>
      </w:r>
      <w:hyperlink r:id="rId60">
        <w:r>
          <w:rPr>
            <w:rStyle w:val="Hyperlink"/>
          </w:rPr>
          <w:t xml:space="preserve">https://doi.org/10.5281/zenodo.23424852</w:t>
        </w:r>
      </w:hyperlink>
      <w:r>
        <w:t xml:space="preserve">, which resolves to the most recent version. The repository root includes</w:t>
      </w:r>
      <w:r>
        <w:t xml:space="preserve"> </w:t>
      </w:r>
      <w:r>
        <w:rPr>
          <w:rStyle w:val="VerbatimChar"/>
        </w:rPr>
        <w:t xml:space="preserve">REPRODUCIBILITY_DOCUMENTATION.pdf</w:t>
      </w:r>
      <w:r>
        <w:t xml:space="preserve">, a guide to every input, script and output and to the offline reproduction, which runs with one command. The study uses only synthetic transaction data. No human participants, proprietary records or live model access are required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59">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The study uses synthetic data only, with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with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1"/>
    <w:bookmarkStart w:id="94"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2">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3">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r>
        <w:t xml:space="preserve"> </w:t>
      </w:r>
      <w:hyperlink r:id="rId64">
        <w:r>
          <w:rPr>
            <w:rStyle w:val="Hyperlink"/>
          </w:rPr>
          <w:t xml:space="preserve">https://doi.org/10.52202/075280-1300</w:t>
        </w:r>
      </w:hyperlink>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5">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6">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7">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8">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9">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70">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1">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r>
        <w:t xml:space="preserve"> </w:t>
      </w:r>
      <w:hyperlink r:id="rId72">
        <w:r>
          <w:rPr>
            <w:rStyle w:val="Hyperlink"/>
          </w:rPr>
          <w:t xml:space="preserve">https://eur-lex.europa.eu/eli/reg/2024/1689/oj</w:t>
        </w:r>
      </w:hyperlink>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w:t>
      </w:r>
      <w:r>
        <w:t xml:space="preserve"> </w:t>
      </w:r>
      <w:hyperlink r:id="rId73">
        <w:r>
          <w:rPr>
            <w:rStyle w:val="Hyperlink"/>
          </w:rPr>
          <w:t xml:space="preserve">https://www.fatf-gafi.org/en/publications/Fatfrecommendations/Fatf-recommendations.html</w:t>
        </w:r>
      </w:hyperlink>
      <w:r>
        <w:t xml:space="preserve">, updated 2023</w:t>
      </w:r>
    </w:p>
    <w:p>
      <w:pPr>
        <w:numPr>
          <w:ilvl w:val="0"/>
          <w:numId w:val="1003"/>
        </w:numPr>
      </w:pPr>
      <w:r>
        <w:t xml:space="preserve">Financial Action Task Force</w:t>
      </w:r>
      <w:r>
        <w:t xml:space="preserve"> </w:t>
      </w:r>
      <w:r>
        <w:t xml:space="preserve">(2021) Stocktake on data pooling, collaborative analytics and data protection. Tech. rep., FATF,</w:t>
      </w:r>
      <w:r>
        <w:t xml:space="preserve"> </w:t>
      </w:r>
      <w:hyperlink r:id="rId74">
        <w:r>
          <w:rPr>
            <w:rStyle w:val="Hyperlink"/>
          </w:rPr>
          <w:t xml:space="preserve">https://www.fatf-gafi.org/en/publications/Digitaltransformation/Data-pooling-collaborative-analytics-data-protection.html</w:t>
        </w:r>
      </w:hyperlink>
    </w:p>
    <w:p>
      <w:pPr>
        <w:numPr>
          <w:ilvl w:val="0"/>
          <w:numId w:val="1003"/>
        </w:numPr>
      </w:pPr>
      <w:r>
        <w:t xml:space="preserve">Gebru T, et al (2021) Datasheets for datasets. Commun ACM 64:86–92.</w:t>
      </w:r>
      <w:r>
        <w:t xml:space="preserve"> </w:t>
      </w:r>
      <w:hyperlink r:id="rId75">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6">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w:t>
      </w:r>
      <w:r>
        <w:t xml:space="preserve"> </w:t>
      </w:r>
      <w:hyperlink r:id="rId77">
        <w:r>
          <w:rPr>
            <w:rStyle w:val="Hyperlink"/>
          </w:rPr>
          <w:t xml:space="preserve">https://ai.google.dev/gemini-api/docs/models</w:t>
        </w:r>
      </w:hyperlink>
      <w:r>
        <w:t xml:space="preserve">,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8">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9">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80">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81">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82">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83">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84">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5">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w:t>
      </w:r>
      <w:r>
        <w:t xml:space="preserve"> </w:t>
      </w:r>
      <w:hyperlink r:id="rId86">
        <w:r>
          <w:rPr>
            <w:rStyle w:val="Hyperlink"/>
          </w:rPr>
          <w:t xml:space="preserve">https://doi.org/10.6028/NIST.AI.100-1</w:t>
        </w:r>
      </w:hyperlink>
      <w:r>
        <w:t xml:space="preserve">,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Development of a synthetic transaction monitoring dataset (</w:t>
      </w:r>
      <w:r>
        <w:t xml:space="preserve">SAML-D</w:t>
      </w:r>
      <w:r>
        <w:t xml:space="preserve">). In: Proc. IEEE Int. Conf. e-Business Engineering,</w:t>
      </w:r>
      <w:r>
        <w:t xml:space="preserve"> </w:t>
      </w:r>
      <w:hyperlink r:id="rId87">
        <w:r>
          <w:rPr>
            <w:rStyle w:val="Hyperlink"/>
          </w:rPr>
          <w:t xml:space="preserve">https://doi.org/10.1109/ICEBE59045.2023.00028</w:t>
        </w:r>
      </w:hyperlink>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8">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9">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90">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r>
        <w:t xml:space="preserve"> </w:t>
      </w:r>
      <w:hyperlink r:id="rId91">
        <w:r>
          <w:rPr>
            <w:rStyle w:val="Hyperlink"/>
          </w:rPr>
          <w:t xml:space="preserve">https://www.unodc.org/documents/data-and-analysis/Studies/Illicit_financial_flows_2011_web.pdf</w:t>
        </w:r>
      </w:hyperlink>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92">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93">
        <w:r>
          <w:rPr>
            <w:rStyle w:val="Hyperlink"/>
          </w:rPr>
          <w:t xml:space="preserve">https://doi.org/10.1007/s44163-026-01283-3</w:t>
        </w:r>
      </w:hyperlink>
    </w:p>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42" Target="media/rId42.png" /><Relationship Type="http://schemas.openxmlformats.org/officeDocument/2006/relationships/hyperlink" Id="rId77" Target="https://ai.google.dev/gemini-api/docs/models" TargetMode="External" /><Relationship Type="http://schemas.openxmlformats.org/officeDocument/2006/relationships/hyperlink" Id="rId76" Target="https://doi.org/10.1002/isaf.1509" TargetMode="External" /><Relationship Type="http://schemas.openxmlformats.org/officeDocument/2006/relationships/hyperlink" Id="rId70" Target="https://doi.org/10.1002/wics.70040" TargetMode="External" /><Relationship Type="http://schemas.openxmlformats.org/officeDocument/2006/relationships/hyperlink" Id="rId83" Target="https://doi.org/10.1007/BF02295996" TargetMode="External" /><Relationship Type="http://schemas.openxmlformats.org/officeDocument/2006/relationships/hyperlink" Id="rId65" Target="https://doi.org/10.1007/s44163-025-00574-5" TargetMode="External" /><Relationship Type="http://schemas.openxmlformats.org/officeDocument/2006/relationships/hyperlink" Id="rId85"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93"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8" Target="https://doi.org/10.1016/j.dss.2020.113303" TargetMode="External" /><Relationship Type="http://schemas.openxmlformats.org/officeDocument/2006/relationships/hyperlink" Id="rId69" Target="https://doi.org/10.1017/can.2022.3" TargetMode="External" /><Relationship Type="http://schemas.openxmlformats.org/officeDocument/2006/relationships/hyperlink" Id="rId80" Target="https://doi.org/10.1038/s41597-023-02569-2" TargetMode="External" /><Relationship Type="http://schemas.openxmlformats.org/officeDocument/2006/relationships/hyperlink" Id="rId82" Target="https://doi.org/10.1073/pnas.2018340118" TargetMode="External" /><Relationship Type="http://schemas.openxmlformats.org/officeDocument/2006/relationships/hyperlink" Id="rId92" Target="https://doi.org/10.1080/01621459.1927.10502953" TargetMode="External" /><Relationship Type="http://schemas.openxmlformats.org/officeDocument/2006/relationships/hyperlink" Id="rId68" Target="https://doi.org/10.1093/biomet/37.3-4.256" TargetMode="External" /><Relationship Type="http://schemas.openxmlformats.org/officeDocument/2006/relationships/hyperlink" Id="rId81" Target="https://doi.org/10.1108/JMLC-07-2019-0055" TargetMode="External" /><Relationship Type="http://schemas.openxmlformats.org/officeDocument/2006/relationships/hyperlink" Id="rId87" Target="https://doi.org/10.1109/ICEBE59045.2023.00028" TargetMode="External" /><Relationship Type="http://schemas.openxmlformats.org/officeDocument/2006/relationships/hyperlink" Id="rId79" Target="https://doi.org/10.1109/TKDE.2008.239" TargetMode="External" /><Relationship Type="http://schemas.openxmlformats.org/officeDocument/2006/relationships/hyperlink" Id="rId90" Target="https://doi.org/10.1145/2939672.2939778" TargetMode="External" /><Relationship Type="http://schemas.openxmlformats.org/officeDocument/2006/relationships/hyperlink" Id="rId84" Target="https://doi.org/10.1145/3287560.3287596" TargetMode="External" /><Relationship Type="http://schemas.openxmlformats.org/officeDocument/2006/relationships/hyperlink" Id="rId89" Target="https://doi.org/10.1145/3351095.3372873" TargetMode="External" /><Relationship Type="http://schemas.openxmlformats.org/officeDocument/2006/relationships/hyperlink" Id="rId66" Target="https://doi.org/10.1145/3442188.3445922" TargetMode="External" /><Relationship Type="http://schemas.openxmlformats.org/officeDocument/2006/relationships/hyperlink" Id="rId75" Target="https://doi.org/10.1145/3458723" TargetMode="External" /><Relationship Type="http://schemas.openxmlformats.org/officeDocument/2006/relationships/hyperlink" Id="rId71" Target="https://doi.org/10.1214/aos/1176344552" TargetMode="External" /><Relationship Type="http://schemas.openxmlformats.org/officeDocument/2006/relationships/hyperlink" Id="rId78" Target="https://doi.org/10.1348/000711006X126600" TargetMode="External" /><Relationship Type="http://schemas.openxmlformats.org/officeDocument/2006/relationships/hyperlink" Id="rId67" Target="https://doi.org/10.1613/jair.953" TargetMode="External" /><Relationship Type="http://schemas.openxmlformats.org/officeDocument/2006/relationships/hyperlink" Id="rId64" Target="https://doi.org/10.52202/075280-1300" TargetMode="External" /><Relationship Type="http://schemas.openxmlformats.org/officeDocument/2006/relationships/hyperlink" Id="rId60" Target="https://doi.org/10.5281/zenodo.23424852" TargetMode="External" /><Relationship Type="http://schemas.openxmlformats.org/officeDocument/2006/relationships/hyperlink" Id="rId86" Target="https://doi.org/10.6028/NIST.AI.100-1" TargetMode="External" /><Relationship Type="http://schemas.openxmlformats.org/officeDocument/2006/relationships/hyperlink" Id="rId72" Target="https://eur-lex.europa.eu/eli/reg/2024/1689/oj" TargetMode="External" /><Relationship Type="http://schemas.openxmlformats.org/officeDocument/2006/relationships/hyperlink" Id="rId59" Target="https://github.com/samirrc2/ai-foundation-model-aml-false-positives" TargetMode="External" /><Relationship Type="http://schemas.openxmlformats.org/officeDocument/2006/relationships/hyperlink" Id="rId74" Target="https://www.fatf-gafi.org/en/publications/Digitaltransformation/Data-pooling-collaborative-analytics-data-protection.html" TargetMode="External" /><Relationship Type="http://schemas.openxmlformats.org/officeDocument/2006/relationships/hyperlink" Id="rId73" Target="https://www.fatf-gafi.org/en/publications/Fatfrecommendations/Fatf-recommendations.html" TargetMode="External" /><Relationship Type="http://schemas.openxmlformats.org/officeDocument/2006/relationships/hyperlink" Id="rId91" Target="https://www.unodc.org/documents/data-and-analysis/Studies/Illicit_financial_flows_2011_web.pdf" TargetMode="External" /></Relationships>
</file>

<file path=word/_rels/footnotes.xml.rels><?xml version="1.0" encoding="UTF-8"?><Relationships xmlns="http://schemas.openxmlformats.org/package/2006/relationships"><Relationship Type="http://schemas.openxmlformats.org/officeDocument/2006/relationships/hyperlink" Id="rId77" Target="https://ai.google.dev/gemini-api/docs/models" TargetMode="External" /><Relationship Type="http://schemas.openxmlformats.org/officeDocument/2006/relationships/hyperlink" Id="rId76" Target="https://doi.org/10.1002/isaf.1509" TargetMode="External" /><Relationship Type="http://schemas.openxmlformats.org/officeDocument/2006/relationships/hyperlink" Id="rId70" Target="https://doi.org/10.1002/wics.70040" TargetMode="External" /><Relationship Type="http://schemas.openxmlformats.org/officeDocument/2006/relationships/hyperlink" Id="rId83" Target="https://doi.org/10.1007/BF02295996" TargetMode="External" /><Relationship Type="http://schemas.openxmlformats.org/officeDocument/2006/relationships/hyperlink" Id="rId65" Target="https://doi.org/10.1007/s44163-025-00574-5" TargetMode="External" /><Relationship Type="http://schemas.openxmlformats.org/officeDocument/2006/relationships/hyperlink" Id="rId85"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93"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8" Target="https://doi.org/10.1016/j.dss.2020.113303" TargetMode="External" /><Relationship Type="http://schemas.openxmlformats.org/officeDocument/2006/relationships/hyperlink" Id="rId69" Target="https://doi.org/10.1017/can.2022.3" TargetMode="External" /><Relationship Type="http://schemas.openxmlformats.org/officeDocument/2006/relationships/hyperlink" Id="rId80" Target="https://doi.org/10.1038/s41597-023-02569-2" TargetMode="External" /><Relationship Type="http://schemas.openxmlformats.org/officeDocument/2006/relationships/hyperlink" Id="rId82" Target="https://doi.org/10.1073/pnas.2018340118" TargetMode="External" /><Relationship Type="http://schemas.openxmlformats.org/officeDocument/2006/relationships/hyperlink" Id="rId92" Target="https://doi.org/10.1080/01621459.1927.10502953" TargetMode="External" /><Relationship Type="http://schemas.openxmlformats.org/officeDocument/2006/relationships/hyperlink" Id="rId68" Target="https://doi.org/10.1093/biomet/37.3-4.256" TargetMode="External" /><Relationship Type="http://schemas.openxmlformats.org/officeDocument/2006/relationships/hyperlink" Id="rId81" Target="https://doi.org/10.1108/JMLC-07-2019-0055" TargetMode="External" /><Relationship Type="http://schemas.openxmlformats.org/officeDocument/2006/relationships/hyperlink" Id="rId87" Target="https://doi.org/10.1109/ICEBE59045.2023.00028" TargetMode="External" /><Relationship Type="http://schemas.openxmlformats.org/officeDocument/2006/relationships/hyperlink" Id="rId79" Target="https://doi.org/10.1109/TKDE.2008.239" TargetMode="External" /><Relationship Type="http://schemas.openxmlformats.org/officeDocument/2006/relationships/hyperlink" Id="rId90" Target="https://doi.org/10.1145/2939672.2939778" TargetMode="External" /><Relationship Type="http://schemas.openxmlformats.org/officeDocument/2006/relationships/hyperlink" Id="rId84" Target="https://doi.org/10.1145/3287560.3287596" TargetMode="External" /><Relationship Type="http://schemas.openxmlformats.org/officeDocument/2006/relationships/hyperlink" Id="rId89" Target="https://doi.org/10.1145/3351095.3372873" TargetMode="External" /><Relationship Type="http://schemas.openxmlformats.org/officeDocument/2006/relationships/hyperlink" Id="rId66" Target="https://doi.org/10.1145/3442188.3445922" TargetMode="External" /><Relationship Type="http://schemas.openxmlformats.org/officeDocument/2006/relationships/hyperlink" Id="rId75" Target="https://doi.org/10.1145/3458723" TargetMode="External" /><Relationship Type="http://schemas.openxmlformats.org/officeDocument/2006/relationships/hyperlink" Id="rId71" Target="https://doi.org/10.1214/aos/1176344552" TargetMode="External" /><Relationship Type="http://schemas.openxmlformats.org/officeDocument/2006/relationships/hyperlink" Id="rId78" Target="https://doi.org/10.1348/000711006X126600" TargetMode="External" /><Relationship Type="http://schemas.openxmlformats.org/officeDocument/2006/relationships/hyperlink" Id="rId67" Target="https://doi.org/10.1613/jair.953" TargetMode="External" /><Relationship Type="http://schemas.openxmlformats.org/officeDocument/2006/relationships/hyperlink" Id="rId64" Target="https://doi.org/10.52202/075280-1300" TargetMode="External" /><Relationship Type="http://schemas.openxmlformats.org/officeDocument/2006/relationships/hyperlink" Id="rId60" Target="https://doi.org/10.5281/zenodo.23424852" TargetMode="External" /><Relationship Type="http://schemas.openxmlformats.org/officeDocument/2006/relationships/hyperlink" Id="rId86" Target="https://doi.org/10.6028/NIST.AI.100-1" TargetMode="External" /><Relationship Type="http://schemas.openxmlformats.org/officeDocument/2006/relationships/hyperlink" Id="rId72" Target="https://eur-lex.europa.eu/eli/reg/2024/1689/oj" TargetMode="External" /><Relationship Type="http://schemas.openxmlformats.org/officeDocument/2006/relationships/hyperlink" Id="rId59" Target="https://github.com/samirrc2/ai-foundation-model-aml-false-positives" TargetMode="External" /><Relationship Type="http://schemas.openxmlformats.org/officeDocument/2006/relationships/hyperlink" Id="rId74" Target="https://www.fatf-gafi.org/en/publications/Digitaltransformation/Data-pooling-collaborative-analytics-data-protection.html" TargetMode="External" /><Relationship Type="http://schemas.openxmlformats.org/officeDocument/2006/relationships/hyperlink" Id="rId73" Target="https://www.fatf-gafi.org/en/publications/Fatfrecommendations/Fatf-recommendations.html" TargetMode="External" /><Relationship Type="http://schemas.openxmlformats.org/officeDocument/2006/relationships/hyperlink" Id="rId91" Target="https://www.unodc.org/documents/data-and-analysis/Studies/Illicit_financial_flows_2011_web.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2026-10-16T22:02:50Z</dcterms:created>
  <dcterms:modified xsi:type="dcterms:W3CDTF">2026-10-16T22:02:50Z</dcterms:modified>
</cp:coreProperties>
</file>

<file path=docProps/custom.xml><?xml version="1.0" encoding="utf-8"?>
<Properties xmlns="http://schemas.openxmlformats.org/officeDocument/2006/custom-properties" xmlns:vt="http://schemas.openxmlformats.org/officeDocument/2006/docPropsVTypes"/>
</file>