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 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 template strata)—and the models disagreed on 88.7% of legitimate cases. Differences were systematic: rates decreased monotonically with model tier within both provider families studied, so lower-tier models over-flagged legitimate activity. The models occupied different points on the sensitivity–specificity trade-off, not merely different accuracy levels. In an illustrative scenario of one million daily transactions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 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 laundering (AML) monitoring [1, 10, 19, 22].</w:t>
      </w:r>
    </w:p>
    <w:p>
      <w:pPr>
        <w:pStyle w:val="BodyText"/>
      </w:pPr>
      <w:r>
        <w:t xml:space="preserve">Machine learning methods have been introduced into AML and related financial crime applications largely to improve this trade-off. Existing research in this domain includes supervised classifiers, ensemble methods, deep 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 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 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 distribution shift that a traditional drift 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 crime literature has focused on reducing false positives through class 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 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 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false-positive or miss rates in production,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 learning baselines, and translate the measured operating points into an illustrative low-prevalence alert 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Model substitution as a governance event.</w:t>
      </w:r>
      <w:r>
        <w:t xml:space="preserve"> </w:t>
      </w:r>
      <w:r>
        <w:t xml:space="preserve">We treat model tier substitution and provider-managed</w:t>
      </w:r>
      <w:r>
        <w:t xml:space="preserve"> </w:t>
      </w:r>
      <w:r>
        <w:rPr>
          <w:rStyle w:val="VerbatimChar"/>
        </w:rPr>
        <w:t xml:space="preserve">-latest</w:t>
      </w:r>
      <w:r>
        <w:t xml:space="preserve"> </w:t>
      </w:r>
      <w:r>
        <w:t xml:space="preserve">alias redirection as first-class model risk events, and propose a standing operating 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 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false-positive or miss rates in production,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 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performance in production.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 template strata (cross-model spread and disagreement metrics), additional 95% percentile bootstrap confidence intervals were constructed via cluster resampling over the eight case 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 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 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 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 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 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 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 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 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records from a production bank.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performance in production.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 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 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performance in production,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 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2026-10-21T01:31:36Z</dcterms:created>
  <dcterms:modified xsi:type="dcterms:W3CDTF">2026-10-21T01:31:36Z</dcterms:modified>
</cp:coreProperties>
</file>

<file path=docProps/custom.xml><?xml version="1.0" encoding="utf-8"?>
<Properties xmlns="http://schemas.openxmlformats.org/officeDocument/2006/custom-properties" xmlns:vt="http://schemas.openxmlformats.org/officeDocument/2006/docPropsVTypes"/>
</file>