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7.png" ContentType="image/png"/>
  <Override PartName="/word/media/rId5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w:t>
      </w:r>
      <w:r>
        <w:t xml:space="preserve"> </w:t>
      </w:r>
      <w:r>
        <w:rPr>
          <w:strike/>
        </w:rPr>
        <w:t xml:space="preserve">implications of choosing one foundation model over another are poorly quantified. This study investigates</w:t>
      </w:r>
      <w:r>
        <w:t xml:space="preserve"> </w:t>
      </w:r>
      <w:r>
        <w:rPr>
          <w:highlight w:val="yellow"/>
        </w:rPr>
        <w:t xml:space="preserve">consequences of model choice are poorly quantified. We investigate</w:t>
      </w:r>
      <w:r>
        <w:t xml:space="preserve"> </w:t>
      </w:r>
      <w:r>
        <w:t xml:space="preserve">how foundation-model selection affects the screening operating point</w:t>
      </w:r>
      <w:r>
        <w:t xml:space="preserve"> </w:t>
      </w:r>
      <w:r>
        <w:rPr>
          <w:strike/>
        </w:rPr>
        <w:t xml:space="preserve">for a fixed task, transaction cases and evaluation procedure. We tested five off-the-shelf foundation models from two providers as zero-shot AML screeners, using a preregistered, fully</w:t>
      </w:r>
      <w:r>
        <w:t xml:space="preserve"> </w:t>
      </w:r>
      <w:r>
        <w:rPr>
          <w:highlight w:val="yellow"/>
        </w:rPr>
        <w:t xml:space="preserve">when the task, cases and evaluation procedure are held fixed. Five off-the-shelf models from two providers were tested as zero-shot screeners on a preregistered,</w:t>
      </w:r>
      <w:r>
        <w:t xml:space="preserve"> </w:t>
      </w:r>
      <w:r>
        <w:t xml:space="preserve">reproducible battery of 600 synthetic transaction cases anchored on established laundering typologies,</w:t>
      </w:r>
      <w:r>
        <w:t xml:space="preserve"> </w:t>
      </w:r>
      <w:r>
        <w:rPr>
          <w:strike/>
        </w:rPr>
        <w:t xml:space="preserve">with equal numbers of suspicious cases and legitimate hard negatives designed to resemble common alert patterns.</w:t>
      </w:r>
      <w:r>
        <w:t xml:space="preserve"> </w:t>
      </w:r>
      <w:r>
        <w:rPr>
          <w:highlight w:val="yellow"/>
        </w:rPr>
        <w:t xml:space="preserve">half suspicious and half hard negatives.</w:t>
      </w:r>
      <w:r>
        <w:t xml:space="preserve"> </w:t>
      </w:r>
      <w:r>
        <w:t xml:space="preserve">For the same 300 legitimate cases, false-positive rates ranged from</w:t>
      </w:r>
      <w:r>
        <w:t xml:space="preserve"> </w:t>
      </w:r>
      <w:r>
        <w:rPr>
          <w:strike/>
        </w:rPr>
        <w:t xml:space="preserve">0.3% to 83.0%—an 82.7 percentage-point spread—and the models disagreed on 85.7% of legitimate cases. The differences were systematic: false-positive</w:t>
      </w:r>
      <w:r>
        <w:t xml:space="preserve"> </w:t>
      </w:r>
      <w:r>
        <w:rPr>
          <w:highlight w:val="yellow"/>
        </w:rPr>
        <w:t xml:space="preserve">2.3</w:t>
      </w:r>
      <w:r>
        <w:t xml:space="preserve">%</w:t>
      </w:r>
      <w:r>
        <w:t xml:space="preserve"> </w:t>
      </w:r>
      <w:r>
        <w:rPr>
          <w:highlight w:val="yellow"/>
        </w:rPr>
        <w:t xml:space="preserve">to 85.7</w:t>
      </w:r>
      <w:r>
        <w:t xml:space="preserve">%</w:t>
      </w:r>
      <w:r>
        <w:rPr>
          <w:highlight w:val="yellow"/>
        </w:rPr>
        <w:t xml:space="preserve">—an 83.3 percentage-point spread (95</w:t>
      </w:r>
      <w:r>
        <w:t xml:space="preserve">%</w:t>
      </w:r>
      <w:r>
        <w:t xml:space="preserve"> </w:t>
      </w:r>
      <w:r>
        <w:rPr>
          <w:highlight w:val="yellow"/>
        </w:rPr>
        <w:t xml:space="preserve">confidence interval 71.8 to 93.7 points, cluster bootstrap over eight case-template strata)—and the models disagreed on 88.7</w:t>
      </w:r>
      <w:r>
        <w:t xml:space="preserve">%</w:t>
      </w:r>
      <w:r>
        <w:t xml:space="preserve"> </w:t>
      </w:r>
      <w:r>
        <w:rPr>
          <w:highlight w:val="yellow"/>
        </w:rPr>
        <w:t xml:space="preserve">of legitimate cases. Differences were systematic:</w:t>
      </w:r>
      <w:r>
        <w:t xml:space="preserve"> </w:t>
      </w:r>
      <w:r>
        <w:t xml:space="preserve">rates decreased monotonically with model tier within each</w:t>
      </w:r>
      <w:r>
        <w:t xml:space="preserve"> </w:t>
      </w:r>
      <w:r>
        <w:rPr>
          <w:strike/>
        </w:rPr>
        <w:t xml:space="preserve">provider family, so that smaller, lower-tier models substantially over-flagged legitimate activity relative to their more capable counterparts. The models therefore occupied quite different points along</w:t>
      </w:r>
      <w:r>
        <w:t xml:space="preserve"> </w:t>
      </w:r>
      <w:r>
        <w:rPr>
          <w:highlight w:val="yellow"/>
        </w:rPr>
        <w:t xml:space="preserve">of the two provider families studied, so lower-tier models over-flagged legitimate activity. The models occupied different points on</w:t>
      </w:r>
      <w:r>
        <w:t xml:space="preserve"> </w:t>
      </w:r>
      <w:r>
        <w:t xml:space="preserve">the sensitivity–specificity trade-off, not merely different</w:t>
      </w:r>
      <w:r>
        <w:t xml:space="preserve"> </w:t>
      </w:r>
      <w:r>
        <w:rPr>
          <w:strike/>
        </w:rPr>
        <w:t xml:space="preserve">levels of accuracy. In an illustrative low-prevalence</w:t>
      </w:r>
      <w:r>
        <w:t xml:space="preserve"> </w:t>
      </w:r>
      <w:r>
        <w:rPr>
          <w:highlight w:val="yellow"/>
        </w:rPr>
        <w:t xml:space="preserve">accuracy levels. In an illustrative</w:t>
      </w:r>
      <w:r>
        <w:t xml:space="preserve"> </w:t>
      </w:r>
      <w:r>
        <w:t xml:space="preserve">scenario of one million transactions per</w:t>
      </w:r>
      <w:r>
        <w:t xml:space="preserve"> </w:t>
      </w:r>
      <w:r>
        <w:rPr>
          <w:strike/>
        </w:rPr>
        <w:t xml:space="preserve">day, the observed operating points differed by about 200-fold in projected daily alert workload. These findings show that foundation-model choice is</w:t>
      </w:r>
      <w:r>
        <w:t xml:space="preserve"> </w:t>
      </w:r>
      <w:r>
        <w:rPr>
          <w:highlight w:val="yellow"/>
        </w:rPr>
        <w:t xml:space="preserve">day at 0.1</w:t>
      </w:r>
      <w:r>
        <w:t xml:space="preserve">%</w:t>
      </w:r>
      <w:r>
        <w:t xml:space="preserve"> </w:t>
      </w:r>
      <w:r>
        <w:rPr>
          <w:highlight w:val="yellow"/>
        </w:rPr>
        <w:t xml:space="preserve">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w:t>
      </w:r>
      <w:r>
        <w:t xml:space="preserve"> </w:t>
      </w:r>
      <w:r>
        <w:t xml:space="preserve">not merely an AML procurement</w:t>
      </w:r>
      <w:r>
        <w:rPr>
          <w:strike/>
        </w:rPr>
        <w:t xml:space="preserve">or implementation</w:t>
      </w:r>
      <w:r>
        <w:t xml:space="preserve"> </w:t>
      </w:r>
      <w:r>
        <w:t xml:space="preserve">decision but a core operational risk parameter. Because commercially accessed models may be updated,</w:t>
      </w:r>
      <w:r>
        <w:t xml:space="preserve"> </w:t>
      </w:r>
      <w:r>
        <w:rPr>
          <w:strike/>
        </w:rPr>
        <w:t xml:space="preserve">substituted, repriced or retired by providers, model identity and operating-point stability should be explicitly incorporated into model-risk governance, validation and ongoing monitoring.</w:t>
      </w:r>
      <w:r>
        <w:t xml:space="preserve"> </w:t>
      </w:r>
      <w:r>
        <w:rPr>
          <w:highlight w:val="yellow"/>
        </w:rPr>
        <w:t xml:space="preserve">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marked-copy-revision-1"/>
    <w:p>
      <w:pPr>
        <w:pStyle w:val="Heading1"/>
      </w:pPr>
      <w:r>
        <w:t xml:space="preserve">Marked copy, revision 1</w:t>
      </w:r>
    </w:p>
    <w:p>
      <w:pPr>
        <w:pStyle w:val="FirstParagraph"/>
      </w:pPr>
      <w:r>
        <w:t xml:space="preserve">Text added since the original submission is highlighted. Text removed since the original submission is shown struck through at the point where it stood. Table bodies are reproduced in final form without internal marks. A table or figure that is new or revised is labelled in its caption.</w:t>
      </w:r>
    </w:p>
    <w:bookmarkEnd w:id="10"/>
    <w:bookmarkStart w:id="11"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w:t>
      </w:r>
      <w:r>
        <w:t xml:space="preserve"> </w:t>
      </w:r>
      <w:r>
        <w:rPr>
          <w:strike/>
        </w:rPr>
        <w:t xml:space="preserve">models—trained</w:t>
      </w:r>
      <w:r>
        <w:t xml:space="preserve"> </w:t>
      </w:r>
      <w:r>
        <w:rPr>
          <w:highlight w:val="yellow"/>
        </w:rPr>
        <w:t xml:space="preserve">models</w:t>
      </w:r>
      <w:r>
        <w:t xml:space="preserve"> </w:t>
      </w:r>
      <w:r>
        <w:t xml:space="preserve">[8, 9]</w:t>
      </w:r>
      <w:r>
        <w:rPr>
          <w:highlight w:val="yellow"/>
        </w:rPr>
        <w:t xml:space="preserve">—trained</w:t>
      </w:r>
      <w:r>
        <w:t xml:space="preserve"> </w:t>
      </w:r>
      <w:r>
        <w:t xml:space="preserve">on broad data and adapted to many tasks through natural-language</w:t>
      </w:r>
      <w:r>
        <w:t xml:space="preserve"> </w:t>
      </w:r>
      <w:r>
        <w:rPr>
          <w:highlight w:val="yellow"/>
        </w:rPr>
        <w:t xml:space="preserve">instructions—have</w:t>
      </w:r>
      <w:r>
        <w:t xml:space="preserve"> </w:t>
      </w:r>
      <w:r>
        <w:t xml:space="preserve">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w:t>
      </w:r>
      <w:r>
        <w:t xml:space="preserve"> </w:t>
      </w:r>
      <w:r>
        <w:rPr>
          <w:strike/>
        </w:rPr>
        <w:t xml:space="preserve">any direct measurement of this cross-model divergence at scale under a controlled AML screening design.</w:t>
      </w:r>
      <w:r>
        <w:t xml:space="preserve"> </w:t>
      </w:r>
      <w:r>
        <w:rPr>
          <w:highlight w:val="yellow"/>
        </w:rPr>
        <w:t xml:space="preserve">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w:t>
      </w:r>
      <w:r>
        <w:t xml:space="preserve"> </w:t>
      </w:r>
      <w:r>
        <w:rPr>
          <w:strike/>
        </w:rPr>
        <w:t xml:space="preserve">sensitivity;</w:t>
      </w:r>
      <w:r>
        <w:t xml:space="preserve"> </w:t>
      </w:r>
      <w:r>
        <w:rPr>
          <w:highlight w:val="yellow"/>
        </w:rPr>
        <w:t xml:space="preserve">sensitivity. We</w:t>
      </w:r>
      <w:r>
        <w:t xml:space="preserve"> </w:t>
      </w:r>
      <w:r>
        <w:t xml:space="preserve">compare the models with deterministic rules and supervised machine-learning</w:t>
      </w:r>
      <w:r>
        <w:t xml:space="preserve"> </w:t>
      </w:r>
      <w:r>
        <w:rPr>
          <w:strike/>
        </w:rPr>
        <w:t xml:space="preserve">baselines;</w:t>
      </w:r>
      <w:r>
        <w:t xml:space="preserve"> </w:t>
      </w:r>
      <w:r>
        <w:rPr>
          <w:highlight w:val="yellow"/>
        </w:rPr>
        <w:t xml:space="preserve">baselines,</w:t>
      </w:r>
      <w:r>
        <w:t xml:space="preserve"> </w:t>
      </w:r>
      <w:r>
        <w:t xml:space="preserve">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strike/>
        </w:rPr>
        <w:t xml:space="preserve">Controlled measurement of foundation-model selection risk.</w:t>
      </w:r>
      <w:r>
        <w:rPr>
          <w:strike/>
        </w:rPr>
        <w:t xml:space="preserve"> </w:t>
      </w:r>
      <w:r>
        <w:rPr>
          <w:strike/>
        </w:rPr>
        <w:t xml:space="preserve">To the best of our knowledge, this is the first study to control foundation-model identity as the experimental variable in AML transaction screening while fixing the task and transaction cases.</w:t>
      </w:r>
      <w:r>
        <w:t xml:space="preserve"> </w:t>
      </w:r>
      <w:r>
        <w:rPr>
          <w:i/>
          <w:iCs/>
        </w:rPr>
        <w:t xml:space="preserve">A foundation-model-swap interpretation of model governance.</w:t>
      </w:r>
      <w:r>
        <w:t xml:space="preserve"> </w:t>
      </w:r>
      <w:r>
        <w:rPr>
          <w:highlight w:val="yellow"/>
        </w:rPr>
        <w:t xml:space="preserve">We treat model-tier substitution and provider-managed</w:t>
      </w:r>
      <w:r>
        <w:t xml:space="preserve"> </w:t>
      </w:r>
      <w:r>
        <w:rPr>
          <w:rStyle w:val="VerbatimChar"/>
        </w:rPr>
        <w:t xml:space="preserve">-latest</w:t>
      </w:r>
      <w:r>
        <w:t xml:space="preserve"> </w:t>
      </w:r>
      <w:r>
        <w:rPr>
          <w:highlight w:val="yellow"/>
        </w:rPr>
        <w:t xml:space="preserve">alias redirection as first-class model-risk events, and propose a standing operating-point probe as a monitoring control, so that the specific model version and its operating point become part of model inventories, validation procedures and ongoing monitoring</w:t>
      </w:r>
      <w:r>
        <w:t xml:space="preserve"> </w:t>
      </w:r>
      <w:r>
        <w:t xml:space="preserve">(Section </w:t>
      </w:r>
      <w:hyperlink w:anchor="sec:probe">
        <w:r>
          <w:rPr>
            <w:rStyle w:val="Hyperlink"/>
          </w:rPr>
          <w:t xml:space="preserve">4.1</w:t>
        </w:r>
      </w:hyperlink>
      <w:r>
        <w:rPr>
          <w:highlight w:val="yellow"/>
        </w:rPr>
        <w:t xml:space="preserve">).</w:t>
      </w:r>
    </w:p>
    <w:p>
      <w:pPr>
        <w:numPr>
          <w:ilvl w:val="0"/>
          <w:numId w:val="1001"/>
        </w:numPr>
      </w:pPr>
      <w:r>
        <w:rPr>
          <w:i/>
          <w:iCs/>
        </w:rPr>
        <w:t xml:space="preserve">Domain-specific controlled measurement.</w:t>
      </w:r>
      <w:r>
        <w:t xml:space="preserve"> </w:t>
      </w:r>
      <w:r>
        <w:rPr>
          <w:highlight w:val="yellow"/>
        </w:rPr>
        <w:t xml:space="preserve">That different language models disagree on identical inputs, and that model-induced variance can exceed prompt-induced variance, is established in the broader model-evaluation literature</w:t>
      </w:r>
      <w:r>
        <w:t xml:space="preserve"> </w:t>
      </w:r>
      <w:r>
        <w:t xml:space="preserve">[26, 39]</w:t>
      </w:r>
      <w:r>
        <w:rPr>
          <w:highlight w:val="yellow"/>
        </w:rPr>
        <w:t xml:space="preserve">.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w:t>
      </w:r>
      <w:r>
        <w:t xml:space="preserve"> </w:t>
      </w:r>
      <w:r>
        <w:rPr>
          <w:highlight w:val="yellow"/>
        </w:rPr>
        <w:t xml:space="preserve">cluster-robust</w:t>
      </w:r>
      <w:r>
        <w:t xml:space="preserve"> </w:t>
      </w:r>
      <w:r>
        <w:t xml:space="preserve">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1"/>
    <w:bookmarkStart w:id="19" w:name="sec:methods"/>
    <w:p>
      <w:pPr>
        <w:pStyle w:val="Heading1"/>
      </w:pPr>
      <w:r>
        <w:rPr>
          <w:rStyle w:val="SectionNumber"/>
        </w:rPr>
        <w:t xml:space="preserve">2</w:t>
      </w:r>
      <w:r>
        <w:tab/>
      </w:r>
      <w:r>
        <w:t xml:space="preserve">Methods</w:t>
      </w:r>
    </w:p>
    <w:bookmarkStart w:id="12"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w:t>
      </w:r>
      <w:r>
        <w:t xml:space="preserve"> </w:t>
      </w:r>
      <w:r>
        <w:rPr>
          <w:strike/>
        </w:rPr>
        <w:t xml:space="preserve">summaries; suspicious</w:t>
      </w:r>
      <w:r>
        <w:t xml:space="preserve"> </w:t>
      </w:r>
      <w:r>
        <w:rPr>
          <w:highlight w:val="yellow"/>
        </w:rPr>
        <w:t xml:space="preserve">summaries. Suspicious</w:t>
      </w:r>
      <w:r>
        <w:t xml:space="preserve"> </w:t>
      </w:r>
      <w:r>
        <w:t xml:space="preserve">cases used irregular sub-threshold amounts rather than mechanically uniform</w:t>
      </w:r>
      <w:r>
        <w:t xml:space="preserve"> </w:t>
      </w:r>
      <w:r>
        <w:rPr>
          <w:strike/>
        </w:rPr>
        <w:t xml:space="preserve">ones; laundering</w:t>
      </w:r>
      <w:r>
        <w:t xml:space="preserve"> </w:t>
      </w:r>
      <w:r>
        <w:rPr>
          <w:highlight w:val="yellow"/>
        </w:rPr>
        <w:t xml:space="preserve">ones. Laundering</w:t>
      </w:r>
      <w:r>
        <w:t xml:space="preserve"> </w:t>
      </w:r>
      <w:r>
        <w:t xml:space="preserve">signals were interleaved with legitimate background</w:t>
      </w:r>
      <w:r>
        <w:t xml:space="preserve"> </w:t>
      </w:r>
      <w:r>
        <w:rPr>
          <w:strike/>
        </w:rPr>
        <w:t xml:space="preserve">transactions;</w:t>
      </w:r>
      <w:r>
        <w:t xml:space="preserve"> </w:t>
      </w:r>
      <w:r>
        <w:rPr>
          <w:highlight w:val="yellow"/>
        </w:rPr>
        <w:t xml:space="preserve">transactions,</w:t>
      </w:r>
      <w:r>
        <w:t xml:space="preserve"> </w:t>
      </w:r>
      <w:r>
        <w:t xml:space="preserve">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rPr>
          <w:highlight w:val="yellow"/>
        </w:rP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w:t>
      </w:r>
      <w:r>
        <w:t xml:space="preserve"> </w:t>
      </w:r>
      <w:r>
        <w:t xml:space="preserve">Section </w:t>
      </w:r>
      <w:hyperlink w:anchor="sec:limits">
        <w:r>
          <w:rPr>
            <w:rStyle w:val="Hyperlink"/>
          </w:rPr>
          <w:t xml:space="preserve">4.2</w:t>
        </w:r>
      </w:hyperlink>
      <w:r>
        <w:rPr>
          <w:highlight w:val="yellow"/>
        </w:rP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2"/>
    <w:bookmarkStart w:id="13" w:name="sec:design"/>
    <w:p>
      <w:pPr>
        <w:pStyle w:val="Heading2"/>
      </w:pPr>
      <w:r>
        <w:rPr>
          <w:rStyle w:val="SectionNumber"/>
        </w:rPr>
        <w:t xml:space="preserve">2.2</w:t>
      </w:r>
      <w:r>
        <w:tab/>
      </w:r>
      <w:r>
        <w:rPr>
          <w:highlight w:val="yellow"/>
        </w:rP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rPr>
          <w:highlight w:val="yellow"/>
        </w:rPr>
        <w:t xml:space="preserve">)</w:t>
      </w:r>
    </w:p>
    <w:p>
      <w:pPr>
        <w:numPr>
          <w:ilvl w:val="0"/>
          <w:numId w:val="1002"/>
        </w:numPr>
      </w:pPr>
      <w:r>
        <w:rPr>
          <w:highlight w:val="yellow"/>
        </w:rPr>
        <w:t xml:space="preserve">OpenAI GPT-4.1-mini (</w:t>
      </w:r>
      <w:r>
        <w:rPr>
          <w:rStyle w:val="VerbatimChar"/>
        </w:rPr>
        <w:t xml:space="preserve">gpt-4.1-mini-2025-04-14</w:t>
      </w:r>
      <w:r>
        <w:rPr>
          <w:highlight w:val="yellow"/>
        </w:rPr>
        <w:t xml:space="preserve">)</w:t>
      </w:r>
    </w:p>
    <w:p>
      <w:pPr>
        <w:numPr>
          <w:ilvl w:val="0"/>
          <w:numId w:val="1002"/>
        </w:numPr>
      </w:pPr>
      <w:r>
        <w:rPr>
          <w:highlight w:val="yellow"/>
        </w:rPr>
        <w:t xml:space="preserve">OpenAI GPT-4o (</w:t>
      </w:r>
      <w:r>
        <w:rPr>
          <w:rStyle w:val="VerbatimChar"/>
        </w:rPr>
        <w:t xml:space="preserve">gpt-4o-2024-11-20</w:t>
      </w:r>
      <w:r>
        <w:rPr>
          <w:highlight w:val="yellow"/>
        </w:rPr>
        <w:t xml:space="preserve">)</w:t>
      </w:r>
    </w:p>
    <w:p>
      <w:pPr>
        <w:numPr>
          <w:ilvl w:val="0"/>
          <w:numId w:val="1002"/>
        </w:numPr>
      </w:pPr>
      <w:r>
        <w:rPr>
          <w:highlight w:val="yellow"/>
        </w:rP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rPr>
          <w:highlight w:val="yellow"/>
        </w:rPr>
        <w:t xml:space="preserve">.</w:t>
      </w:r>
      <w:r>
        <w:t xml:space="preserve"> </w:t>
      </w:r>
      <w:r>
        <w:t xml:space="preserve">Google documents these</w:t>
      </w:r>
      <w:r>
        <w:t xml:space="preserve"> </w:t>
      </w:r>
      <w:r>
        <w:rPr>
          <w:rStyle w:val="VerbatimChar"/>
        </w:rPr>
        <w:t xml:space="preserve">-latest</w:t>
      </w:r>
      <w:r>
        <w:t xml:space="preserve"> </w:t>
      </w:r>
      <w:r>
        <w:t xml:space="preserve">identifiers as aliases that can be hot-swapped as newer releases become available [20].</w:t>
      </w:r>
      <w:r>
        <w:t xml:space="preserve"> </w:t>
      </w:r>
      <w:r>
        <w:rPr>
          <w:strike/>
        </w:rPr>
        <w:t xml:space="preserve">The exact model</w:t>
      </w:r>
      <w:r>
        <w:t xml:space="preserve"> </w:t>
      </w:r>
      <w:r>
        <w:rPr>
          <w:highlight w:val="yellow"/>
        </w:rPr>
        <w:t xml:space="preserve">Only the alias strings were captured: the concrete model version</w:t>
      </w:r>
      <w:r>
        <w:t xml:space="preserve"> </w:t>
      </w:r>
      <w:r>
        <w:t xml:space="preserve">served behind each Google alias at the collection date (July 2026)</w:t>
      </w:r>
      <w:r>
        <w:t xml:space="preserve"> </w:t>
      </w:r>
      <w:r>
        <w:rPr>
          <w:strike/>
        </w:rPr>
        <w:t xml:space="preserve">is</w:t>
      </w:r>
      <w:r>
        <w:t xml:space="preserve"> </w:t>
      </w:r>
      <w:r>
        <w:rPr>
          <w:highlight w:val="yellow"/>
        </w:rPr>
        <w:t xml:space="preserve">was not</w:t>
      </w:r>
      <w:r>
        <w:t xml:space="preserve"> </w:t>
      </w:r>
      <w:r>
        <w:t xml:space="preserve">recorded in the archived per-call</w:t>
      </w:r>
      <w:r>
        <w:t xml:space="preserve"> </w:t>
      </w:r>
      <w:r>
        <w:rPr>
          <w:strike/>
        </w:rPr>
        <w:t xml:space="preserve">response metadata (see Data availability), rather than inferred from the alias.</w:t>
      </w:r>
      <w:r>
        <w:t xml:space="preserve"> </w:t>
      </w:r>
      <w:r>
        <w:rPr>
          <w:highlight w:val="yellow"/>
        </w:rPr>
        <w:t xml:space="preserve">metadata and cannot now be recovered. This is itself an instance of the governance problem examined here, and it is stated again among the limitations.</w:t>
      </w:r>
      <w:r>
        <w:t xml:space="preserve"> </w:t>
      </w:r>
      <w:r>
        <w:t xml:space="preserve">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w:t>
      </w:r>
      <w:r>
        <w:t xml:space="preserve"> </w:t>
      </w:r>
      <w:r>
        <w:rPr>
          <w:strike/>
        </w:rPr>
        <w:t xml:space="preserve">effect—a</w:t>
      </w:r>
      <w:r>
        <w:t xml:space="preserve"> </w:t>
      </w:r>
      <w:r>
        <w:rPr>
          <w:highlight w:val="yellow"/>
        </w:rPr>
        <w:t xml:space="preserve">effect</w:t>
      </w:r>
      <w:r>
        <w:t xml:space="preserve"> </w:t>
      </w:r>
      <w:r>
        <w:t xml:space="preserve">[39]</w:t>
      </w:r>
      <w:r>
        <w:rPr>
          <w:highlight w:val="yellow"/>
        </w:rPr>
        <w:t xml:space="preserve">—a</w:t>
      </w:r>
      <w:r>
        <w:t xml:space="preserve"> </w:t>
      </w:r>
      <w:r>
        <w:t xml:space="preserve">known source of variation in LLM</w:t>
      </w:r>
      <w:r>
        <w:t xml:space="preserve"> </w:t>
      </w:r>
      <w:r>
        <w:rPr>
          <w:highlight w:val="yellow"/>
        </w:rPr>
        <w:t xml:space="preserve">behaviour—each</w:t>
      </w:r>
      <w:r>
        <w:t xml:space="preserve"> </w:t>
      </w:r>
      <w:r>
        <w:t xml:space="preserve">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rPr>
            <m:sty m:val="p"/>
          </m:rPr>
          <m:t>×</m:t>
        </m:r>
        <m:r>
          <m:t>2</m:t>
        </m:r>
        <m:r>
          <m:rPr>
            <m:nor/>
            <m:sty m:val="p"/>
          </m:rPr>
          <m:t> prompt formulations</m:t>
        </m:r>
        <m:r>
          <m:rPr>
            <m:sty m:val="p"/>
          </m:rPr>
          <m:t>×</m:t>
        </m:r>
        <m:r>
          <m:t>2</m:t>
        </m:r>
        <m:r>
          <m:rPr>
            <m:nor/>
            <m:sty m:val="p"/>
          </m:rPr>
          <m:t> seeds</m:t>
        </m:r>
        <m:r>
          <m:rPr>
            <m:sty m:val="p"/>
          </m:rPr>
          <m:t>×</m:t>
        </m:r>
        <m:r>
          <m:t>600</m:t>
        </m:r>
        <m:r>
          <m:rPr>
            <m:nor/>
            <m:sty m:val="p"/>
          </m:rPr>
          <m:t> cases</m:t>
        </m:r>
        <m:r>
          <m:rPr>
            <m:sty m:val="p"/>
          </m:rPr>
          <m:t>=</m:t>
        </m:r>
        <m:r>
          <m:t>12</m:t>
        </m:r>
        <m:r>
          <m:rPr>
            <m:sty m:val="p"/>
          </m:rPr>
          <m:t>,</m:t>
        </m:r>
        <m:r>
          <m:t>000</m:t>
        </m:r>
      </m:oMath>
      <w:r>
        <w:rPr>
          <w:strike/>
        </w:rPr>
        <w:t xml:space="preserve"> </w:t>
      </w:r>
      <w:r>
        <w:rPr>
          <w:strike/>
        </w:rPr>
        <w:t xml:space="preserve">screening calls.</w:t>
      </w:r>
      <w:r>
        <w:t xml:space="preserve"> </w:t>
      </w:r>
      <w:r>
        <w:rPr>
          <w:highlight w:val="yellow"/>
        </w:rPr>
        <w:t xml:space="preserve">five models, two prompt formulations, two seeds and 600 cases, giving</w:t>
      </w:r>
      <w:r>
        <w:t xml:space="preserve"> </w:t>
      </w:r>
      <w:r>
        <w:t xml:space="preserve">12</w:t>
      </w:r>
      <w:r>
        <w:t xml:space="preserve">,</w:t>
      </w:r>
      <w:r>
        <w:t xml:space="preserve">000</w:t>
      </w:r>
      <w:r>
        <w:t xml:space="preserve"> </w:t>
      </w:r>
      <w:r>
        <w:rPr>
          <w:highlight w:val="yellow"/>
        </w:rPr>
        <w:t xml:space="preserve">screening calls by design. The frozen corpus holds</w:t>
      </w:r>
      <w:r>
        <w:t xml:space="preserve"> </w:t>
      </w:r>
      <w:r>
        <w:t xml:space="preserve">12</w:t>
      </w:r>
      <w:r>
        <w:t xml:space="preserve">,</w:t>
      </w:r>
      <w:r>
        <w:t xml:space="preserve">120</w:t>
      </w:r>
      <w:r>
        <w:t xml:space="preserve"> </w:t>
      </w:r>
      <w:r>
        <w:rPr>
          <w:highlight w:val="yellow"/>
        </w:rPr>
        <w:t xml:space="preserve">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rPr>
          <w:highlight w:val="yellow"/>
        </w:rPr>
        <w:t xml:space="preserve">, lowering that model’s false-positive rate by 0.3 percentage points. Duplicate calls are retained in the archive for auditability. Restricting the vote to the four designed prompt–seed cells gives GPT-4o-mini a false-positive rate of 86.0</w:t>
      </w:r>
      <w:r>
        <w:t xml:space="preserve">%</w:t>
      </w:r>
      <w:r>
        <w:t xml:space="preserve"> </w:t>
      </w:r>
      <w:r>
        <w:rPr>
          <w:highlight w:val="yellow"/>
        </w:rPr>
        <w:t xml:space="preserve">and a cross-model spread of 83.7 percentage points. We report aggregation over all valid calls as primary because D4 specifies the “modal replicate decision across seeds</w:t>
      </w:r>
      <w:r>
        <w:t xml:space="preserve"> </w:t>
      </w:r>
      <m:oMath>
        <m:r>
          <m:rPr>
            <m:sty m:val="p"/>
          </m:rPr>
          <m:t>×</m:t>
        </m:r>
      </m:oMath>
      <w:r>
        <w:t xml:space="preserve"> </w:t>
      </w:r>
      <w:r>
        <w:rPr>
          <w:highlight w:val="yellow"/>
        </w:rPr>
        <w:t xml:space="preserve">prompt variants” with</w:t>
      </w:r>
      <w:r>
        <w:rPr>
          <w:highlight w:val="yellow"/>
        </w:rPr>
        <w:t xml:space="preserve"> </w:t>
      </w:r>
      <w:r>
        <w:rPr>
          <w:highlight w:val="yellow"/>
        </w:rPr>
        <w:t xml:space="preserve">“ERROR replicates excluded from the vote”</w:t>
      </w:r>
      <w:r>
        <w:rPr>
          <w:highlight w:val="yellow"/>
        </w:rP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w:t>
      </w:r>
      <w:r>
        <w:t xml:space="preserve"> </w:t>
      </w:r>
      <w:r>
        <w:rPr>
          <w:strike/>
        </w:rPr>
        <w:t xml:space="preserve">class; the</w:t>
      </w:r>
      <w:r>
        <w:t xml:space="preserve"> </w:t>
      </w:r>
      <w:r>
        <w:rPr>
          <w:highlight w:val="yellow"/>
        </w:rPr>
        <w:t xml:space="preserve">class. The</w:t>
      </w:r>
      <w:r>
        <w:t xml:space="preserve"> </w:t>
      </w:r>
      <w:r>
        <w:t xml:space="preserve">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rPr>
          <w:highlight w:val="yellow"/>
        </w:rP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rPr>
          <w:highlight w:val="yellow"/>
        </w:rPr>
        <w:t xml:space="preserve">for thinking-mode incompatibility and cost, and D19 dropped</w:t>
      </w:r>
      <w:r>
        <w:t xml:space="preserve"> </w:t>
      </w:r>
      <w:r>
        <w:rPr>
          <w:rStyle w:val="VerbatimChar"/>
        </w:rPr>
        <w:t xml:space="preserve">xai-grok</w:t>
      </w:r>
      <w:r>
        <w:t xml:space="preserve"> </w:t>
      </w:r>
      <w:r>
        <w:rPr>
          <w:highlight w:val="yellow"/>
        </w:rP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3"/>
    <w:bookmarkStart w:id="14" w:name="sec:agg"/>
    <w:p>
      <w:pPr>
        <w:pStyle w:val="Heading2"/>
      </w:pPr>
      <w:r>
        <w:rPr>
          <w:rStyle w:val="SectionNumber"/>
        </w:rPr>
        <w:t xml:space="preserve">2.3</w:t>
      </w:r>
      <w:r>
        <w:tab/>
      </w:r>
      <w:r>
        <w:rPr>
          <w:highlight w:val="yellow"/>
        </w:rPr>
        <w:t xml:space="preserve">Per-case aggregation rule and a deviation from it</w:t>
      </w:r>
    </w:p>
    <w:p>
      <w:pPr>
        <w:pStyle w:val="FirstParagraph"/>
      </w:pPr>
      <w:r>
        <w:rPr>
          <w:highlight w:val="yellow"/>
        </w:rPr>
        <w:t xml:space="preserve">Each (model, case) pair carries four valid calls by design, two prompt formulations crossed with two seeds. Preregistered</w:t>
      </w:r>
      <w:r>
        <w:t xml:space="preserve"> </w:t>
      </w:r>
      <w:r>
        <w:t xml:space="preserve">decision D4</w:t>
      </w:r>
      <w:r>
        <w:t xml:space="preserve"> </w:t>
      </w:r>
      <w:r>
        <w:rPr>
          <w:highlight w:val="yellow"/>
        </w:rPr>
        <w:t xml:space="preserve">reduces them to one decision per case by the modal replicate decision, with ties broken toward</w:t>
      </w:r>
      <w:r>
        <w:t xml:space="preserve"> </w:t>
      </w:r>
      <w:r>
        <w:rPr>
          <w:rStyle w:val="VerbatimChar"/>
        </w:rPr>
        <w:t xml:space="preserve">flag</w:t>
      </w:r>
      <w:r>
        <w:rPr>
          <w:highlight w:val="yellow"/>
        </w:rP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rPr>
          <w:highlight w:val="yellow"/>
        </w:rP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rPr>
          <w:highlight w:val="yellow"/>
        </w:rPr>
        <w:t xml:space="preserve">keeps the</w:t>
      </w:r>
      <w:r>
        <w:t xml:space="preserve"> </w:t>
      </w:r>
      <w:r>
        <w:rPr>
          <w:i/>
          <w:iCs/>
        </w:rPr>
        <w:t xml:space="preserve">miss</w:t>
      </w:r>
      <w:r>
        <w:t xml:space="preserve"> </w:t>
      </w:r>
      <w:r>
        <w:rPr>
          <w:highlight w:val="yellow"/>
        </w:rPr>
        <w:t xml:space="preserve">estimate conservative, which held while the endpoint was misses. Once the endpoint became false positives, conservatism appears to have been reapplied separately to each endpoint.</w:t>
      </w:r>
    </w:p>
    <w:p>
      <w:pPr>
        <w:pStyle w:val="BodyText"/>
      </w:pPr>
      <w:r>
        <w:rPr>
          <w:highlight w:val="yellow"/>
        </w:rPr>
        <w:t xml:space="preserve">Restoring D4 raises every false-positive rate—from 0.3, 1.0, 23.7, 24.7 and 83.0</w:t>
      </w:r>
      <w:r>
        <w:t xml:space="preserve">%</w:t>
      </w:r>
      <w:r>
        <w:t xml:space="preserve"> </w:t>
      </w:r>
      <w:r>
        <w:rPr>
          <w:highlight w:val="yellow"/>
        </w:rPr>
        <w:t xml:space="preserve">to 2.3, 7.7, 37.0, 44.0 and 85.7</w:t>
      </w:r>
      <w:r>
        <w:t xml:space="preserve">%</w:t>
      </w:r>
      <w:r>
        <w:rPr>
          <w:highlight w:val="yellow"/>
        </w:rPr>
        <w:t xml:space="preserve">—and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rPr>
          <w:highlight w:val="yellow"/>
        </w:rPr>
        <w:t xml:space="preserve">Because the choice of rule is consequential, the results are reported under four further label-independent policies and under each deployable single-call configuration</w:t>
      </w:r>
      <w:r>
        <w:t xml:space="preserve"> </w:t>
      </w:r>
      <w:r>
        <w:t xml:space="preserve">(Table </w:t>
      </w:r>
      <w:hyperlink w:anchor="tab:agg">
        <w:r>
          <w:rPr>
            <w:rStyle w:val="Hyperlink"/>
          </w:rPr>
          <w:t xml:space="preserve">1</w:t>
        </w:r>
      </w:hyperlink>
      <w:r>
        <w:rPr>
          <w:highlight w:val="yellow"/>
        </w:rPr>
        <w:t xml:space="preserve">). Across all nine analyses the spread lies between 77.7 and 85.3 percentage points and no pair of models reverses order.</w:t>
      </w:r>
    </w:p>
    <w:p>
      <w:pPr>
        <w:pStyle w:val="BodyText"/>
      </w:pPr>
      <w:r>
        <w:rPr>
          <w:highlight w:val="yellow"/>
        </w:rP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w:t>
      </w:r>
      <w:r>
        <w:t xml:space="preserve">%</w:t>
      </w:r>
      <w:r>
        <w:t xml:space="preserve"> </w:t>
      </w:r>
      <w:r>
        <w:rPr>
          <w:highlight w:val="yellow"/>
        </w:rPr>
        <w:t xml:space="preserve">to 18.3, 8.3, 7.0, 2.0 and 0.0</w:t>
      </w:r>
      <w:r>
        <w:t xml:space="preserve">%</w:t>
      </w:r>
      <w:r>
        <w:rPr>
          <w:highlight w:val="yellow"/>
        </w:rPr>
        <w:t xml:space="preserve">. The submitted false-positive rates are therefore attainable without the label, at a cost on the miss axis.</w:t>
      </w:r>
    </w:p>
    <w:bookmarkEnd w:id="14"/>
    <w:bookmarkStart w:id="15"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rPr>
          <w:highlight w:val="yellow"/>
        </w:rPr>
        <w:t xml:space="preserve">Cochran’s</w:t>
      </w:r>
      <w:r>
        <w:t xml:space="preserve"> </w:t>
      </w:r>
      <m:oMath>
        <m:r>
          <m:t>Q</m:t>
        </m:r>
      </m:oMath>
      <w:r>
        <w:t xml:space="preserve"> </w:t>
      </w:r>
      <w:r>
        <w:rPr>
          <w:highlight w:val="yellow"/>
        </w:rP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rPr>
          <w:highlight w:val="yellow"/>
        </w:rPr>
        <w:t xml:space="preserve">-values are retained for comparability with the preregistered analysis plan, and the cluster-robust results are the ones relied upon. The Cochran’s</w:t>
      </w:r>
      <w:r>
        <w:t xml:space="preserve"> </w:t>
      </w:r>
      <m:oMath>
        <m:r>
          <m:t>Q</m:t>
        </m:r>
      </m:oMath>
      <w:r>
        <w:t xml:space="preserve"> </w:t>
      </w:r>
      <w:r>
        <w:rPr>
          <w:highlight w:val="yellow"/>
        </w:rPr>
        <w:t xml:space="preserve">statistics reported at submission omitted the factor</w:t>
      </w:r>
      <w:r>
        <w:t xml:space="preserve"> </w:t>
      </w:r>
      <m:oMath>
        <m:r>
          <m:t>k</m:t>
        </m:r>
      </m:oMath>
      <w:r>
        <w:t xml:space="preserve"> </w:t>
      </w:r>
      <w:r>
        <w:rPr>
          <w:highlight w:val="yellow"/>
        </w:rPr>
        <w:t xml:space="preserve">from the numerator and were understated fivefold. All</w:t>
      </w:r>
      <w:r>
        <w:t xml:space="preserve"> </w:t>
      </w:r>
      <m:oMath>
        <m:r>
          <m:t>Q</m:t>
        </m:r>
      </m:oMath>
      <w:r>
        <w:t xml:space="preserve"> </w:t>
      </w:r>
      <w:r>
        <w:rPr>
          <w:highlight w:val="yellow"/>
        </w:rP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w:t>
      </w:r>
      <w:r>
        <w:t xml:space="preserve"> </w:t>
      </w:r>
      <w:r>
        <w:rPr>
          <w:strike/>
        </w:rPr>
        <w:t xml:space="preserve">typology strata (cross-model spread, disagreement metrics and typology-level rates),</w:t>
      </w:r>
      <w:r>
        <w:t xml:space="preserve"> </w:t>
      </w:r>
      <w:r>
        <w:rPr>
          <w:highlight w:val="yellow"/>
        </w:rPr>
        <w:t xml:space="preserve">case-template strata (cross-model spread and disagreement metrics),</w:t>
      </w:r>
      <w:r>
        <w:t xml:space="preserve"> </w:t>
      </w:r>
      <w:r>
        <w:t xml:space="preserve">additional 95% percentile bootstrap confidence intervals were constructed via cluster resampling over the eight</w:t>
      </w:r>
      <w:r>
        <w:t xml:space="preserve"> </w:t>
      </w:r>
      <w:r>
        <w:rPr>
          <w:strike/>
        </w:rPr>
        <w:t xml:space="preserve">typology</w:t>
      </w:r>
      <w:r>
        <w:t xml:space="preserve"> </w:t>
      </w:r>
      <w:r>
        <w:rPr>
          <w:highlight w:val="yellow"/>
        </w:rPr>
        <w:t xml:space="preserve">case-template</w:t>
      </w:r>
      <w:r>
        <w:t xml:space="preserve"> </w:t>
      </w:r>
      <w:r>
        <w:t xml:space="preserve">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w:t>
      </w:r>
      <w:r>
        <w:t xml:space="preserve"> </w:t>
      </w:r>
      <w:r>
        <w:rPr>
          <w:strike/>
        </w:rPr>
        <w:t xml:space="preserve">statistics—Cohen’s</w:t>
      </w:r>
      <w:r>
        <w:t xml:space="preserve"> </w:t>
      </w:r>
      <w:r>
        <w:rPr>
          <w:highlight w:val="yellow"/>
        </w:rPr>
        <w:t xml:space="preserve">statistics</w:t>
      </w:r>
      <w:r>
        <w:t xml:space="preserve"> </w:t>
      </w:r>
      <w:r>
        <w:t xml:space="preserve">[21]</w:t>
      </w:r>
      <w:r>
        <w:rPr>
          <w:highlight w:val="yellow"/>
        </w:rPr>
        <w:t xml:space="preserve">—Cohen’s</w:t>
      </w:r>
      <w:r>
        <w:t xml:space="preserve"> </w:t>
      </w:r>
      <m:oMath>
        <m:r>
          <m:t>κ</m:t>
        </m:r>
      </m:oMath>
      <w:r>
        <w:t xml:space="preserve">, Scott’s</w:t>
      </w:r>
      <w:r>
        <w:t xml:space="preserve"> </w:t>
      </w:r>
      <m:oMath>
        <m:r>
          <m:t>π</m:t>
        </m:r>
      </m:oMath>
      <w:r>
        <w:t xml:space="preserve"> </w:t>
      </w:r>
      <w:r>
        <w:t xml:space="preserve">and Gwet’s</w:t>
      </w:r>
      <w:r>
        <w:t xml:space="preserve"> </w:t>
      </w:r>
      <w:r>
        <w:rPr>
          <w:highlight w:val="yellow"/>
        </w:rPr>
        <w:t xml:space="preserve">AC1—particularly</w:t>
      </w:r>
      <w:r>
        <w:t xml:space="preserve"> </w:t>
      </w:r>
      <w:r>
        <w:t xml:space="preserve">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rPr>
          <w:strike/>
        </w:rPr>
        <w:t xml:space="preserve">follows each provider’s contemporaneous capability/product and</w:t>
      </w:r>
      <w:r>
        <w:t xml:space="preserve"> </w:t>
      </w:r>
      <w:r>
        <w:rPr>
          <w:highlight w:val="yellow"/>
        </w:rPr>
        <w:t xml:space="preserve">is defined operationally as the provider’s published</w:t>
      </w:r>
      <w:r>
        <w:t xml:space="preserve"> </w:t>
      </w:r>
      <w:r>
        <w:t xml:space="preserve">price positioning at the time of data</w:t>
      </w:r>
      <w:r>
        <w:t xml:space="preserve"> </w:t>
      </w:r>
      <w:r>
        <w:rPr>
          <w:strike/>
        </w:rPr>
        <w:t xml:space="preserve">collection—the per-model product identifiers and list prices are recorded in the archived model registry (</w:t>
      </w:r>
      <w:r>
        <w:rPr>
          <w:rStyle w:val="VerbatimChar"/>
          <w:strike/>
        </w:rPr>
        <w:t xml:space="preserve">data/configs/models.yaml</w:t>
      </w:r>
      <w:r>
        <w:rPr>
          <w:strike/>
        </w:rPr>
        <w:t xml:space="preserve">)—and</w:t>
      </w:r>
      <w:r>
        <w:t xml:space="preserve"> </w:t>
      </w:r>
      <w:r>
        <w:rPr>
          <w:highlight w:val="yellow"/>
        </w:rPr>
        <w:t xml:space="preserve">collection, with the tier ordering following the price ordering inside each provider family. For the OpenAI models these are the published list prices per million input and output tokens:</w:t>
      </w:r>
      <w:r>
        <w:t xml:space="preserve"> </w:t>
      </w:r>
      <w:r>
        <w:t xml:space="preserve">$</w:t>
      </w:r>
      <w:r>
        <w:rPr>
          <w:highlight w:val="yellow"/>
        </w:rPr>
        <w:t xml:space="preserve">2.50 and</w:t>
      </w:r>
      <w:r>
        <w:t xml:space="preserve"> </w:t>
      </w:r>
      <w:r>
        <w:t xml:space="preserve">$</w:t>
      </w:r>
      <w:r>
        <w:rPr>
          <w:highlight w:val="yellow"/>
        </w:rPr>
        <w:t xml:space="preserve">10.00 for GPT-4o,</w:t>
      </w:r>
      <w:r>
        <w:t xml:space="preserve"> </w:t>
      </w:r>
      <w:r>
        <w:t xml:space="preserve">$</w:t>
      </w:r>
      <w:r>
        <w:rPr>
          <w:highlight w:val="yellow"/>
        </w:rPr>
        <w:t xml:space="preserve">0.40 and</w:t>
      </w:r>
      <w:r>
        <w:t xml:space="preserve"> </w:t>
      </w:r>
      <w:r>
        <w:t xml:space="preserve">$</w:t>
      </w:r>
      <w:r>
        <w:rPr>
          <w:highlight w:val="yellow"/>
        </w:rPr>
        <w:t xml:space="preserve">1.60 for GPT-4.1-mini, and</w:t>
      </w:r>
      <w:r>
        <w:t xml:space="preserve"> </w:t>
      </w:r>
      <w:r>
        <w:t xml:space="preserve">$</w:t>
      </w:r>
      <w:r>
        <w:rPr>
          <w:highlight w:val="yellow"/>
        </w:rPr>
        <w:t xml:space="preserve">0.15 and</w:t>
      </w:r>
      <w:r>
        <w:t xml:space="preserve"> </w:t>
      </w:r>
      <w:r>
        <w:t xml:space="preserve">$</w:t>
      </w:r>
      <w:r>
        <w:rPr>
          <w:highlight w:val="yellow"/>
        </w:rPr>
        <w:t xml:space="preserve">0.60 for GPT-4o-mini</w:t>
      </w:r>
      <w:r>
        <w:t xml:space="preserve"> </w:t>
      </w:r>
      <w:r>
        <w:t xml:space="preserve">[33]</w:t>
      </w:r>
      <w:r>
        <w:rPr>
          <w:highlight w:val="yellow"/>
        </w:rPr>
        <w:t xml:space="preserve">. For the Google models the list prices current in July 2026 cannot be substantiated retrospectively, because the models were reached through</w:t>
      </w:r>
      <w:r>
        <w:t xml:space="preserve"> </w:t>
      </w:r>
      <w:r>
        <w:rPr>
          <w:rStyle w:val="VerbatimChar"/>
        </w:rPr>
        <w:t xml:space="preserve">-latest</w:t>
      </w:r>
      <w:r>
        <w:t xml:space="preserve"> </w:t>
      </w:r>
      <w:r>
        <w:rPr>
          <w:highlight w:val="yellow"/>
        </w:rP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rPr>
          <w:highlight w:val="yellow"/>
        </w:rPr>
        <w:t xml:space="preserve">) are conservative budgeting placeholders, not list prices. The tier ordering is therefore corroborated for all five models by the measured cost per call recorded in the archived spend ledger—</w:t>
      </w:r>
      <w:r>
        <w:t xml:space="preserve">$</w:t>
      </w:r>
      <w:r>
        <w:rPr>
          <w:highlight w:val="yellow"/>
        </w:rPr>
        <w:t xml:space="preserve">0.002108 for GPT-4o,</w:t>
      </w:r>
      <w:r>
        <w:t xml:space="preserve"> </w:t>
      </w:r>
      <w:r>
        <w:t xml:space="preserve">$</w:t>
      </w:r>
      <w:r>
        <w:rPr>
          <w:highlight w:val="yellow"/>
        </w:rPr>
        <w:t xml:space="preserve">0.000536 for Gemini Flash,</w:t>
      </w:r>
      <w:r>
        <w:t xml:space="preserve"> </w:t>
      </w:r>
      <w:r>
        <w:t xml:space="preserve">$</w:t>
      </w:r>
      <w:r>
        <w:rPr>
          <w:highlight w:val="yellow"/>
        </w:rPr>
        <w:t xml:space="preserve">0.000342 for GPT-4.1-mini,</w:t>
      </w:r>
      <w:r>
        <w:t xml:space="preserve"> </w:t>
      </w:r>
      <w:r>
        <w:t xml:space="preserve">$</w:t>
      </w:r>
      <w:r>
        <w:rPr>
          <w:highlight w:val="yellow"/>
        </w:rPr>
        <w:t xml:space="preserve">0.000148 for Gemini Flash-Lite and</w:t>
      </w:r>
      <w:r>
        <w:t xml:space="preserve"> </w:t>
      </w:r>
      <w:r>
        <w:t xml:space="preserve">$</w:t>
      </w:r>
      <w:r>
        <w:rPr>
          <w:highlight w:val="yellow"/>
        </w:rPr>
        <w:t xml:space="preserve">0.000125 for GPT-4o-mini—which is reproducible from the deposit. Measured cost per call is reported as an expenditure measure and may also reflect differences in token usage. It is not interpreted as a direct measure of model capability or size. Tier</w:t>
      </w:r>
      <w:r>
        <w:t xml:space="preserve"> </w:t>
      </w:r>
      <w:r>
        <w:t xml:space="preserve">is used only within provider families, not as a universal cross-provider capability scale.</w:t>
      </w:r>
    </w:p>
    <w:bookmarkEnd w:id="15"/>
    <w:bookmarkStart w:id="16"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w:t>
      </w:r>
      <w:r>
        <w:t xml:space="preserve"> </w:t>
      </w:r>
      <w:r>
        <w:rPr>
          <w:strike/>
        </w:rPr>
        <w:t xml:space="preserve">features; logistic-regression</w:t>
      </w:r>
      <w:r>
        <w:t xml:space="preserve"> </w:t>
      </w:r>
      <w:r>
        <w:rPr>
          <w:highlight w:val="yellow"/>
        </w:rPr>
        <w:t xml:space="preserve">features. Logistic-regression</w:t>
      </w:r>
      <w:r>
        <w:t xml:space="preserve"> </w:t>
      </w:r>
      <w:r>
        <w:t xml:space="preserve">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6"/>
    <w:bookmarkStart w:id="17"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7"/>
    <w:bookmarkStart w:id="18"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w:t>
      </w:r>
      <w:r>
        <w:t xml:space="preserve"> </w:t>
      </w:r>
      <w:r>
        <w:rPr>
          <w:strike/>
        </w:rPr>
        <w:t xml:space="preserve">3.10; the</w:t>
      </w:r>
      <w:r>
        <w:t xml:space="preserve"> </w:t>
      </w:r>
      <w:r>
        <w:rPr>
          <w:highlight w:val="yellow"/>
        </w:rPr>
        <w:t xml:space="preserve">3.10. The</w:t>
      </w:r>
      <w:r>
        <w:t xml:space="preserve"> </w:t>
      </w:r>
      <w:r>
        <w:t xml:space="preserve">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8"/>
    <w:bookmarkEnd w:id="19"/>
    <w:bookmarkStart w:id="25" w:name="sec:results"/>
    <w:p>
      <w:pPr>
        <w:pStyle w:val="Heading1"/>
      </w:pPr>
      <w:r>
        <w:rPr>
          <w:rStyle w:val="SectionNumber"/>
        </w:rPr>
        <w:t xml:space="preserve">3</w:t>
      </w:r>
      <w:r>
        <w:tab/>
      </w:r>
      <w:r>
        <w:t xml:space="preserve">Results</w:t>
      </w:r>
    </w:p>
    <w:bookmarkStart w:id="20"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w:t>
      </w:r>
      <w:r>
        <w:t xml:space="preserve"> </w:t>
      </w:r>
      <w:r>
        <w:rPr>
          <w:strike/>
        </w:rPr>
        <w:t xml:space="preserve">0.3% (1</w:t>
      </w:r>
      <w:r>
        <w:t xml:space="preserve"> </w:t>
      </w:r>
      <w:r>
        <w:rPr>
          <w:highlight w:val="yellow"/>
        </w:rPr>
        <w:t xml:space="preserve">2.3</w:t>
      </w:r>
      <w:r>
        <w:t xml:space="preserve">%</w:t>
      </w:r>
      <w:r>
        <w:t xml:space="preserve"> </w:t>
      </w:r>
      <w:r>
        <w:rPr>
          <w:highlight w:val="yellow"/>
        </w:rPr>
        <w:t xml:space="preserve">(7</w:t>
      </w:r>
      <w:r>
        <w:t xml:space="preserve"> </w:t>
      </w:r>
      <w:r>
        <w:t xml:space="preserve">of 300 cases) for Gemini Flash to</w:t>
      </w:r>
      <w:r>
        <w:t xml:space="preserve"> </w:t>
      </w:r>
      <w:r>
        <w:rPr>
          <w:strike/>
        </w:rPr>
        <w:t xml:space="preserve">83.0% (249</w:t>
      </w:r>
      <w:r>
        <w:t xml:space="preserve"> </w:t>
      </w:r>
      <w:r>
        <w:rPr>
          <w:highlight w:val="yellow"/>
        </w:rPr>
        <w:t xml:space="preserve">85.7</w:t>
      </w:r>
      <w:r>
        <w:t xml:space="preserve">%</w:t>
      </w:r>
      <w:r>
        <w:t xml:space="preserve"> </w:t>
      </w:r>
      <w:r>
        <w:rPr>
          <w:highlight w:val="yellow"/>
        </w:rPr>
        <w:t xml:space="preserve">(257</w:t>
      </w:r>
      <w:r>
        <w:t xml:space="preserve"> </w:t>
      </w:r>
      <w:r>
        <w:t xml:space="preserve">of 300 cases) for GPT-4o-mini. The resulting cross-model spread was</w:t>
      </w:r>
      <w:r>
        <w:t xml:space="preserve"> </w:t>
      </w:r>
      <w:r>
        <w:rPr>
          <w:strike/>
        </w:rPr>
        <w:t xml:space="preserve">82.7</w:t>
      </w:r>
      <w:r>
        <w:t xml:space="preserve"> </w:t>
      </w:r>
      <w:r>
        <w:rPr>
          <w:highlight w:val="yellow"/>
        </w:rPr>
        <w:t xml:space="preserve">83.3</w:t>
      </w:r>
      <w:r>
        <w:t xml:space="preserve"> </w:t>
      </w:r>
      <w:r>
        <w:t xml:space="preserve">percentage points (95% confidence interval [CI]</w:t>
      </w:r>
      <w:r>
        <w:t xml:space="preserve"> </w:t>
      </w:r>
      <w:r>
        <w:rPr>
          <w:highlight w:val="yellow"/>
        </w:rPr>
        <w:t xml:space="preserve">71.8 to 93.7, cluster bootstrap over the eight case-template strata)</w:t>
      </w:r>
      <w:r>
        <w:t xml:space="preserve"> </w:t>
      </w:r>
      <w:r>
        <w:t xml:space="preserve">(Fig. </w:t>
      </w:r>
      <w:hyperlink w:anchor="fig:fp">
        <w:r>
          <w:rPr>
            <w:rStyle w:val="Hyperlink"/>
          </w:rPr>
          <w:t xml:space="preserve">1</w:t>
        </w:r>
      </w:hyperlink>
      <w:r>
        <w:rPr>
          <w:highlight w:val="yellow"/>
        </w:rPr>
        <w:t xml:space="preserve">,</w:t>
      </w:r>
      <w:r>
        <w:t xml:space="preserve"> </w:t>
      </w:r>
      <w:r>
        <w:t xml:space="preserve">Table </w:t>
      </w:r>
      <w:hyperlink w:anchor="tab:ops">
        <w:r>
          <w:rPr>
            <w:rStyle w:val="Hyperlink"/>
          </w:rPr>
          <w:t xml:space="preserve">2</w:t>
        </w:r>
      </w:hyperlink>
      <w:r>
        <w:rPr>
          <w:highlight w:val="yellow"/>
        </w:rPr>
        <w:t xml:space="preserve">). Under the preregistered aggregation rule, the five models differed in false-positive rate (Cochran’s</w:t>
      </w:r>
      <w:r>
        <w:t xml:space="preserve"> </w:t>
      </w:r>
      <m:oMath>
        <m:r>
          <m:t>Q</m:t>
        </m:r>
        <m:r>
          <m:rPr>
            <m:sty m:val="p"/>
          </m:rPr>
          <m:t>=</m:t>
        </m:r>
        <m:r>
          <m:t>585.0</m:t>
        </m:r>
      </m:oMath>
      <w:r>
        <w:rPr>
          <w:highlight w:val="yellow"/>
        </w:rPr>
        <w:t xml:space="preserve">, 4 df, case-level</w:t>
      </w:r>
      <w:r>
        <w:t xml:space="preserve"> </w:t>
      </w:r>
      <m:oMath>
        <m:r>
          <m:t>P</m:t>
        </m:r>
        <m:r>
          <m:rPr>
            <m:sty m:val="p"/>
          </m:rPr>
          <m:t>≈</m:t>
        </m:r>
        <m:r>
          <m:t>2.7</m:t>
        </m:r>
        <m:r>
          <m:rPr>
            <m:sty m:val="p"/>
          </m:rPr>
          <m:t>×</m:t>
        </m:r>
        <m:sSup>
          <m:e>
            <m:r>
              <m:t>10</m:t>
            </m:r>
          </m:e>
          <m:sup>
            <m:r>
              <m:rPr>
                <m:sty m:val="p"/>
              </m:rPr>
              <m:t>−</m:t>
            </m:r>
            <m:r>
              <m:t>125</m:t>
            </m:r>
          </m:sup>
        </m:sSup>
      </m:oMath>
      <w:r>
        <w:rPr>
          <w:highlight w:val="yellow"/>
        </w:rP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rPr>
          <w:highlight w:val="yellow"/>
        </w:rPr>
        <w:t xml:space="preserve">, using the plus-one correction). We rely on the cluster-level inference for the principal significance claim.</w:t>
      </w:r>
      <w:r>
        <w:t xml:space="preserve"> </w:t>
      </w:r>
      <w:r>
        <w:t xml:space="preserve">Pairwise exact McNemar tests (Bonferroni-corrected across the ten possible model comparisons) compared every model pair on the same legitimate cases.</w:t>
      </w:r>
      <w:r>
        <w:t xml:space="preserve"> </w:t>
      </w:r>
      <w:r>
        <w:rPr>
          <w:strike/>
        </w:rPr>
        <w:t xml:space="preserve">Grouping the models by observed false-positive rate into a low pair (Gemini Flash, GPT-4o), an intermediate pair (GPT-4.1-mini, Gemini Flash-Lite), and GPT-4o-mini, all between-group</w:t>
      </w:r>
      <w:r>
        <w:t xml:space="preserve"> </w:t>
      </w:r>
      <w:r>
        <w:rPr>
          <w:highlight w:val="yellow"/>
        </w:rPr>
        <w:t xml:space="preserve">Nine of the ten</w:t>
      </w:r>
      <w:r>
        <w:t xml:space="preserve"> </w:t>
      </w:r>
      <w:r>
        <w:t xml:space="preserve">comparisons were statistically significant after</w:t>
      </w:r>
      <w:r>
        <w:t xml:space="preserve"> </w:t>
      </w:r>
      <w:r>
        <w:rPr>
          <w:strike/>
        </w:rPr>
        <w:t xml:space="preserve">correction (</w:t>
      </w:r>
      <m:oMath>
        <m:r>
          <m:t>P</m:t>
        </m:r>
        <m:r>
          <m:rPr>
            <m:sty m:val="p"/>
          </m:rPr>
          <m:t>&lt;</m:t>
        </m:r>
        <m:sSup>
          <m:e>
            <m:r>
              <m:t>10</m:t>
            </m:r>
          </m:e>
          <m:sup>
            <m:r>
              <m:rPr>
                <m:sty m:val="p"/>
              </m:rPr>
              <m:t>−</m:t>
            </m:r>
            <m:r>
              <m:t>18</m:t>
            </m:r>
          </m:sup>
        </m:sSup>
      </m:oMath>
      <w:r>
        <w:rPr>
          <w:strike/>
        </w:rPr>
        <w:t xml:space="preserve">), whereas the two within-group comparisons were not statistically significant (</w:t>
      </w:r>
      <m:oMath>
        <m:r>
          <m:t>P</m:t>
        </m:r>
        <m:r>
          <m:rPr>
            <m:sty m:val="p"/>
          </m:rPr>
          <m:t>=</m:t>
        </m:r>
        <m:r>
          <m:t>1.0</m:t>
        </m:r>
      </m:oMath>
      <w:r>
        <w:rPr>
          <w:strike/>
        </w:rPr>
        <w:t xml:space="preserve">)</w:t>
      </w:r>
      <w:r>
        <w:t xml:space="preserve"> </w:t>
      </w:r>
      <w:r>
        <w:rPr>
          <w:highlight w:val="yellow"/>
        </w:rPr>
        <w:t xml:space="preserve">correction, the weakest being Gemini Flash versus GPT-4o (</w:t>
      </w:r>
      <m:oMath>
        <m:r>
          <m:t>P</m:t>
        </m:r>
        <m:r>
          <m:rPr>
            <m:sty m:val="p"/>
          </m:rPr>
          <m:t>=</m:t>
        </m:r>
        <m:r>
          <m:t>4.0</m:t>
        </m:r>
        <m:r>
          <m:rPr>
            <m:sty m:val="p"/>
          </m:rPr>
          <m:t>×</m:t>
        </m:r>
        <m:sSup>
          <m:e>
            <m:r>
              <m:t>10</m:t>
            </m:r>
          </m:e>
          <m:sup>
            <m:r>
              <m:rPr>
                <m:sty m:val="p"/>
              </m:rPr>
              <m:t>−</m:t>
            </m:r>
            <m:r>
              <m:t>3</m:t>
            </m:r>
          </m:sup>
        </m:sSup>
      </m:oMath>
      <w:r>
        <w:rPr>
          <w:highlight w:val="yellow"/>
        </w:rPr>
        <w:t xml:space="preserve">). The single exception was GPT-4.1-mini versus Gemini Flash-Lite (</w:t>
      </w:r>
      <m:oMath>
        <m:r>
          <m:t>P</m:t>
        </m:r>
        <m:r>
          <m:rPr>
            <m:sty m:val="p"/>
          </m:rPr>
          <m:t>=</m:t>
        </m:r>
        <m:r>
          <m:t>0.76</m:t>
        </m:r>
      </m:oMath>
      <w:r>
        <w:rPr>
          <w:highlight w:val="yellow"/>
        </w:rPr>
        <w:t xml:space="preserve">), two models that occupy the same region of the operating-point space</w:t>
      </w:r>
      <w:r>
        <w:t xml:space="preserve"> </w:t>
      </w:r>
      <w:r>
        <w:t xml:space="preserve">(Table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w:t>
      </w:r>
      <w:r>
        <w:t xml:space="preserve"> </w:t>
      </w:r>
      <w:r>
        <w:rPr>
          <w:strike/>
        </w:rPr>
        <w:t xml:space="preserve">85.7</w:t>
      </w:r>
      <w:r>
        <w:t xml:space="preserve"> </w:t>
      </w:r>
      <w:r>
        <w:rPr>
          <w:highlight w:val="yellow"/>
        </w:rPr>
        <w:t xml:space="preserve">88.7</w:t>
      </w:r>
      <w:r>
        <w:t xml:space="preserve">% of the legitimate cases (95% CI</w:t>
      </w:r>
      <w:r>
        <w:t xml:space="preserve"> </w:t>
      </w:r>
      <w:r>
        <w:rPr>
          <w:strike/>
        </w:rPr>
        <w:t xml:space="preserve">75.1–95.4).</w:t>
      </w:r>
      <w:r>
        <w:t xml:space="preserve"> </w:t>
      </w:r>
      <w:r>
        <w:rPr>
          <w:highlight w:val="yellow"/>
        </w:rPr>
        <w:t xml:space="preserve">82.2–95.0).</w:t>
      </w:r>
      <w:r>
        <w:t xml:space="preserve"> </w:t>
      </w:r>
      <w:r>
        <w:t xml:space="preserve">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20"/>
    <w:bookmarkStart w:id="21"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rPr>
          <w:highlight w:val="yellow"/>
        </w:rPr>
        <w:t xml:space="preserve">,</w:t>
      </w:r>
      <w:r>
        <w:t xml:space="preserve"> </w:t>
      </w:r>
      <w:r>
        <w:t xml:space="preserve">Table </w:t>
      </w:r>
      <w:hyperlink w:anchor="tab:ops">
        <w:r>
          <w:rPr>
            <w:rStyle w:val="Hyperlink"/>
          </w:rPr>
          <w:t xml:space="preserve">2</w:t>
        </w:r>
      </w:hyperlink>
      <w:r>
        <w:t xml:space="preserve">). Across the three OpenAI models, the false-positive rate fell from</w:t>
      </w:r>
      <w:r>
        <w:t xml:space="preserve"> </w:t>
      </w:r>
      <w:r>
        <w:rPr>
          <w:strike/>
        </w:rPr>
        <w:t xml:space="preserve">83.0% for GPT-4o-mini, to 23.7% for GPT-4.1-mini, to 1.0</w:t>
      </w:r>
      <w:r>
        <w:t xml:space="preserve"> </w:t>
      </w:r>
      <w:r>
        <w:rPr>
          <w:highlight w:val="yellow"/>
        </w:rPr>
        <w:t xml:space="preserve">85.7</w:t>
      </w:r>
      <w:r>
        <w:t xml:space="preserve">%</w:t>
      </w:r>
      <w:r>
        <w:t xml:space="preserve"> </w:t>
      </w:r>
      <w:r>
        <w:rPr>
          <w:highlight w:val="yellow"/>
        </w:rPr>
        <w:t xml:space="preserve">for GPT-4o-mini, to 37.0</w:t>
      </w:r>
      <w:r>
        <w:t xml:space="preserve">%</w:t>
      </w:r>
      <w:r>
        <w:t xml:space="preserve"> </w:t>
      </w:r>
      <w:r>
        <w:rPr>
          <w:highlight w:val="yellow"/>
        </w:rPr>
        <w:t xml:space="preserve">for GPT-4.1-mini, to 7.7</w:t>
      </w:r>
      <w:r>
        <w:t xml:space="preserve">% for GPT-4o. Across the two Google models, it fell from</w:t>
      </w:r>
      <w:r>
        <w:t xml:space="preserve"> </w:t>
      </w:r>
      <w:r>
        <w:rPr>
          <w:strike/>
        </w:rPr>
        <w:t xml:space="preserve">24.7% for Gemini Flash-Lite to 0.3</w:t>
      </w:r>
      <w:r>
        <w:t xml:space="preserve"> </w:t>
      </w:r>
      <w:r>
        <w:rPr>
          <w:highlight w:val="yellow"/>
        </w:rPr>
        <w:t xml:space="preserve">44.0</w:t>
      </w:r>
      <w:r>
        <w:t xml:space="preserve">%</w:t>
      </w:r>
      <w:r>
        <w:t xml:space="preserve"> </w:t>
      </w:r>
      <w:r>
        <w:rPr>
          <w:highlight w:val="yellow"/>
        </w:rPr>
        <w:t xml:space="preserve">for Gemini Flash-Lite to 2.3</w:t>
      </w:r>
      <w:r>
        <w:t xml:space="preserve">% for Gemini Flash. In both provider families, the smaller, lower-tier model generated more false positives.</w:t>
      </w:r>
    </w:p>
    <w:p>
      <w:pPr>
        <w:pStyle w:val="BodyText"/>
      </w:pPr>
      <w:r>
        <w:rPr>
          <w:highlight w:val="yellow"/>
        </w:rP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w:t>
      </w:r>
      <w:r>
        <w:t xml:space="preserve">%</w:t>
      </w:r>
      <w:r>
        <w:t xml:space="preserve"> </w:t>
      </w:r>
      <w:r>
        <w:rPr>
          <w:highlight w:val="yellow"/>
        </w:rPr>
        <w:t xml:space="preserve">CI 12.6 to 51.2), GPT-4.1-mini to GPT-4o-mini (3 and 149, 48.7 points, CI 25.8 to 72.5), and Gemini Flash to Gemini Flash-Lite (0 and 125, 41.7 points, CI 19.7 to 65.2). Each interval excludes zero.</w:t>
      </w:r>
      <w:r>
        <w:t xml:space="preserve"> </w:t>
      </w:r>
      <w:r>
        <w:t xml:space="preserve">This monotonic pattern should be understood only within the</w:t>
      </w:r>
      <w:r>
        <w:t xml:space="preserve"> </w:t>
      </w:r>
      <w:r>
        <w:rPr>
          <w:strike/>
        </w:rPr>
        <w:t xml:space="preserve">evaluated model</w:t>
      </w:r>
      <w:r>
        <w:t xml:space="preserve"> </w:t>
      </w:r>
      <w:r>
        <w:rPr>
          <w:highlight w:val="yellow"/>
        </w:rPr>
        <w:t xml:space="preserve">two evaluated provider</w:t>
      </w:r>
      <w:r>
        <w:t xml:space="preserve"> </w:t>
      </w:r>
      <w:r>
        <w:t xml:space="preserve">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w:t>
      </w:r>
      <w:r>
        <w:t xml:space="preserve"> </w:t>
      </w:r>
      <w:r>
        <w:rPr>
          <w:strike/>
        </w:rPr>
        <w:t xml:space="preserve">83.0</w:t>
      </w:r>
      <w:r>
        <w:t xml:space="preserve"> </w:t>
      </w:r>
      <w:r>
        <w:rPr>
          <w:highlight w:val="yellow"/>
        </w:rPr>
        <w:t xml:space="preserve">85.7</w:t>
      </w:r>
      <w:r>
        <w:t xml:space="preserve">% of legitimate cases. Gemini Flash, by contrast, had the lowest false-positive rate</w:t>
      </w:r>
      <w:r>
        <w:t xml:space="preserve"> </w:t>
      </w:r>
      <w:r>
        <w:rPr>
          <w:strike/>
        </w:rPr>
        <w:t xml:space="preserve">(0.3</w:t>
      </w:r>
      <w:r>
        <w:t xml:space="preserve"> </w:t>
      </w:r>
      <w:r>
        <w:rPr>
          <w:highlight w:val="yellow"/>
        </w:rPr>
        <w:t xml:space="preserve">(2.3</w:t>
      </w:r>
      <w:r>
        <w:t xml:space="preserve">%)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w:t>
      </w:r>
      <w:r>
        <w:t xml:space="preserve"> </w:t>
      </w:r>
      <w:r>
        <w:rPr>
          <w:strike/>
        </w:rPr>
        <w:t xml:space="preserve">58</w:t>
      </w:r>
      <w:r>
        <w:t xml:space="preserve"> </w:t>
      </w:r>
      <w:r>
        <w:rPr>
          <w:highlight w:val="yellow"/>
        </w:rPr>
        <w:t xml:space="preserve">42</w:t>
      </w:r>
      <w:r>
        <w:t xml:space="preserve"> </w:t>
      </w:r>
      <w:r>
        <w:t xml:space="preserve">percentage points in false-positive rate. In contrast, the two higher-tier models, GPT-4o and Gemini Flash,</w:t>
      </w:r>
      <w:r>
        <w:t xml:space="preserve"> </w:t>
      </w:r>
      <w:r>
        <w:rPr>
          <w:strike/>
        </w:rPr>
        <w:t xml:space="preserve">converged near zero false positives, at 1.0% and 0.3</w:t>
      </w:r>
      <w:r>
        <w:t xml:space="preserve"> </w:t>
      </w:r>
      <w:r>
        <w:rPr>
          <w:highlight w:val="yellow"/>
        </w:rPr>
        <w:t xml:space="preserve">remained an order of magnitude lower than the most permissive model, at 7.7</w:t>
      </w:r>
      <w:r>
        <w:t xml:space="preserve">%</w:t>
      </w:r>
      <w:r>
        <w:t xml:space="preserve"> </w:t>
      </w:r>
      <w:r>
        <w:rPr>
          <w:highlight w:val="yellow"/>
        </w:rPr>
        <w:t xml:space="preserve">and 2.3</w:t>
      </w:r>
      <w:r>
        <w:t xml:space="preserve">% respectively.</w:t>
      </w:r>
    </w:p>
    <w:bookmarkEnd w:id="21"/>
    <w:bookmarkStart w:id="22"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w:t>
      </w:r>
      <w:r>
        <w:t xml:space="preserve"> </w:t>
      </w:r>
      <w:r>
        <w:rPr>
          <w:strike/>
        </w:rPr>
        <w:t xml:space="preserve">4,200</w:t>
      </w:r>
      <w:r>
        <w:t xml:space="preserve"> </w:t>
      </w:r>
      <w:r>
        <w:rPr>
          <w:highlight w:val="yellow"/>
        </w:rPr>
        <w:t xml:space="preserve">24,000</w:t>
      </w:r>
      <w:r>
        <w:t xml:space="preserve"> </w:t>
      </w:r>
      <w:r>
        <w:t xml:space="preserve">alerts for Gemini Flash to approximately</w:t>
      </w:r>
      <w:r>
        <w:t xml:space="preserve"> </w:t>
      </w:r>
      <w:r>
        <w:rPr>
          <w:highlight w:val="yellow"/>
        </w:rPr>
        <w:t xml:space="preserve">857,000 alerts for GPT-4o-mini</w:t>
      </w:r>
      <w:r>
        <w:t xml:space="preserve"> </w:t>
      </w:r>
      <w:r>
        <w:t xml:space="preserve">(Fig. </w:t>
      </w:r>
      <w:hyperlink w:anchor="fig:vol">
        <w:r>
          <w:rPr>
            <w:rStyle w:val="Hyperlink"/>
          </w:rPr>
          <w:t xml:space="preserve">3</w:t>
        </w:r>
      </w:hyperlink>
      <w:r>
        <w:rPr>
          <w:highlight w:val="yellow"/>
        </w:rPr>
        <w:t xml:space="preserve">,</w:t>
      </w:r>
      <w:r>
        <w:t xml:space="preserve"> </w:t>
      </w:r>
      <w:r>
        <w:t xml:space="preserve">Table </w:t>
      </w:r>
      <w:hyperlink w:anchor="tab:vol">
        <w:r>
          <w:rPr>
            <w:rStyle w:val="Hyperlink"/>
          </w:rPr>
          <w:t xml:space="preserve">4</w:t>
        </w:r>
      </w:hyperlink>
      <w:r>
        <w:t xml:space="preserve">)—a difference in daily alert workload of about</w:t>
      </w:r>
      <w:r>
        <w:t xml:space="preserve"> </w:t>
      </w:r>
      <w:r>
        <w:rPr>
          <w:strike/>
        </w:rPr>
        <w:t xml:space="preserve">197-fold</w:t>
      </w:r>
      <w:r>
        <w:t xml:space="preserve"> </w:t>
      </w:r>
      <w:r>
        <w:rPr>
          <w:highlight w:val="yellow"/>
        </w:rPr>
        <w:t xml:space="preserve">35-fold</w:t>
      </w:r>
      <w:r>
        <w:t xml:space="preserve"> </w:t>
      </w:r>
      <w:r>
        <w:t xml:space="preserve">on the same underlying transaction population. The contents of those alert queues also differed sharply. At the Gemini Flash operating point, the estimated precision was about</w:t>
      </w:r>
      <w:r>
        <w:t xml:space="preserve"> </w:t>
      </w:r>
      <w:r>
        <w:rPr>
          <w:strike/>
        </w:rPr>
        <w:t xml:space="preserve">20.9</w:t>
      </w:r>
      <w:r>
        <w:t xml:space="preserve"> </w:t>
      </w:r>
      <w:r>
        <w:rPr>
          <w:highlight w:val="yellow"/>
        </w:rPr>
        <w:t xml:space="preserve">3.6</w:t>
      </w:r>
      <w:r>
        <w:t xml:space="preserve">%, versus about 0.12% at the GPT-4o-mini operating</w:t>
      </w:r>
      <w:r>
        <w:t xml:space="preserve"> </w:t>
      </w:r>
      <w:r>
        <w:rPr>
          <w:strike/>
        </w:rPr>
        <w:t xml:space="preserve">point; at</w:t>
      </w:r>
      <w:r>
        <w:t xml:space="preserve"> </w:t>
      </w:r>
      <w:r>
        <w:rPr>
          <w:highlight w:val="yellow"/>
        </w:rPr>
        <w:t xml:space="preserve">point. At</w:t>
      </w:r>
      <w:r>
        <w:t xml:space="preserve"> </w:t>
      </w:r>
      <w:r>
        <w:t xml:space="preserve">the latter, about 999 of every 1,000 alerts would be expected to be false under the stated prevalence assumption.</w:t>
      </w:r>
    </w:p>
    <w:p>
      <w:pPr>
        <w:pStyle w:val="BodyText"/>
      </w:pPr>
      <w:r>
        <w:rPr>
          <w:highlight w:val="yellow"/>
        </w:rPr>
        <w:t xml:space="preserve">The magnitude of this ratio depends on how the replicate calls are reduced to one decision per case, whereas the ordering of the models does not. Under the four deployable single-call configurations</w:t>
      </w:r>
      <w:r>
        <w:t xml:space="preserve"> </w:t>
      </w:r>
      <w:r>
        <w:t xml:space="preserve">(Section </w:t>
      </w:r>
      <w:hyperlink w:anchor="sec:agg">
        <w:r>
          <w:rPr>
            <w:rStyle w:val="Hyperlink"/>
          </w:rPr>
          <w:t xml:space="preserve">2.3</w:t>
        </w:r>
      </w:hyperlink>
      <w:r>
        <w:rPr>
          <w:highlight w:val="yellow"/>
        </w:rP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w:t>
      </w:r>
      <w:r>
        <w:t xml:space="preserve">%</w:t>
      </w:r>
      <w:r>
        <w:t xml:space="preserve"> </w:t>
      </w:r>
      <w:r>
        <w:rPr>
          <w:highlight w:val="yellow"/>
        </w:rPr>
        <w:t xml:space="preserve">to 1</w:t>
      </w:r>
      <w:r>
        <w:t xml:space="preserve">%</w:t>
      </w:r>
      <w:r>
        <w:t xml:space="preserve"> </w:t>
      </w:r>
      <w:r>
        <w:rPr>
          <w:highlight w:val="yellow"/>
        </w:rPr>
        <w:t xml:space="preserve">moves the ratio from about 37-fold to about 27-fold while leaving the ordering unchanged</w:t>
      </w:r>
      <w:r>
        <w:t xml:space="preserve"> </w:t>
      </w:r>
      <w:r>
        <w:t xml:space="preserve">(Fig. </w:t>
      </w:r>
      <w:hyperlink w:anchor="fig:sweep">
        <w:r>
          <w:rPr>
            <w:rStyle w:val="Hyperlink"/>
          </w:rPr>
          <w:t xml:space="preserve">4</w:t>
        </w:r>
      </w:hyperlink>
      <w:r>
        <w:rPr>
          <w:highlight w:val="yellow"/>
        </w:rPr>
        <w:t xml:space="preserve">), because true positives occupy a growing share of the queue for the low-false-positive models as prevalence rises. Precision moves over the same range from 0.4</w:t>
      </w:r>
      <w:r>
        <w:t xml:space="preserve">%</w:t>
      </w:r>
      <w:r>
        <w:t xml:space="preserve"> </w:t>
      </w:r>
      <w:r>
        <w:rPr>
          <w:highlight w:val="yellow"/>
        </w:rPr>
        <w:t xml:space="preserve">to 27.6</w:t>
      </w:r>
      <w:r>
        <w:t xml:space="preserve">%</w:t>
      </w:r>
      <w:r>
        <w:t xml:space="preserve"> </w:t>
      </w:r>
      <w:r>
        <w:rPr>
          <w:highlight w:val="yellow"/>
        </w:rPr>
        <w:t xml:space="preserve">for Gemini Flash and from 0.01</w:t>
      </w:r>
      <w:r>
        <w:t xml:space="preserve">%</w:t>
      </w:r>
      <w:r>
        <w:t xml:space="preserve"> </w:t>
      </w:r>
      <w:r>
        <w:rPr>
          <w:highlight w:val="yellow"/>
        </w:rPr>
        <w:t xml:space="preserve">to 1.2</w:t>
      </w:r>
      <w:r>
        <w:t xml:space="preserve">%</w:t>
      </w:r>
      <w:r>
        <w:t xml:space="preserve"> </w:t>
      </w:r>
      <w:r>
        <w:rPr>
          <w:highlight w:val="yellow"/>
        </w:rPr>
        <w:t xml:space="preserve">for GPT-4o-mini.</w:t>
      </w:r>
      <w:r>
        <w:t xml:space="preserve"> </w:t>
      </w:r>
      <w:r>
        <w:t xml:space="preserve">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2"/>
    <w:bookmarkStart w:id="23"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w:t>
      </w:r>
      <w:r>
        <w:t xml:space="preserve"> </w:t>
      </w:r>
      <w:r>
        <w:rPr>
          <w:strike/>
        </w:rPr>
        <w:t xml:space="preserve">much lower false-positive rates; the</w:t>
      </w:r>
      <w:r>
        <w:t xml:space="preserve"> </w:t>
      </w:r>
      <w:r>
        <w:rPr>
          <w:highlight w:val="yellow"/>
        </w:rPr>
        <w:t xml:space="preserve">lower false-positive rates (7.7</w:t>
      </w:r>
      <w:r>
        <w:t xml:space="preserve">%</w:t>
      </w:r>
      <w:r>
        <w:t xml:space="preserve"> </w:t>
      </w:r>
      <w:r>
        <w:rPr>
          <w:highlight w:val="yellow"/>
        </w:rPr>
        <w:t xml:space="preserve">and 2.3</w:t>
      </w:r>
      <w:r>
        <w:t xml:space="preserve">%</w:t>
      </w:r>
      <w:r>
        <w:rPr>
          <w:highlight w:val="yellow"/>
        </w:rPr>
        <w:t xml:space="preserve">). The</w:t>
      </w:r>
      <w:r>
        <w:t xml:space="preserve"> </w:t>
      </w:r>
      <w:r>
        <w:t xml:space="preserve">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3"/>
    <w:bookmarkStart w:id="24"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w:t>
      </w:r>
      <w:r>
        <w:t xml:space="preserve"> </w:t>
      </w:r>
      <w:r>
        <w:rPr>
          <w:strike/>
        </w:rPr>
        <w:t xml:space="preserve">0.3%</w:t>
      </w:r>
      <m:oMath>
        <m:r>
          <m:rPr>
            <m:sty m:val="p"/>
          </m:rPr>
          <m:t>→</m:t>
        </m:r>
      </m:oMath>
      <w:r>
        <w:rPr>
          <w:strike/>
        </w:rPr>
        <w:t xml:space="preserve">7.7%, GPT-4.1-mini 20.7%</w:t>
      </w:r>
      <m:oMath>
        <m:r>
          <m:rPr>
            <m:sty m:val="p"/>
          </m:rPr>
          <m:t>→</m:t>
        </m:r>
      </m:oMath>
      <w:r>
        <w:rPr>
          <w:strike/>
        </w:rPr>
        <w:t xml:space="preserve">36.7</w:t>
      </w:r>
      <w:r>
        <w:t xml:space="preserve"> </w:t>
      </w:r>
      <w:r>
        <w:rPr>
          <w:highlight w:val="yellow"/>
        </w:rPr>
        <w:t xml:space="preserve">1.0</w:t>
      </w:r>
      <w:r>
        <w:t xml:space="preserve">%</w:t>
      </w:r>
      <m:oMath>
        <m:r>
          <m:rPr>
            <m:sty m:val="p"/>
          </m:rPr>
          <m:t>→</m:t>
        </m:r>
      </m:oMath>
      <w:r>
        <w:rPr>
          <w:highlight w:val="yellow"/>
        </w:rPr>
        <w:t xml:space="preserve">9.7</w:t>
      </w:r>
      <w:r>
        <w:t xml:space="preserve">%</w:t>
      </w:r>
      <w:r>
        <w:rPr>
          <w:highlight w:val="yellow"/>
        </w:rPr>
        <w:t xml:space="preserve">, GPT-4.1-mini 24.0</w:t>
      </w:r>
      <w:r>
        <w:t xml:space="preserve">%</w:t>
      </w:r>
      <m:oMath>
        <m:r>
          <m:rPr>
            <m:sty m:val="p"/>
          </m:rPr>
          <m:t>→</m:t>
        </m:r>
      </m:oMath>
      <w:r>
        <w:rPr>
          <w:highlight w:val="yellow"/>
        </w:rPr>
        <w:t xml:space="preserve">42.7</w:t>
      </w:r>
      <w:r>
        <w:t xml:space="preserve">%, Gemini Flash-Lite 24.7%</w:t>
      </w:r>
      <m:oMath>
        <m:r>
          <m:rPr>
            <m:sty m:val="p"/>
          </m:rPr>
          <m:t>→</m:t>
        </m:r>
      </m:oMath>
      <w:r>
        <w:t xml:space="preserve">44.0%, and GPT-4o-mini</w:t>
      </w:r>
      <w:r>
        <w:t xml:space="preserve"> </w:t>
      </w:r>
      <w:r>
        <w:rPr>
          <w:strike/>
        </w:rPr>
        <w:t xml:space="preserve">78.7%</w:t>
      </w:r>
      <m:oMath>
        <m:r>
          <m:rPr>
            <m:sty m:val="p"/>
          </m:rPr>
          <m:t>→</m:t>
        </m:r>
      </m:oMath>
      <w:r>
        <w:rPr>
          <w:strike/>
        </w:rPr>
        <w:t xml:space="preserve">85.0</w:t>
      </w:r>
      <w:r>
        <w:t xml:space="preserve"> </w:t>
      </w:r>
      <w:r>
        <w:rPr>
          <w:highlight w:val="yellow"/>
        </w:rPr>
        <w:t xml:space="preserve">82.7</w:t>
      </w:r>
      <w:r>
        <w:t xml:space="preserve">%</w:t>
      </w:r>
      <m:oMath>
        <m:r>
          <m:rPr>
            <m:sty m:val="p"/>
          </m:rPr>
          <m:t>→</m:t>
        </m:r>
      </m:oMath>
      <w:r>
        <w:rPr>
          <w:highlight w:val="yellow"/>
        </w:rPr>
        <w:t xml:space="preserve">90.0</w:t>
      </w:r>
      <w:r>
        <w:t xml:space="preserve">%.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rPr>
          <w:strike/>
        </w:rPr>
        <w:t xml:space="preserve">); Scott’s</w:t>
      </w:r>
      <w:r>
        <w:rPr>
          <w:strike/>
        </w:rPr>
        <w:t xml:space="preserve"> </w:t>
      </w:r>
      <m:oMath>
        <m:r>
          <m:t>π</m:t>
        </m:r>
      </m:oMath>
      <w:r>
        <w:rPr>
          <w:strike/>
        </w:rPr>
        <w:t xml:space="preserve"> </w:t>
      </w:r>
      <w:r>
        <w:rPr>
          <w:strike/>
        </w:rPr>
        <w:t xml:space="preserve">and Gwet’s AC1 gave consistent conclusions.</w:t>
      </w:r>
      <w:r>
        <w:t xml:space="preserve"> </w:t>
      </w:r>
      <w:r>
        <w:rPr>
          <w:highlight w:val="yellow"/>
        </w:rPr>
        <w:t xml:space="preserve">) and a mean pairwise Scott’s</w:t>
      </w:r>
      <w:r>
        <w:t xml:space="preserve"> </w:t>
      </w:r>
      <m:oMath>
        <m:r>
          <m:t>π</m:t>
        </m:r>
        <m:r>
          <m:rPr>
            <m:sty m:val="p"/>
          </m:rPr>
          <m:t>=</m:t>
        </m:r>
        <m:r>
          <m:t>0.051</m:t>
        </m:r>
      </m:oMath>
      <w:r>
        <w:rPr>
          <w:highlight w:val="yellow"/>
        </w:rPr>
        <w:t xml:space="preserve">. Gwet’s AC1 instead averaged 0.924, the divergence expected when one category is rare and raw agreement is already 93.2</w:t>
      </w:r>
      <w:r>
        <w:t xml:space="preserve">%</w:t>
      </w:r>
      <w:r>
        <w:rPr>
          <w:highlight w:val="yellow"/>
        </w:rPr>
        <w:t xml:space="preserve">, so the low-agreement reading rests on the direct counts above rather than on any single coefficient.</w:t>
      </w:r>
      <w:r>
        <w:t xml:space="preserve"> </w:t>
      </w:r>
      <w:r>
        <w:t xml:space="preserve">The dominant cross-model phenomenon was therefore not a common set of missed suspicious cases, but a large divergence in the aggressiveness with which legitimate activity was escalated.</w:t>
      </w:r>
    </w:p>
    <w:bookmarkEnd w:id="24"/>
    <w:bookmarkEnd w:id="25"/>
    <w:bookmarkStart w:id="28"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w:t>
      </w:r>
      <w:r>
        <w:t xml:space="preserve"> </w:t>
      </w:r>
      <w:r>
        <w:rPr>
          <w:strike/>
        </w:rPr>
        <w:t xml:space="preserve">0.3% and 83.0</w:t>
      </w:r>
      <w:r>
        <w:t xml:space="preserve"> </w:t>
      </w:r>
      <w:r>
        <w:rPr>
          <w:highlight w:val="yellow"/>
        </w:rPr>
        <w:t xml:space="preserve">2.3</w:t>
      </w:r>
      <w:r>
        <w:t xml:space="preserve">%</w:t>
      </w:r>
      <w:r>
        <w:t xml:space="preserve"> </w:t>
      </w:r>
      <w:r>
        <w:rPr>
          <w:highlight w:val="yellow"/>
        </w:rPr>
        <w:t xml:space="preserve">and 85.7</w:t>
      </w:r>
      <w:r>
        <w:t xml:space="preserve">% on the same legitimate cases, and the models disagreed on</w:t>
      </w:r>
      <w:r>
        <w:t xml:space="preserve"> </w:t>
      </w:r>
      <w:r>
        <w:rPr>
          <w:strike/>
        </w:rPr>
        <w:t xml:space="preserve">85.7</w:t>
      </w:r>
      <w:r>
        <w:t xml:space="preserve"> </w:t>
      </w:r>
      <w:r>
        <w:rPr>
          <w:highlight w:val="yellow"/>
        </w:rPr>
        <w:t xml:space="preserve">88.7</w:t>
      </w:r>
      <w:r>
        <w:t xml:space="preserve">%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w:t>
      </w:r>
      <w:r>
        <w:t xml:space="preserve"> </w:t>
      </w:r>
      <w:r>
        <w:rPr>
          <w:strike/>
        </w:rPr>
        <w:t xml:space="preserve">83% of legitimate activity; such</w:t>
      </w:r>
      <w:r>
        <w:t xml:space="preserve"> </w:t>
      </w:r>
      <w:r>
        <w:rPr>
          <w:highlight w:val="yellow"/>
        </w:rPr>
        <w:t xml:space="preserve">86</w:t>
      </w:r>
      <w:r>
        <w:t xml:space="preserve">%</w:t>
      </w:r>
      <w:r>
        <w:t xml:space="preserve"> </w:t>
      </w:r>
      <w:r>
        <w:rPr>
          <w:highlight w:val="yellow"/>
        </w:rPr>
        <w:t xml:space="preserve">of legitimate activity. Such</w:t>
      </w:r>
      <w:r>
        <w:t xml:space="preserve"> </w:t>
      </w:r>
      <w:r>
        <w:t xml:space="preserve">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w:t>
      </w:r>
      <w:r>
        <w:t xml:space="preserve"> </w:t>
      </w:r>
      <w:r>
        <w:rPr>
          <w:strike/>
        </w:rPr>
        <w:t xml:space="preserve">an approximately 197-fold</w:t>
      </w:r>
      <w:r>
        <w:t xml:space="preserve"> </w:t>
      </w:r>
      <w:r>
        <w:rPr>
          <w:highlight w:val="yellow"/>
        </w:rPr>
        <w:t xml:space="preserve">a 36- to 196-fold</w:t>
      </w:r>
      <w:r>
        <w:t xml:space="preserve"> </w:t>
      </w:r>
      <w:r>
        <w:t xml:space="preserve">change in expected daily alert</w:t>
      </w:r>
      <w:r>
        <w:t xml:space="preserve"> </w:t>
      </w:r>
      <w:r>
        <w:rPr>
          <w:strike/>
        </w:rPr>
        <w:t xml:space="preserve">volume.</w:t>
      </w:r>
      <w:r>
        <w:t xml:space="preserve"> </w:t>
      </w:r>
      <w:r>
        <w:rPr>
          <w:highlight w:val="yellow"/>
        </w:rPr>
        <w:t xml:space="preserve">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w:t>
      </w:r>
      <w:r>
        <w:t xml:space="preserve"> </w:t>
      </w:r>
      <w:r>
        <w:t xml:space="preserve">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rPr>
          <w:highlight w:val="yellow"/>
        </w:rP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w:t>
      </w:r>
      <w:r>
        <w:t xml:space="preserve"> </w:t>
      </w:r>
      <w:r>
        <w:rPr>
          <w:strike/>
        </w:rPr>
        <w:t xml:space="preserve">features;</w:t>
      </w:r>
      <w:r>
        <w:t xml:space="preserve"> </w:t>
      </w:r>
      <w:r>
        <w:rPr>
          <w:highlight w:val="yellow"/>
        </w:rPr>
        <w:t xml:space="preserve">features,</w:t>
      </w:r>
      <w:r>
        <w:t xml:space="preserve"> </w:t>
      </w:r>
      <w:r>
        <w:t xml:space="preserve">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w:t>
      </w:r>
      <w:r>
        <w:t xml:space="preserve"> </w:t>
      </w:r>
      <w:r>
        <w:rPr>
          <w:strike/>
        </w:rPr>
        <w:t xml:space="preserve">GPT-4o; for</w:t>
      </w:r>
      <w:r>
        <w:t xml:space="preserve"> </w:t>
      </w:r>
      <w:r>
        <w:rPr>
          <w:highlight w:val="yellow"/>
        </w:rPr>
        <w:t xml:space="preserve">GPT-4o. For</w:t>
      </w:r>
      <w:r>
        <w:t xml:space="preserve"> </w:t>
      </w:r>
      <w:r>
        <w:t xml:space="preserve">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w:t>
      </w:r>
      <w:r>
        <w:t xml:space="preserve"> </w:t>
      </w:r>
      <w:r>
        <w:rPr>
          <w:strike/>
        </w:rPr>
        <w:t xml:space="preserve">details; they</w:t>
      </w:r>
      <w:r>
        <w:t xml:space="preserve"> </w:t>
      </w:r>
      <w:r>
        <w:rPr>
          <w:highlight w:val="yellow"/>
        </w:rPr>
        <w:t xml:space="preserve">details. They</w:t>
      </w:r>
      <w:r>
        <w:t xml:space="preserve"> </w:t>
      </w:r>
      <w:r>
        <w:t xml:space="preserve">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w:t>
      </w:r>
      <w:r>
        <w:t xml:space="preserve"> </w:t>
      </w:r>
      <w:r>
        <w:rPr>
          <w:strike/>
        </w:rPr>
        <w:t xml:space="preserve">scope; broader</w:t>
      </w:r>
      <w:r>
        <w:t xml:space="preserve"> </w:t>
      </w:r>
      <w:r>
        <w:rPr>
          <w:highlight w:val="yellow"/>
        </w:rPr>
        <w:t xml:space="preserve">scope</w:t>
      </w:r>
      <w:r>
        <w:t xml:space="preserve"> </w:t>
      </w:r>
      <w:r>
        <w:t xml:space="preserve">[6]</w:t>
      </w:r>
      <w:r>
        <w:rPr>
          <w:highlight w:val="yellow"/>
        </w:rPr>
        <w:t xml:space="preserve">. Broader</w:t>
      </w:r>
      <w:r>
        <w:t xml:space="preserve"> </w:t>
      </w:r>
      <w:r>
        <w:t xml:space="preserve">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r>
        <w:rPr>
          <w:strike/>
        </w:rP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r>
        <w:t xml:space="preserve"> </w:t>
      </w:r>
      <w:r>
        <w:rPr>
          <w:strike/>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6" w:name="sec:probe"/>
    <w:p>
      <w:pPr>
        <w:pStyle w:val="Heading2"/>
      </w:pPr>
      <w:r>
        <w:rPr>
          <w:rStyle w:val="SectionNumber"/>
        </w:rPr>
        <w:t xml:space="preserve">4.1</w:t>
      </w:r>
      <w:r>
        <w:tab/>
      </w:r>
      <w:r>
        <w:rPr>
          <w:highlight w:val="yellow"/>
        </w:rPr>
        <w:t xml:space="preserve">An operating-point probe as a monitoring control</w:t>
      </w:r>
    </w:p>
    <w:p>
      <w:pPr>
        <w:pStyle w:val="FirstParagraph"/>
      </w:pPr>
      <w:r>
        <w:rPr>
          <w:highlight w:val="yellow"/>
        </w:rP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rPr>
          <w:highlight w:val="yellow"/>
        </w:rP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rPr>
          <w:highlight w:val="yellow"/>
        </w:rP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rPr>
          <w:highlight w:val="yellow"/>
        </w:rP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rPr>
          <w:highlight w:val="yellow"/>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6"/>
    <w:bookmarkStart w:id="27" w:name="sec:limits"/>
    <w:p>
      <w:pPr>
        <w:pStyle w:val="Heading2"/>
      </w:pPr>
      <w:r>
        <w:rPr>
          <w:rStyle w:val="SectionNumber"/>
        </w:rPr>
        <w:t xml:space="preserve">4.2</w:t>
      </w:r>
      <w:r>
        <w:tab/>
      </w:r>
      <w:r>
        <w:rPr>
          <w:highlight w:val="yellow"/>
        </w:rP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w:t>
      </w:r>
      <w:r>
        <w:t xml:space="preserve"> </w:t>
      </w:r>
      <w:r>
        <w:rPr>
          <w:strike/>
        </w:rPr>
        <w:t xml:space="preserve">performance; the</w:t>
      </w:r>
      <w:r>
        <w:t xml:space="preserve"> </w:t>
      </w:r>
      <w:r>
        <w:rPr>
          <w:highlight w:val="yellow"/>
        </w:rPr>
        <w:t xml:space="preserve">performance. The</w:t>
      </w:r>
      <w:r>
        <w:t xml:space="preserve"> </w:t>
      </w:r>
      <w:r>
        <w:t xml:space="preserve">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w:t>
      </w:r>
      <w:r>
        <w:t xml:space="preserve"> </w:t>
      </w:r>
      <w:r>
        <w:rPr>
          <w:strike/>
        </w:rPr>
        <w:t xml:space="preserve">time.</w:t>
      </w:r>
      <w:r>
        <w:t xml:space="preserve"> </w:t>
      </w:r>
      <w:r>
        <w:rPr>
          <w:highlight w:val="yellow"/>
        </w:rPr>
        <w:t xml:space="preserve">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rPr>
          <w:highlight w:val="yellow"/>
        </w:rPr>
        <w:t xml:space="preserve"> </w:t>
      </w:r>
      <w:r>
        <w:rPr>
          <w:highlight w:val="yellow"/>
        </w:rPr>
        <w:t xml:space="preserve">“foundation-model choice”</w:t>
      </w:r>
      <w:r>
        <w:rPr>
          <w:highlight w:val="yellow"/>
        </w:rPr>
        <w:t xml:space="preserve"> </w:t>
      </w:r>
      <w:r>
        <w:rPr>
          <w:highlight w:val="yellow"/>
        </w:rPr>
        <w:t xml:space="preserve">language should be read as scoped to the evaluated model set rather than as a claim about foundation models in general. Replication with a third provider is the natural extension.</w:t>
      </w:r>
      <w:r>
        <w:t xml:space="preserve"> </w:t>
      </w:r>
      <w:r>
        <w:t xml:space="preserve">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rPr>
          <w:highlight w:val="yellow"/>
        </w:rP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rPr>
          <w:highlight w:val="yellow"/>
        </w:rPr>
        <w:t xml:space="preserve">A related limitation concerns the inference. Cochran’s</w:t>
      </w:r>
      <w:r>
        <w:t xml:space="preserve"> </w:t>
      </w:r>
      <m:oMath>
        <m:r>
          <m:t>Q</m:t>
        </m:r>
      </m:oMath>
      <w:r>
        <w:t xml:space="preserve"> </w:t>
      </w:r>
      <w:r>
        <w:rPr>
          <w:highlight w:val="yellow"/>
        </w:rPr>
        <w:t xml:space="preserve">and the exact McNemar test treat the 300 legitimate cases as exchangeable units, and cases drawn from a shared case template are not independent. The cluster-level permutation test and the cluster-robust intervals reported in</w:t>
      </w:r>
      <w:r>
        <w:t xml:space="preserve"> </w:t>
      </w:r>
      <w:r>
        <w:t xml:space="preserve">Section </w:t>
      </w:r>
      <w:hyperlink w:anchor="sec:fpspread">
        <w:r>
          <w:rPr>
            <w:rStyle w:val="Hyperlink"/>
          </w:rPr>
          <w:t xml:space="preserve">3.1</w:t>
        </w:r>
      </w:hyperlink>
      <w:r>
        <w:t xml:space="preserve"> </w:t>
      </w:r>
      <w:r>
        <w:rPr>
          <w:highlight w:val="yellow"/>
        </w:rPr>
        <w:t xml:space="preserve">and</w:t>
      </w:r>
      <w:r>
        <w:t xml:space="preserve"> </w:t>
      </w:r>
      <w:r>
        <w:t xml:space="preserve">Section </w:t>
      </w:r>
      <w:hyperlink w:anchor="sec:tier">
        <w:r>
          <w:rPr>
            <w:rStyle w:val="Hyperlink"/>
          </w:rPr>
          <w:t xml:space="preserve">3.2</w:t>
        </w:r>
      </w:hyperlink>
      <w:r>
        <w:t xml:space="preserve"> </w:t>
      </w:r>
      <w:r>
        <w:rPr>
          <w:highlight w:val="yellow"/>
        </w:rPr>
        <w:t xml:space="preserve">are the safeguards against this, and they are materially wider than case-level inference would give. The case-level</w:t>
      </w:r>
      <w:r>
        <w:t xml:space="preserve"> </w:t>
      </w:r>
      <m:oMath>
        <m:r>
          <m:t>P</m:t>
        </m:r>
      </m:oMath>
      <w:r>
        <w:rPr>
          <w:highlight w:val="yellow"/>
        </w:rPr>
        <w:t xml:space="preserve">-values are retained only for comparability with the preregistered plan.</w:t>
      </w:r>
    </w:p>
    <w:p>
      <w:pPr>
        <w:pStyle w:val="BodyText"/>
      </w:pPr>
      <w:r>
        <w:rPr>
          <w:highlight w:val="yellow"/>
        </w:rPr>
        <w:t xml:space="preserve">The aggregation rule is a further qualification, and one that affected the submitted version of this paper. The analysis as first submitted deviated from preregistered</w:t>
      </w:r>
      <w:r>
        <w:t xml:space="preserve"> </w:t>
      </w:r>
      <w:r>
        <w:t xml:space="preserve">decision D4</w:t>
      </w:r>
      <w:r>
        <w:t xml:space="preserve"> </w:t>
      </w:r>
      <w:r>
        <w:rPr>
          <w:highlight w:val="yellow"/>
        </w:rPr>
        <w:t xml:space="preserve">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w:t>
      </w:r>
      <w:r>
        <w:t xml:space="preserve"> </w:t>
      </w:r>
      <w:r>
        <w:t xml:space="preserve">(Table </w:t>
      </w:r>
      <w:hyperlink w:anchor="tab:agg">
        <w:r>
          <w:rPr>
            <w:rStyle w:val="Hyperlink"/>
          </w:rPr>
          <w:t xml:space="preserve">1</w:t>
        </w:r>
      </w:hyperlink>
      <w:r>
        <w:rPr>
          <w:highlight w:val="yellow"/>
        </w:rP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w:t>
      </w:r>
      <w:r>
        <w:t xml:space="preserve"> </w:t>
      </w:r>
      <w:r>
        <w:rPr>
          <w:strike/>
        </w:rPr>
        <w:t xml:space="preserve">bank; they</w:t>
      </w:r>
      <w:r>
        <w:t xml:space="preserve"> </w:t>
      </w:r>
      <w:r>
        <w:rPr>
          <w:highlight w:val="yellow"/>
        </w:rPr>
        <w:t xml:space="preserve">bank. They</w:t>
      </w:r>
      <w:r>
        <w:t xml:space="preserve"> </w:t>
      </w:r>
      <w:r>
        <w:t xml:space="preserve">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7"/>
    <w:bookmarkEnd w:id="28"/>
    <w:bookmarkStart w:id="30"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w:t>
      </w:r>
      <w:r>
        <w:t xml:space="preserve"> </w:t>
      </w:r>
      <w:r>
        <w:rPr>
          <w:strike/>
        </w:rPr>
        <w:t xml:space="preserve">0.3% to 83.0</w:t>
      </w:r>
      <w:r>
        <w:t xml:space="preserve"> </w:t>
      </w:r>
      <w:r>
        <w:rPr>
          <w:highlight w:val="yellow"/>
        </w:rPr>
        <w:t xml:space="preserve">2.3</w:t>
      </w:r>
      <w:r>
        <w:t xml:space="preserve">%</w:t>
      </w:r>
      <w:r>
        <w:t xml:space="preserve"> </w:t>
      </w:r>
      <w:r>
        <w:rPr>
          <w:highlight w:val="yellow"/>
        </w:rPr>
        <w:t xml:space="preserve">to 85.7</w:t>
      </w:r>
      <w:r>
        <w:t xml:space="preserve">% on the same legitimate cases, and</w:t>
      </w:r>
      <w:r>
        <w:t xml:space="preserve"> </w:t>
      </w:r>
      <w:r>
        <w:rPr>
          <w:strike/>
        </w:rPr>
        <w:t xml:space="preserve">85.7</w:t>
      </w:r>
      <w:r>
        <w:t xml:space="preserve"> </w:t>
      </w:r>
      <w:r>
        <w:rPr>
          <w:highlight w:val="yellow"/>
        </w:rPr>
        <w:t xml:space="preserve">88.7</w:t>
      </w:r>
      <w:r>
        <w:t xml:space="preserve">% of legitimate cases were not classified unanimously across models. In both</w:t>
      </w:r>
      <w:r>
        <w:t xml:space="preserve"> </w:t>
      </w:r>
      <w:r>
        <w:rPr>
          <w:strike/>
        </w:rPr>
        <w:t xml:space="preserve">provider families,</w:t>
      </w:r>
      <w:r>
        <w:t xml:space="preserve"> </w:t>
      </w:r>
      <w:r>
        <w:rPr>
          <w:highlight w:val="yellow"/>
        </w:rPr>
        <w:t xml:space="preserve">of the two provider families studied,</w:t>
      </w:r>
      <w:r>
        <w:t xml:space="preserve"> </w:t>
      </w:r>
      <w:r>
        <w:t xml:space="preserve">the lower-tier models had much higher false-positive rates than the more capable models, placing the models at very different points on the sensitivity–specificity trade-off.</w:t>
      </w:r>
      <w:r>
        <w:t xml:space="preserve"> </w:t>
      </w:r>
      <w:r>
        <w:rPr>
          <w:highlight w:val="yellow"/>
        </w:rPr>
        <w:t xml:space="preserve">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w:t>
      </w:r>
      <w:r>
        <w:t xml:space="preserve"> </w:t>
      </w:r>
      <w:r>
        <w:rPr>
          <w:strike/>
        </w:rPr>
        <w:t xml:space="preserve">insufficient; the</w:t>
      </w:r>
      <w:r>
        <w:t xml:space="preserve"> </w:t>
      </w:r>
      <w:r>
        <w:rPr>
          <w:highlight w:val="yellow"/>
        </w:rPr>
        <w:t xml:space="preserve">insufficient. The</w:t>
      </w:r>
      <w:r>
        <w:t xml:space="preserve"> </w:t>
      </w:r>
      <w:r>
        <w:t xml:space="preserve">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w:t>
      </w:r>
      <w:r>
        <w:t xml:space="preserve"> </w:t>
      </w:r>
      <w:r>
        <w:rPr>
          <w:strike/>
        </w:rPr>
        <w:t xml:space="preserve">about 197-fold.</w:t>
      </w:r>
      <w:r>
        <w:t xml:space="preserve"> </w:t>
      </w:r>
      <w:r>
        <w:rPr>
          <w:highlight w:val="yellow"/>
        </w:rPr>
        <w:t xml:space="preserve">36- to 196-fold across deployable configurations.</w:t>
      </w:r>
      <w:r>
        <w:t xml:space="preserve"> </w:t>
      </w:r>
      <w:r>
        <w:t xml:space="preserve">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9" w:name="tab:agg"/>
    <w:p>
      <w:pPr>
        <w:pStyle w:val="TableCaption"/>
      </w:pPr>
      <w:r>
        <w:t xml:space="preserve">[New in revision]</w:t>
      </w:r>
      <w:r>
        <w:t xml:space="preserve"> </w:t>
      </w: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New in revision] 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rPr>
                <w:highlight w:val="yellow"/>
              </w:rPr>
              <w:t xml:space="preserve">Aggregation rule</w:t>
            </w:r>
          </w:p>
        </w:tc>
        <w:tc>
          <w:tcPr/>
          <w:p>
            <w:pPr>
              <w:pStyle w:val="Compact"/>
              <w:jc w:val="right"/>
            </w:pPr>
            <w:r>
              <w:rPr>
                <w:highlight w:val="yellow"/>
              </w:rPr>
              <w:t xml:space="preserve">G.</w:t>
            </w:r>
            <w:r>
              <w:t xml:space="preserve"> </w:t>
            </w:r>
            <w:r>
              <w:rPr>
                <w:highlight w:val="yellow"/>
              </w:rPr>
              <w:t xml:space="preserve">Flash</w:t>
            </w:r>
          </w:p>
        </w:tc>
        <w:tc>
          <w:tcPr/>
          <w:p>
            <w:pPr>
              <w:pStyle w:val="Compact"/>
              <w:jc w:val="right"/>
            </w:pPr>
            <w:r>
              <w:rPr>
                <w:highlight w:val="yellow"/>
              </w:rPr>
              <w:t xml:space="preserve">GPT-4o</w:t>
            </w:r>
          </w:p>
        </w:tc>
        <w:tc>
          <w:tcPr/>
          <w:p>
            <w:pPr>
              <w:pStyle w:val="Compact"/>
              <w:jc w:val="right"/>
            </w:pPr>
            <w:r>
              <w:rPr>
                <w:highlight w:val="yellow"/>
              </w:rPr>
              <w:t xml:space="preserve">4.1-mini</w:t>
            </w:r>
          </w:p>
        </w:tc>
        <w:tc>
          <w:tcPr/>
          <w:p>
            <w:pPr>
              <w:pStyle w:val="Compact"/>
              <w:jc w:val="right"/>
            </w:pPr>
            <w:r>
              <w:rPr>
                <w:highlight w:val="yellow"/>
              </w:rPr>
              <w:t xml:space="preserve">Flash-Lite</w:t>
            </w:r>
          </w:p>
        </w:tc>
        <w:tc>
          <w:tcPr/>
          <w:p>
            <w:pPr>
              <w:pStyle w:val="Compact"/>
              <w:jc w:val="right"/>
            </w:pPr>
            <w:r>
              <w:rPr>
                <w:highlight w:val="yellow"/>
              </w:rPr>
              <w:t xml:space="preserve">4o-mini</w:t>
            </w:r>
          </w:p>
        </w:tc>
        <w:tc>
          <w:tcPr/>
          <w:p>
            <w:pPr>
              <w:pStyle w:val="Compact"/>
              <w:jc w:val="right"/>
            </w:pPr>
            <w:r>
              <w:rPr>
                <w:highlight w:val="yellow"/>
              </w:rPr>
              <w:t xml:space="preserve">Spread</w:t>
            </w:r>
          </w:p>
        </w:tc>
        <w:tc>
          <w:tcPr/>
          <w:p>
            <w:pPr>
              <w:pStyle w:val="Compact"/>
              <w:jc w:val="right"/>
            </w:pPr>
            <m:oMath>
              <m:r>
                <m:t>Q</m:t>
              </m:r>
            </m:oMath>
            <w:r>
              <w:t xml:space="preserve">​</w:t>
            </w:r>
          </w:p>
        </w:tc>
      </w:tr>
      <w:tr>
        <w:tc>
          <w:tcPr/>
          <w:p>
            <w:pPr>
              <w:pStyle w:val="Compact"/>
              <w:jc w:val="left"/>
            </w:pPr>
            <w:r>
              <w:rPr>
                <w:highlight w:val="yellow"/>
              </w:rPr>
              <w:t xml:space="preserve">Ties to flag (D4, primary)</w:t>
            </w:r>
          </w:p>
        </w:tc>
        <w:tc>
          <w:tcPr/>
          <w:p>
            <w:pPr>
              <w:pStyle w:val="Compact"/>
              <w:jc w:val="right"/>
            </w:pPr>
            <w:r>
              <w:rPr>
                <w:highlight w:val="yellow"/>
              </w:rPr>
              <w:t xml:space="preserve">2.3</w:t>
            </w:r>
          </w:p>
        </w:tc>
        <w:tc>
          <w:tcPr/>
          <w:p>
            <w:pPr>
              <w:pStyle w:val="Compact"/>
              <w:jc w:val="right"/>
            </w:pPr>
            <w:r>
              <w:rPr>
                <w:highlight w:val="yellow"/>
              </w:rPr>
              <w:t xml:space="preserve">7.7</w:t>
            </w:r>
          </w:p>
        </w:tc>
        <w:tc>
          <w:tcPr/>
          <w:p>
            <w:pPr>
              <w:pStyle w:val="Compact"/>
              <w:jc w:val="right"/>
            </w:pPr>
            <w:r>
              <w:rPr>
                <w:highlight w:val="yellow"/>
              </w:rPr>
              <w:t xml:space="preserve">37.0</w:t>
            </w:r>
          </w:p>
        </w:tc>
        <w:tc>
          <w:tcPr/>
          <w:p>
            <w:pPr>
              <w:pStyle w:val="Compact"/>
              <w:jc w:val="right"/>
            </w:pPr>
            <w:r>
              <w:rPr>
                <w:highlight w:val="yellow"/>
              </w:rPr>
              <w:t xml:space="preserve">44.0</w:t>
            </w:r>
          </w:p>
        </w:tc>
        <w:tc>
          <w:tcPr/>
          <w:p>
            <w:pPr>
              <w:pStyle w:val="Compact"/>
              <w:jc w:val="right"/>
            </w:pPr>
            <w:r>
              <w:rPr>
                <w:highlight w:val="yellow"/>
              </w:rPr>
              <w:t xml:space="preserve">85.7</w:t>
            </w:r>
          </w:p>
        </w:tc>
        <w:tc>
          <w:tcPr/>
          <w:p>
            <w:pPr>
              <w:pStyle w:val="Compact"/>
              <w:jc w:val="right"/>
            </w:pPr>
            <w:r>
              <w:rPr>
                <w:highlight w:val="yellow"/>
              </w:rPr>
              <w:t xml:space="preserve">83.3</w:t>
            </w:r>
          </w:p>
        </w:tc>
        <w:tc>
          <w:tcPr/>
          <w:p>
            <w:pPr>
              <w:pStyle w:val="Compact"/>
              <w:jc w:val="right"/>
            </w:pPr>
            <w:r>
              <w:rPr>
                <w:highlight w:val="yellow"/>
              </w:rPr>
              <w:t xml:space="preserve">585.0</w:t>
            </w:r>
          </w:p>
        </w:tc>
      </w:tr>
      <w:tr>
        <w:tc>
          <w:tcPr/>
          <w:p>
            <w:pPr>
              <w:pStyle w:val="Compact"/>
              <w:jc w:val="left"/>
            </w:pPr>
            <w:r>
              <w:rPr>
                <w:highlight w:val="yellow"/>
              </w:rPr>
              <w:t xml:space="preserve">Ties to no flag (strict majority)</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Ties as abstentions</w:t>
            </w:r>
          </w:p>
        </w:tc>
        <w:tc>
          <w:tcPr/>
          <w:p>
            <w:pPr>
              <w:pStyle w:val="Compact"/>
              <w:jc w:val="right"/>
            </w:pPr>
            <w:r>
              <w:rPr>
                <w:highlight w:val="yellow"/>
              </w:rPr>
              <w:t xml:space="preserve">0.3</w:t>
            </w:r>
          </w:p>
        </w:tc>
        <w:tc>
          <w:tcPr/>
          <w:p>
            <w:pPr>
              <w:pStyle w:val="Compact"/>
              <w:jc w:val="right"/>
            </w:pPr>
            <w:r>
              <w:rPr>
                <w:highlight w:val="yellow"/>
              </w:rPr>
              <w:t xml:space="preserve">1.1</w:t>
            </w:r>
          </w:p>
        </w:tc>
        <w:tc>
          <w:tcPr/>
          <w:p>
            <w:pPr>
              <w:pStyle w:val="Compact"/>
              <w:jc w:val="right"/>
            </w:pPr>
            <w:r>
              <w:rPr>
                <w:highlight w:val="yellow"/>
              </w:rPr>
              <w:t xml:space="preserve">27.3</w:t>
            </w:r>
          </w:p>
        </w:tc>
        <w:tc>
          <w:tcPr/>
          <w:p>
            <w:pPr>
              <w:pStyle w:val="Compact"/>
              <w:jc w:val="right"/>
            </w:pPr>
            <w:r>
              <w:rPr>
                <w:highlight w:val="yellow"/>
              </w:rPr>
              <w:t xml:space="preserve">30.6</w:t>
            </w:r>
          </w:p>
        </w:tc>
        <w:tc>
          <w:tcPr/>
          <w:p>
            <w:pPr>
              <w:pStyle w:val="Compact"/>
              <w:jc w:val="right"/>
            </w:pPr>
            <w:r>
              <w:rPr>
                <w:highlight w:val="yellow"/>
              </w:rPr>
              <w:t xml:space="preserve">85.3</w:t>
            </w:r>
          </w:p>
        </w:tc>
        <w:tc>
          <w:tcPr/>
          <w:p>
            <w:pPr>
              <w:pStyle w:val="Compact"/>
              <w:jc w:val="right"/>
            </w:pPr>
            <w:r>
              <w:rPr>
                <w:highlight w:val="yellow"/>
              </w:rPr>
              <w:t xml:space="preserve">84.9</w:t>
            </w:r>
          </w:p>
        </w:tc>
        <w:tc>
          <w:tcPr/>
          <w:p>
            <w:pPr>
              <w:pStyle w:val="Compact"/>
              <w:jc w:val="right"/>
            </w:pPr>
            <w:r>
              <w:rPr>
                <w:highlight w:val="yellow"/>
              </w:rPr>
              <w:t xml:space="preserve">402.2</w:t>
            </w:r>
          </w:p>
        </w:tc>
      </w:tr>
      <w:tr>
        <w:tc>
          <w:tcPr/>
          <w:p>
            <w:pPr>
              <w:pStyle w:val="Compact"/>
              <w:jc w:val="left"/>
            </w:pPr>
            <w:r>
              <w:rPr>
                <w:highlight w:val="yellow"/>
              </w:rPr>
              <w:t xml:space="preserve">Unanimity required</w:t>
            </w:r>
          </w:p>
        </w:tc>
        <w:tc>
          <w:tcPr/>
          <w:p>
            <w:pPr>
              <w:pStyle w:val="Compact"/>
              <w:jc w:val="right"/>
            </w:pPr>
            <w:r>
              <w:rPr>
                <w:highlight w:val="yellow"/>
              </w:rPr>
              <w:t xml:space="preserve">0.3</w:t>
            </w:r>
          </w:p>
        </w:tc>
        <w:tc>
          <w:tcPr/>
          <w:p>
            <w:pPr>
              <w:pStyle w:val="Compact"/>
              <w:jc w:val="right"/>
            </w:pPr>
            <w:r>
              <w:rPr>
                <w:highlight w:val="yellow"/>
              </w:rPr>
              <w:t xml:space="preserve">0.3</w:t>
            </w:r>
          </w:p>
        </w:tc>
        <w:tc>
          <w:tcPr/>
          <w:p>
            <w:pPr>
              <w:pStyle w:val="Compact"/>
              <w:jc w:val="right"/>
            </w:pPr>
            <w:r>
              <w:rPr>
                <w:highlight w:val="yellow"/>
              </w:rPr>
              <w:t xml:space="preserve">20.3</w:t>
            </w:r>
          </w:p>
        </w:tc>
        <w:tc>
          <w:tcPr/>
          <w:p>
            <w:pPr>
              <w:pStyle w:val="Compact"/>
              <w:jc w:val="right"/>
            </w:pPr>
            <w:r>
              <w:rPr>
                <w:highlight w:val="yellow"/>
              </w:rPr>
              <w:t xml:space="preserve">24.7</w:t>
            </w:r>
          </w:p>
        </w:tc>
        <w:tc>
          <w:tcPr/>
          <w:p>
            <w:pPr>
              <w:pStyle w:val="Compact"/>
              <w:jc w:val="right"/>
            </w:pPr>
            <w:r>
              <w:rPr>
                <w:highlight w:val="yellow"/>
              </w:rPr>
              <w:t xml:space="preserve">78.0</w:t>
            </w:r>
          </w:p>
        </w:tc>
        <w:tc>
          <w:tcPr/>
          <w:p>
            <w:pPr>
              <w:pStyle w:val="Compact"/>
              <w:jc w:val="right"/>
            </w:pPr>
            <w:r>
              <w:rPr>
                <w:highlight w:val="yellow"/>
              </w:rPr>
              <w:t xml:space="preserve">77.7</w:t>
            </w:r>
          </w:p>
        </w:tc>
        <w:tc>
          <w:tcPr/>
          <w:p>
            <w:pPr>
              <w:pStyle w:val="Compact"/>
              <w:jc w:val="right"/>
            </w:pPr>
            <w:r>
              <w:rPr>
                <w:highlight w:val="yellow"/>
              </w:rPr>
              <w:t xml:space="preserve">618.5</w:t>
            </w:r>
          </w:p>
        </w:tc>
      </w:tr>
      <w:tr>
        <w:tc>
          <w:tcPr/>
          <w:p>
            <w:pPr>
              <w:pStyle w:val="Compact"/>
              <w:jc w:val="left"/>
            </w:pPr>
            <w:r>
              <w:rPr>
                <w:highlight w:val="yellow"/>
              </w:rPr>
              <w:t xml:space="preserve">Label-dependent (submitted)</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Single call: FATF seed 0</w:t>
            </w:r>
          </w:p>
        </w:tc>
        <w:tc>
          <w:tcPr/>
          <w:p>
            <w:pPr>
              <w:pStyle w:val="Compact"/>
              <w:jc w:val="right"/>
            </w:pPr>
            <w:r>
              <w:rPr>
                <w:highlight w:val="yellow"/>
              </w:rPr>
              <w:t xml:space="preserve">2.3</w:t>
            </w:r>
          </w:p>
        </w:tc>
        <w:tc>
          <w:tcPr/>
          <w:p>
            <w:pPr>
              <w:pStyle w:val="Compact"/>
              <w:jc w:val="right"/>
            </w:pPr>
            <w:r>
              <w:rPr>
                <w:highlight w:val="yellow"/>
              </w:rPr>
              <w:t xml:space="preserve">9.3</w:t>
            </w:r>
          </w:p>
        </w:tc>
        <w:tc>
          <w:tcPr/>
          <w:p>
            <w:pPr>
              <w:pStyle w:val="Compact"/>
              <w:jc w:val="right"/>
            </w:pPr>
            <w:r>
              <w:rPr>
                <w:highlight w:val="yellow"/>
              </w:rPr>
              <w:t xml:space="preserve">40.3</w:t>
            </w:r>
          </w:p>
        </w:tc>
        <w:tc>
          <w:tcPr/>
          <w:p>
            <w:pPr>
              <w:pStyle w:val="Compact"/>
              <w:jc w:val="right"/>
            </w:pPr>
            <w:r>
              <w:rPr>
                <w:highlight w:val="yellow"/>
              </w:rPr>
              <w:t xml:space="preserve">44.0</w:t>
            </w:r>
          </w:p>
        </w:tc>
        <w:tc>
          <w:tcPr/>
          <w:p>
            <w:pPr>
              <w:pStyle w:val="Compact"/>
              <w:jc w:val="right"/>
            </w:pPr>
            <w:r>
              <w:rPr>
                <w:highlight w:val="yellow"/>
              </w:rPr>
              <w:t xml:space="preserve">87.7</w:t>
            </w:r>
          </w:p>
        </w:tc>
        <w:tc>
          <w:tcPr/>
          <w:p>
            <w:pPr>
              <w:pStyle w:val="Compact"/>
              <w:jc w:val="right"/>
            </w:pPr>
            <w:r>
              <w:rPr>
                <w:highlight w:val="yellow"/>
              </w:rPr>
              <w:t xml:space="preserve">85.3</w:t>
            </w:r>
          </w:p>
        </w:tc>
        <w:tc>
          <w:tcPr/>
          <w:p>
            <w:pPr>
              <w:pStyle w:val="Compact"/>
              <w:jc w:val="right"/>
            </w:pPr>
            <w:r>
              <w:rPr>
                <w:highlight w:val="yellow"/>
              </w:rPr>
              <w:t xml:space="preserve">588.1</w:t>
            </w:r>
          </w:p>
        </w:tc>
      </w:tr>
      <w:tr>
        <w:tc>
          <w:tcPr/>
          <w:p>
            <w:pPr>
              <w:pStyle w:val="Compact"/>
              <w:jc w:val="left"/>
            </w:pPr>
            <w:r>
              <w:rPr>
                <w:highlight w:val="yellow"/>
              </w:rPr>
              <w:t xml:space="preserve">Single call: FATF seed 1</w:t>
            </w:r>
          </w:p>
        </w:tc>
        <w:tc>
          <w:tcPr/>
          <w:p>
            <w:pPr>
              <w:pStyle w:val="Compact"/>
              <w:jc w:val="right"/>
            </w:pPr>
            <w:r>
              <w:rPr>
                <w:highlight w:val="yellow"/>
              </w:rPr>
              <w:t xml:space="preserve">2.3</w:t>
            </w:r>
          </w:p>
        </w:tc>
        <w:tc>
          <w:tcPr/>
          <w:p>
            <w:pPr>
              <w:pStyle w:val="Compact"/>
              <w:jc w:val="right"/>
            </w:pPr>
            <w:r>
              <w:rPr>
                <w:highlight w:val="yellow"/>
              </w:rPr>
              <w:t xml:space="preserve">8.0</w:t>
            </w:r>
          </w:p>
        </w:tc>
        <w:tc>
          <w:tcPr/>
          <w:p>
            <w:pPr>
              <w:pStyle w:val="Compact"/>
              <w:jc w:val="right"/>
            </w:pPr>
            <w:r>
              <w:rPr>
                <w:highlight w:val="yellow"/>
              </w:rPr>
              <w:t xml:space="preserve">39.0</w:t>
            </w:r>
          </w:p>
        </w:tc>
        <w:tc>
          <w:tcPr/>
          <w:p>
            <w:pPr>
              <w:pStyle w:val="Compact"/>
              <w:jc w:val="right"/>
            </w:pPr>
            <w:r>
              <w:rPr>
                <w:highlight w:val="yellow"/>
              </w:rPr>
              <w:t xml:space="preserve">44.0</w:t>
            </w:r>
          </w:p>
        </w:tc>
        <w:tc>
          <w:tcPr/>
          <w:p>
            <w:pPr>
              <w:pStyle w:val="Compact"/>
              <w:jc w:val="right"/>
            </w:pPr>
            <w:r>
              <w:rPr>
                <w:highlight w:val="yellow"/>
              </w:rPr>
              <w:t xml:space="preserve">87.3</w:t>
            </w:r>
          </w:p>
        </w:tc>
        <w:tc>
          <w:tcPr/>
          <w:p>
            <w:pPr>
              <w:pStyle w:val="Compact"/>
              <w:jc w:val="right"/>
            </w:pPr>
            <w:r>
              <w:rPr>
                <w:highlight w:val="yellow"/>
              </w:rPr>
              <w:t xml:space="preserve">85.0</w:t>
            </w:r>
          </w:p>
        </w:tc>
        <w:tc>
          <w:tcPr/>
          <w:p>
            <w:pPr>
              <w:pStyle w:val="Compact"/>
              <w:jc w:val="right"/>
            </w:pPr>
            <w:r>
              <w:rPr>
                <w:highlight w:val="yellow"/>
              </w:rPr>
              <w:t xml:space="preserve">593.0</w:t>
            </w:r>
          </w:p>
        </w:tc>
      </w:tr>
      <w:tr>
        <w:tc>
          <w:tcPr/>
          <w:p>
            <w:pPr>
              <w:pStyle w:val="Compact"/>
              <w:jc w:val="left"/>
            </w:pPr>
            <w:r>
              <w:rPr>
                <w:highlight w:val="yellow"/>
              </w:rPr>
              <w:t xml:space="preserve">Single call: terse seed 0</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80.7</w:t>
            </w:r>
          </w:p>
        </w:tc>
        <w:tc>
          <w:tcPr/>
          <w:p>
            <w:pPr>
              <w:pStyle w:val="Compact"/>
              <w:jc w:val="right"/>
            </w:pPr>
            <w:r>
              <w:rPr>
                <w:highlight w:val="yellow"/>
              </w:rPr>
              <w:t xml:space="preserve">80.3</w:t>
            </w:r>
          </w:p>
        </w:tc>
        <w:tc>
          <w:tcPr/>
          <w:p>
            <w:pPr>
              <w:pStyle w:val="Compact"/>
              <w:jc w:val="right"/>
            </w:pPr>
            <w:r>
              <w:rPr>
                <w:highlight w:val="yellow"/>
              </w:rPr>
              <w:t xml:space="preserve">637.0</w:t>
            </w:r>
          </w:p>
        </w:tc>
      </w:tr>
      <w:tr>
        <w:tc>
          <w:tcPr/>
          <w:p>
            <w:pPr>
              <w:pStyle w:val="Compact"/>
              <w:jc w:val="left"/>
            </w:pPr>
            <w:r>
              <w:rPr>
                <w:highlight w:val="yellow"/>
              </w:rPr>
              <w:t xml:space="preserve">Single call: terse seed 1</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21.0</w:t>
            </w:r>
          </w:p>
        </w:tc>
        <w:tc>
          <w:tcPr/>
          <w:p>
            <w:pPr>
              <w:pStyle w:val="Compact"/>
              <w:jc w:val="right"/>
            </w:pPr>
            <w:r>
              <w:rPr>
                <w:highlight w:val="yellow"/>
              </w:rPr>
              <w:t xml:space="preserve">24.7</w:t>
            </w:r>
          </w:p>
        </w:tc>
        <w:tc>
          <w:tcPr/>
          <w:p>
            <w:pPr>
              <w:pStyle w:val="Compact"/>
              <w:jc w:val="right"/>
            </w:pPr>
            <w:r>
              <w:rPr>
                <w:highlight w:val="yellow"/>
              </w:rPr>
              <w:t xml:space="preserve">81.7</w:t>
            </w:r>
          </w:p>
        </w:tc>
        <w:tc>
          <w:tcPr/>
          <w:p>
            <w:pPr>
              <w:pStyle w:val="Compact"/>
              <w:jc w:val="right"/>
            </w:pPr>
            <w:r>
              <w:rPr>
                <w:highlight w:val="yellow"/>
              </w:rPr>
              <w:t xml:space="preserve">81.3</w:t>
            </w:r>
          </w:p>
        </w:tc>
        <w:tc>
          <w:tcPr/>
          <w:p>
            <w:pPr>
              <w:pStyle w:val="Compact"/>
              <w:jc w:val="right"/>
            </w:pPr>
            <w:r>
              <w:rPr>
                <w:highlight w:val="yellow"/>
              </w:rP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9"/>
    <w:bookmarkEnd w:id="30"/>
    <w:bookmarkStart w:id="59"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w:t>
      </w:r>
      <w:r>
        <w:t xml:space="preserve"> </w:t>
      </w:r>
      <w:r>
        <w:rPr>
          <w:strike/>
        </w:rPr>
        <w:t xml:space="preserve">Because preregistered decision D4 resolves exact splits with reference to the known case label, it is an evaluation aggregation rule rather than a deployable screening rule; it</w:t>
      </w:r>
      <w:r>
        <w:t xml:space="preserve"> </w:t>
      </w:r>
      <w:r>
        <w:rPr>
          <w:highlight w:val="yellow"/>
        </w:rPr>
        <w:t xml:space="preserve">One row of</w:t>
      </w:r>
      <w:r>
        <w:t xml:space="preserve"> </w:t>
      </w:r>
      <w:r>
        <w:t xml:space="preserve">Table </w:t>
      </w:r>
      <w:hyperlink w:anchor="tab:agg">
        <w:r>
          <w:rPr>
            <w:rStyle w:val="Hyperlink"/>
          </w:rPr>
          <w:t xml:space="preserve">1</w:t>
        </w:r>
      </w:hyperlink>
      <w:r>
        <w:t xml:space="preserve"> </w:t>
      </w:r>
      <w:r>
        <w:rPr>
          <w:highlight w:val="yellow"/>
        </w:rP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w:t>
      </w:r>
      <w:r>
        <w:t xml:space="preserve">%</w:t>
      </w:r>
      <w:r>
        <w:t xml:space="preserve"> </w:t>
      </w:r>
      <w:r>
        <w:rPr>
          <w:highlight w:val="yellow"/>
        </w:rPr>
        <w:t xml:space="preserve">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rPr>
          <w:highlight w:val="yellow"/>
        </w:rPr>
        <w:t xml:space="preserve">and does not consult the known case label. It</w:t>
      </w:r>
      <w:r>
        <w:t xml:space="preserve"> </w:t>
      </w:r>
      <w:r>
        <w:t xml:space="preserve">was fixed before the full evaluation and</w:t>
      </w:r>
      <w:r>
        <w:t xml:space="preserve"> </w:t>
      </w:r>
      <w:r>
        <w:rPr>
          <w:strike/>
        </w:rPr>
        <w:t xml:space="preserve">applied identically across models.</w:t>
      </w:r>
      <w:r>
        <w:t xml:space="preserve"> </w:t>
      </w:r>
      <w:r>
        <w:rPr>
          <w:highlight w:val="yellow"/>
        </w:rPr>
        <w:t xml:space="preserve">is applied identically to legitimate and suspicious cases and to every model. The analysis submitted for review deviated from D4 on the legitimate-case branch, where it required a strict majority. That deviation and its effect on every affected number are set out in</w:t>
      </w:r>
      <w:r>
        <w:t xml:space="preserve"> </w:t>
      </w:r>
      <w:r>
        <w:t xml:space="preserve">Section </w:t>
      </w:r>
      <w:hyperlink w:anchor="sec:agg">
        <w:r>
          <w:rPr>
            <w:rStyle w:val="Hyperlink"/>
          </w:rPr>
          <w:t xml:space="preserve">2.3</w:t>
        </w:r>
      </w:hyperlink>
      <w:r>
        <w:t xml:space="preserve"> </w:t>
      </w:r>
      <w:r>
        <w:rPr>
          <w:highlight w:val="yellow"/>
        </w:rPr>
        <w:t xml:space="preserve">and</w:t>
      </w:r>
      <w:r>
        <w:t xml:space="preserve"> </w:t>
      </w:r>
      <w:r>
        <w:t xml:space="preserve">Table </w:t>
      </w:r>
      <w:hyperlink w:anchor="tab:agg">
        <w:r>
          <w:rPr>
            <w:rStyle w:val="Hyperlink"/>
          </w:rPr>
          <w:t xml:space="preserve">1</w:t>
        </w:r>
      </w:hyperlink>
      <w:r>
        <w:rPr>
          <w:highlight w:val="yellow"/>
        </w:rP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w:t>
      </w:r>
      <w:r>
        <w:t xml:space="preserve"> </w:t>
      </w:r>
      <w:r>
        <w:t xml:space="preserve">Table </w:t>
      </w:r>
      <w:hyperlink w:anchor="tab:agg">
        <w:r>
          <w:rPr>
            <w:rStyle w:val="Hyperlink"/>
          </w:rPr>
          <w:t xml:space="preserve">1</w:t>
        </w:r>
      </w:hyperlink>
      <w:r>
        <w:rPr>
          <w:highlight w:val="yellow"/>
        </w:rPr>
        <w:t xml:space="preserve">.</w:t>
      </w:r>
    </w:p>
    <w:bookmarkStart w:id="34" w:name="fig:fp"/>
    <w:p>
      <w:pPr>
        <w:pStyle w:val="CaptionedFigure"/>
      </w:pPr>
      <w:r>
        <w:drawing>
          <wp:inline>
            <wp:extent cx="3840480" cy="2416403"/>
            <wp:effectExtent b="0" l="0" r="0" t="0"/>
            <wp:docPr descr="" title="" id="32" name="Picture"/>
            <a:graphic>
              <a:graphicData uri="http://schemas.openxmlformats.org/drawingml/2006/picture">
                <pic:pic>
                  <pic:nvPicPr>
                    <pic:cNvPr descr="fig1_fp_by_model.png" id="33" name="Picture"/>
                    <pic:cNvPicPr>
                      <a:picLocks noChangeArrowheads="1" noChangeAspect="1"/>
                    </pic:cNvPicPr>
                  </pic:nvPicPr>
                  <pic:blipFill>
                    <a:blip r:embed="rId31"/>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4"/>
    <w:bookmarkStart w:id="38" w:name="fig:ops"/>
    <w:p>
      <w:pPr>
        <w:pStyle w:val="CaptionedFigure"/>
      </w:pPr>
      <w:r>
        <w:drawing>
          <wp:inline>
            <wp:extent cx="3307080" cy="2613081"/>
            <wp:effectExtent b="0" l="0" r="0" t="0"/>
            <wp:docPr descr="" title="" id="36" name="Picture"/>
            <a:graphic>
              <a:graphicData uri="http://schemas.openxmlformats.org/drawingml/2006/picture">
                <pic:pic>
                  <pic:nvPicPr>
                    <pic:cNvPr descr="fig2_operating_points.png" id="37" name="Picture"/>
                    <pic:cNvPicPr>
                      <a:picLocks noChangeArrowheads="1" noChangeAspect="1"/>
                    </pic:cNvPicPr>
                  </pic:nvPicPr>
                  <pic:blipFill>
                    <a:blip r:embed="rId35"/>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8"/>
    <w:bookmarkStart w:id="42" w:name="fig:vol"/>
    <w:p>
      <w:pPr>
        <w:pStyle w:val="CaptionedFigure"/>
      </w:pPr>
      <w:r>
        <w:drawing>
          <wp:inline>
            <wp:extent cx="3840480" cy="2425198"/>
            <wp:effectExtent b="0" l="0" r="0" t="0"/>
            <wp:docPr descr="" title="" id="40" name="Picture"/>
            <a:graphic>
              <a:graphicData uri="http://schemas.openxmlformats.org/drawingml/2006/picture">
                <pic:pic>
                  <pic:nvPicPr>
                    <pic:cNvPr descr="fig3_alert_volume.png" id="41" name="Picture"/>
                    <pic:cNvPicPr>
                      <a:picLocks noChangeArrowheads="1" noChangeAspect="1"/>
                    </pic:cNvPicPr>
                  </pic:nvPicPr>
                  <pic:blipFill>
                    <a:blip r:embed="rId39"/>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2"/>
    <w:bookmarkStart w:id="46" w:name="fig:sweep"/>
    <w:p>
      <w:pPr>
        <w:pStyle w:val="CaptionedFigure"/>
      </w:pPr>
      <w:r>
        <w:drawing>
          <wp:inline>
            <wp:extent cx="5067300" cy="2737586"/>
            <wp:effectExtent b="0" l="0" r="0" t="0"/>
            <wp:docPr descr="" title="" id="44" name="Picture"/>
            <a:graphic>
              <a:graphicData uri="http://schemas.openxmlformats.org/drawingml/2006/picture">
                <pic:pic>
                  <pic:nvPicPr>
                    <pic:cNvPr descr="fig6_prevalence_sweep.png" id="45" name="Picture"/>
                    <pic:cNvPicPr>
                      <a:picLocks noChangeArrowheads="1" noChangeAspect="1"/>
                    </pic:cNvPicPr>
                  </pic:nvPicPr>
                  <pic:blipFill>
                    <a:blip r:embed="rId43"/>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t xml:space="preserve">[New in revision]</w:t>
      </w:r>
      <w:r>
        <w:t xml:space="preserve"> </w:t>
      </w: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6"/>
    <w:bookmarkStart w:id="50" w:name="fig:typ"/>
    <w:p>
      <w:pPr>
        <w:pStyle w:val="CaptionedFigure"/>
      </w:pPr>
      <w:r>
        <w:drawing>
          <wp:inline>
            <wp:extent cx="4000500" cy="2533991"/>
            <wp:effectExtent b="0" l="0" r="0" t="0"/>
            <wp:docPr descr="" title="" id="48" name="Picture"/>
            <a:graphic>
              <a:graphicData uri="http://schemas.openxmlformats.org/drawingml/2006/picture">
                <pic:pic>
                  <pic:nvPicPr>
                    <pic:cNvPr descr="fig4_typology_miss.png" id="49" name="Picture"/>
                    <pic:cNvPicPr>
                      <a:picLocks noChangeArrowheads="1" noChangeAspect="1"/>
                    </pic:cNvPicPr>
                  </pic:nvPicPr>
                  <pic:blipFill>
                    <a:blip r:embed="rId47"/>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50"/>
    <w:bookmarkStart w:id="54" w:name="fig:heat"/>
    <w:p>
      <w:pPr>
        <w:pStyle w:val="CaptionedFigure"/>
      </w:pPr>
      <w:r>
        <w:drawing>
          <wp:inline>
            <wp:extent cx="3520440" cy="2365160"/>
            <wp:effectExtent b="0" l="0" r="0" t="0"/>
            <wp:docPr descr="" title="" id="52" name="Picture"/>
            <a:graphic>
              <a:graphicData uri="http://schemas.openxmlformats.org/drawingml/2006/picture">
                <pic:pic>
                  <pic:nvPicPr>
                    <pic:cNvPr descr="fig5_typology_model_heatmap.png" id="53" name="Picture"/>
                    <pic:cNvPicPr>
                      <a:picLocks noChangeArrowheads="1" noChangeAspect="1"/>
                    </pic:cNvPicPr>
                  </pic:nvPicPr>
                  <pic:blipFill>
                    <a:blip r:embed="rId51"/>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4"/>
    <w:bookmarkStart w:id="55" w:name="tab:ops"/>
    <w:p>
      <w:pPr>
        <w:pStyle w:val="TableCaption"/>
      </w:pPr>
      <w:r>
        <w:t xml:space="preserve">[Revised in revision]</w:t>
      </w:r>
      <w:r>
        <w:t xml:space="preserve"> </w:t>
      </w: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Revised in revision] 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mcnemar"/>
    <w:p>
      <w:pPr>
        <w:pStyle w:val="TableCaption"/>
      </w:pPr>
      <w:r>
        <w:t xml:space="preserve">[Revised in revision]</w:t>
      </w:r>
      <w:r>
        <w:t xml:space="preserve"> </w:t>
      </w: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Revised in revision] 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l"/>
    <w:p>
      <w:pPr>
        <w:pStyle w:val="TableCaption"/>
      </w:pPr>
      <w:r>
        <w:t xml:space="preserve">[Revised in revision]</w:t>
      </w:r>
      <w:r>
        <w:t xml:space="preserve"> </w:t>
      </w: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Revised in revision] 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7"/>
    <w:p/>
    <w:bookmarkStart w:id="58" w:name="tab:vote"/>
    <w:p>
      <w:pPr>
        <w:pStyle w:val="TableCaption"/>
      </w:pPr>
      <w:r>
        <w:t xml:space="preserve">[Revised in revision]</w:t>
      </w:r>
      <w:r>
        <w:t xml:space="preserve"> </w:t>
      </w: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Revised in revision] 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8"/>
    <w:p>
      <w:pPr>
        <w:pStyle w:val="BodyText"/>
      </w:pPr>
      <w:r>
        <w:t xml:space="preserve">Analyses used open-source software (Python, NumPy, scikit-learn, SciPy,</w:t>
      </w:r>
      <w:r>
        <w:t xml:space="preserve"> </w:t>
      </w:r>
      <w:r>
        <w:rPr>
          <w:strike/>
        </w:rPr>
        <w:t xml:space="preserve">Matplotlib); the</w:t>
      </w:r>
      <w:r>
        <w:t xml:space="preserve"> </w:t>
      </w:r>
      <w:r>
        <w:rPr>
          <w:highlight w:val="yellow"/>
        </w:rPr>
        <w:t xml:space="preserve">Matplotlib). The</w:t>
      </w:r>
      <w:r>
        <w:t xml:space="preserve"> </w:t>
      </w:r>
      <w:r>
        <w:t xml:space="preserve">authors thank the maintainers of these open-source projects.</w:t>
      </w:r>
    </w:p>
    <w:bookmarkEnd w:id="59"/>
    <w:bookmarkStart w:id="62"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60">
        <w:r>
          <w:rPr>
            <w:rStyle w:val="Hyperlink"/>
          </w:rPr>
          <w:t xml:space="preserve">https://github.com/samirrc2/ai-foundation-model-aml-false-positives</w:t>
        </w:r>
      </w:hyperlink>
      <w:r>
        <w:t xml:space="preserve"> </w:t>
      </w:r>
      <w:r>
        <w:rPr>
          <w:strike/>
        </w:rPr>
        <w:t xml:space="preserve">(MIT licence); the</w:t>
      </w:r>
      <w:r>
        <w:t xml:space="preserve"> </w:t>
      </w:r>
      <w:r>
        <w:rPr>
          <w:highlight w:val="yellow"/>
        </w:rPr>
        <w:t xml:space="preserve">under the MIT licence, and archived on Zenodo under the concept DOI</w:t>
      </w:r>
      <w:r>
        <w:t xml:space="preserve"> </w:t>
      </w:r>
      <w:hyperlink r:id="rId61">
        <w:r>
          <w:rPr>
            <w:rStyle w:val="Hyperlink"/>
          </w:rPr>
          <w:t xml:space="preserve">https://doi.org/10.5281/zenodo.23424852</w:t>
        </w:r>
      </w:hyperlink>
      <w:r>
        <w:rPr>
          <w:highlight w:val="yellow"/>
        </w:rPr>
        <w:t xml:space="preserve">, which resolves to the most recent version. The</w:t>
      </w:r>
      <w:r>
        <w:t xml:space="preserve"> </w:t>
      </w:r>
      <w:r>
        <w:t xml:space="preserve">repository root includes</w:t>
      </w:r>
      <w:r>
        <w:t xml:space="preserve"> </w:t>
      </w:r>
      <w:r>
        <w:rPr>
          <w:rStyle w:val="VerbatimChar"/>
        </w:rPr>
        <w:t xml:space="preserve">REPRODUCIBILITY_DOCUMENTATION.pdf</w:t>
      </w:r>
      <w:r>
        <w:t xml:space="preserve">, a</w:t>
      </w:r>
      <w:r>
        <w:t xml:space="preserve"> </w:t>
      </w:r>
      <w:r>
        <w:rPr>
          <w:strike/>
        </w:rPr>
        <w:t xml:space="preserve">section-by-section guide to every input, script,</w:t>
      </w:r>
      <w:r>
        <w:t xml:space="preserve"> </w:t>
      </w:r>
      <w:r>
        <w:rPr>
          <w:highlight w:val="yellow"/>
        </w:rPr>
        <w:t xml:space="preserve">guide to every input, script</w:t>
      </w:r>
      <w:r>
        <w:t xml:space="preserve"> </w:t>
      </w:r>
      <w:r>
        <w:t xml:space="preserve">and output and to the</w:t>
      </w:r>
      <w:r>
        <w:t xml:space="preserve"> </w:t>
      </w:r>
      <w:r>
        <w:rPr>
          <w:highlight w:val="yellow"/>
        </w:rPr>
        <w:t xml:space="preserve">offline reproduction, which runs with one command.</w:t>
      </w:r>
      <w:r>
        <w:t xml:space="preserve"> </w:t>
      </w:r>
      <w:r>
        <w:t xml:space="preserve">The study uses only synthetic</w:t>
      </w:r>
      <w:r>
        <w:t xml:space="preserve"> </w:t>
      </w:r>
      <w:r>
        <w:rPr>
          <w:strike/>
        </w:rPr>
        <w:t xml:space="preserve">data: no human participants, no proprietary records, and no live model access are needed</w:t>
      </w:r>
      <w:r>
        <w:t xml:space="preserve"> </w:t>
      </w:r>
      <w:r>
        <w:rPr>
          <w:highlight w:val="yellow"/>
        </w:rPr>
        <w:t xml:space="preserve">transaction data. No human participants, proprietary records or live model access are required</w:t>
      </w:r>
      <w:r>
        <w:t xml:space="preserve"> </w:t>
      </w:r>
      <w:r>
        <w:t xml:space="preserve">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60">
        <w:r>
          <w:rPr>
            <w:rStyle w:val="Hyperlink"/>
          </w:rPr>
          <w:t xml:space="preserve">https://github.com/samirrc2/ai-foundation-model-aml-false-positives</w:t>
        </w:r>
      </w:hyperlink>
      <w:r>
        <w:rPr>
          <w:strike/>
        </w:rPr>
        <w:t xml:space="preserve">); its</w:t>
      </w:r>
      <w:r>
        <w:t xml:space="preserve"> </w:t>
      </w:r>
      <w:r>
        <w:rPr>
          <w:highlight w:val="yellow"/>
        </w:rPr>
        <w:t xml:space="preserve">). Its</w:t>
      </w:r>
      <w:r>
        <w:t xml:space="preserve"> </w:t>
      </w:r>
      <w:r>
        <w:t xml:space="preserve">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w:t>
      </w:r>
      <w:r>
        <w:t xml:space="preserve"> </w:t>
      </w:r>
      <w:r>
        <w:rPr>
          <w:strike/>
        </w:rPr>
        <w:t xml:space="preserve">applicable (synthetic data only;</w:t>
      </w:r>
      <w:r>
        <w:t xml:space="preserve"> </w:t>
      </w:r>
      <w:r>
        <w:rPr>
          <w:highlight w:val="yellow"/>
        </w:rPr>
        <w:t xml:space="preserve">applicable. The study uses synthetic data only, with</w:t>
      </w:r>
      <w:r>
        <w:t xml:space="preserve"> </w:t>
      </w:r>
      <w:r>
        <w:t xml:space="preserve">no human participants, human tissue or</w:t>
      </w:r>
      <w:r>
        <w:t xml:space="preserve"> </w:t>
      </w:r>
      <w:r>
        <w:rPr>
          <w:strike/>
        </w:rPr>
        <w:t xml:space="preserve">animals).</w:t>
      </w:r>
      <w:r>
        <w:t xml:space="preserve"> </w:t>
      </w:r>
      <w:r>
        <w:rPr>
          <w:b/>
          <w:bCs/>
          <w:strike/>
        </w:rPr>
        <w:t xml:space="preserve">Consent for publication.</w:t>
      </w:r>
      <w:r>
        <w:rPr>
          <w:strike/>
        </w:rPr>
        <w:t xml:space="preserve"> </w:t>
      </w:r>
      <w:r>
        <w:rPr>
          <w:strike/>
        </w:rPr>
        <w:t xml:space="preserve">Not applicable.</w:t>
      </w:r>
      <w:r>
        <w:t xml:space="preserve"> </w:t>
      </w:r>
      <w:r>
        <w:rPr>
          <w:b/>
          <w:bCs/>
          <w:strike/>
        </w:rPr>
        <w:t xml:space="preserve">Materials availability.</w:t>
      </w:r>
      <w:r>
        <w:rPr>
          <w:strike/>
        </w:rPr>
        <w:t xml:space="preserve"> </w:t>
      </w:r>
      <w:r>
        <w:rPr>
          <w:strike/>
        </w:rPr>
        <w:t xml:space="preserve">Not applicable (the</w:t>
      </w:r>
      <w:r>
        <w:t xml:space="preserve"> </w:t>
      </w:r>
      <w:r>
        <w:rPr>
          <w:highlight w:val="yellow"/>
        </w:rPr>
        <w:t xml:space="preserve">animals.</w:t>
      </w:r>
    </w:p>
    <w:p>
      <w:pPr>
        <w:pStyle w:val="BodyText"/>
      </w:pPr>
      <w:r>
        <w:rPr>
          <w:b/>
          <w:bCs/>
        </w:rPr>
        <w:t xml:space="preserve">Consent for publication.</w:t>
      </w:r>
      <w:r>
        <w:t xml:space="preserve"> </w:t>
      </w:r>
      <w:r>
        <w:rPr>
          <w:highlight w:val="yellow"/>
        </w:rPr>
        <w:t xml:space="preserve">Not applicable.</w:t>
      </w:r>
    </w:p>
    <w:p>
      <w:pPr>
        <w:pStyle w:val="BodyText"/>
      </w:pPr>
      <w:r>
        <w:rPr>
          <w:b/>
          <w:bCs/>
        </w:rPr>
        <w:t xml:space="preserve">Materials availability.</w:t>
      </w:r>
      <w:r>
        <w:t xml:space="preserve"> </w:t>
      </w:r>
      <w:r>
        <w:rPr>
          <w:highlight w:val="yellow"/>
        </w:rPr>
        <w:t xml:space="preserve">Not applicable. The</w:t>
      </w:r>
      <w:r>
        <w:t xml:space="preserve"> </w:t>
      </w:r>
      <w:r>
        <w:t xml:space="preserve">study uses only synthetic data and open-source</w:t>
      </w:r>
      <w:r>
        <w:t xml:space="preserve"> </w:t>
      </w:r>
      <w:r>
        <w:rPr>
          <w:strike/>
        </w:rPr>
        <w:t xml:space="preserve">software; no physical materials).</w:t>
      </w:r>
      <w:r>
        <w:t xml:space="preserve"> </w:t>
      </w:r>
      <w:r>
        <w:rPr>
          <w:highlight w:val="yellow"/>
        </w:rPr>
        <w:t xml:space="preserve">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w:t>
      </w:r>
      <w:r>
        <w:t xml:space="preserve"> </w:t>
      </w:r>
      <w:r>
        <w:rPr>
          <w:strike/>
        </w:rPr>
        <w:t xml:space="preserve">0009-0007-2779-3492;</w:t>
      </w:r>
      <w:r>
        <w:t xml:space="preserve"> </w:t>
      </w:r>
      <w:r>
        <w:rPr>
          <w:highlight w:val="yellow"/>
        </w:rPr>
        <w:t xml:space="preserve">0009-0007-2779-3492,</w:t>
      </w:r>
      <w:r>
        <w:t xml:space="preserve"> </w:t>
      </w:r>
      <w:r>
        <w:t xml:space="preserve">R.C. 0009-0007-2807-3948.</w:t>
      </w:r>
    </w:p>
    <w:bookmarkEnd w:id="62"/>
    <w:bookmarkStart w:id="95"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3">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4">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r>
        <w:t xml:space="preserve"> </w:t>
      </w:r>
      <w:hyperlink r:id="rId65">
        <w:r>
          <w:rPr>
            <w:rStyle w:val="Hyperlink"/>
          </w:rPr>
          <w:t xml:space="preserve">https://doi.org/10.52202/075280-1300</w:t>
        </w:r>
      </w:hyperlink>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6">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7">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8">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9">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70">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71">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2">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r>
        <w:t xml:space="preserve"> </w:t>
      </w:r>
      <w:hyperlink r:id="rId73">
        <w:r>
          <w:rPr>
            <w:rStyle w:val="Hyperlink"/>
          </w:rPr>
          <w:t xml:space="preserve">https://eur-lex.europa.eu/eli/reg/2024/1689/oj</w:t>
        </w:r>
      </w:hyperlink>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w:t>
      </w:r>
      <w:r>
        <w:t xml:space="preserve"> </w:t>
      </w:r>
      <w:hyperlink r:id="rId74">
        <w:r>
          <w:rPr>
            <w:rStyle w:val="Hyperlink"/>
          </w:rPr>
          <w:t xml:space="preserve">https://www.fatf-gafi.org/en/publications/Fatfrecommendations/Fatf-recommendations.html</w:t>
        </w:r>
      </w:hyperlink>
      <w:r>
        <w:t xml:space="preserve">, updated 2023</w:t>
      </w:r>
    </w:p>
    <w:p>
      <w:pPr>
        <w:numPr>
          <w:ilvl w:val="0"/>
          <w:numId w:val="1003"/>
        </w:numPr>
      </w:pPr>
      <w:r>
        <w:t xml:space="preserve">Financial Action Task Force</w:t>
      </w:r>
      <w:r>
        <w:t xml:space="preserve"> </w:t>
      </w:r>
      <w:r>
        <w:t xml:space="preserve">(2021) Stocktake on data pooling, collaborative analytics and data protection. Tech. rep., FATF,</w:t>
      </w:r>
      <w:r>
        <w:t xml:space="preserve"> </w:t>
      </w:r>
      <w:hyperlink r:id="rId75">
        <w:r>
          <w:rPr>
            <w:rStyle w:val="Hyperlink"/>
          </w:rPr>
          <w:t xml:space="preserve">https://www.fatf-gafi.org/en/publications/Digitaltransformation/Data-pooling-collaborative-analytics-data-protection.html</w:t>
        </w:r>
      </w:hyperlink>
    </w:p>
    <w:p>
      <w:pPr>
        <w:numPr>
          <w:ilvl w:val="0"/>
          <w:numId w:val="1003"/>
        </w:numPr>
      </w:pPr>
      <w:r>
        <w:t xml:space="preserve">Gebru T, et al (2021) Datasheets for datasets. Commun ACM 64:86–92.</w:t>
      </w:r>
      <w:r>
        <w:t xml:space="preserve"> </w:t>
      </w:r>
      <w:hyperlink r:id="rId76">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7">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w:t>
      </w:r>
      <w:r>
        <w:t xml:space="preserve"> </w:t>
      </w:r>
      <w:hyperlink r:id="rId78">
        <w:r>
          <w:rPr>
            <w:rStyle w:val="Hyperlink"/>
          </w:rPr>
          <w:t xml:space="preserve">https://ai.google.dev/gemini-api/docs/models</w:t>
        </w:r>
      </w:hyperlink>
      <w:r>
        <w:t xml:space="preserve">,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9">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80">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81">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82">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83">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84">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85">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6">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w:t>
      </w:r>
      <w:r>
        <w:t xml:space="preserve"> </w:t>
      </w:r>
      <w:hyperlink r:id="rId87">
        <w:r>
          <w:rPr>
            <w:rStyle w:val="Hyperlink"/>
          </w:rPr>
          <w:t xml:space="preserve">https://doi.org/10.6028/NIST.AI.100-1</w:t>
        </w:r>
      </w:hyperlink>
      <w:r>
        <w:t xml:space="preserve">,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Development of a synthetic transaction monitoring dataset (</w:t>
      </w:r>
      <w:r>
        <w:t xml:space="preserve">SAML-D</w:t>
      </w:r>
      <w:r>
        <w:t xml:space="preserve">). In: Proc. IEEE Int. Conf. e-Business Engineering,</w:t>
      </w:r>
      <w:r>
        <w:t xml:space="preserve"> </w:t>
      </w:r>
      <w:hyperlink r:id="rId88">
        <w:r>
          <w:rPr>
            <w:rStyle w:val="Hyperlink"/>
          </w:rPr>
          <w:t xml:space="preserve">https://doi.org/10.1109/ICEBE59045.2023.00028</w:t>
        </w:r>
      </w:hyperlink>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9">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90">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91">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r>
        <w:t xml:space="preserve"> </w:t>
      </w:r>
      <w:hyperlink r:id="rId92">
        <w:r>
          <w:rPr>
            <w:rStyle w:val="Hyperlink"/>
          </w:rPr>
          <w:t xml:space="preserve">https://www.unodc.org/documents/data-and-analysis/Studies/Illicit_financial_flows_2011_web.pdf</w:t>
        </w:r>
      </w:hyperlink>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93">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94">
        <w:r>
          <w:rPr>
            <w:rStyle w:val="Hyperlink"/>
          </w:rPr>
          <w:t xml:space="preserve">https://doi.org/10.1007/s44163-026-01283-3</w:t>
        </w:r>
      </w:hyperlink>
    </w:p>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hyperlink" Id="rId78" Target="https://ai.google.dev/gemini-api/docs/models" TargetMode="External" /><Relationship Type="http://schemas.openxmlformats.org/officeDocument/2006/relationships/hyperlink" Id="rId77" Target="https://doi.org/10.1002/isaf.1509" TargetMode="External" /><Relationship Type="http://schemas.openxmlformats.org/officeDocument/2006/relationships/hyperlink" Id="rId71" Target="https://doi.org/10.1002/wics.70040" TargetMode="External" /><Relationship Type="http://schemas.openxmlformats.org/officeDocument/2006/relationships/hyperlink" Id="rId84" Target="https://doi.org/10.1007/BF02295996" TargetMode="External" /><Relationship Type="http://schemas.openxmlformats.org/officeDocument/2006/relationships/hyperlink" Id="rId66" Target="https://doi.org/10.1007/s44163-025-00574-5" TargetMode="External" /><Relationship Type="http://schemas.openxmlformats.org/officeDocument/2006/relationships/hyperlink" Id="rId86"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94"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9" Target="https://doi.org/10.1016/j.dss.2020.113303" TargetMode="External" /><Relationship Type="http://schemas.openxmlformats.org/officeDocument/2006/relationships/hyperlink" Id="rId70" Target="https://doi.org/10.1017/can.2022.3" TargetMode="External" /><Relationship Type="http://schemas.openxmlformats.org/officeDocument/2006/relationships/hyperlink" Id="rId81" Target="https://doi.org/10.1038/s41597-023-02569-2" TargetMode="External" /><Relationship Type="http://schemas.openxmlformats.org/officeDocument/2006/relationships/hyperlink" Id="rId83" Target="https://doi.org/10.1073/pnas.2018340118" TargetMode="External" /><Relationship Type="http://schemas.openxmlformats.org/officeDocument/2006/relationships/hyperlink" Id="rId93" Target="https://doi.org/10.1080/01621459.1927.10502953" TargetMode="External" /><Relationship Type="http://schemas.openxmlformats.org/officeDocument/2006/relationships/hyperlink" Id="rId69" Target="https://doi.org/10.1093/biomet/37.3-4.256" TargetMode="External" /><Relationship Type="http://schemas.openxmlformats.org/officeDocument/2006/relationships/hyperlink" Id="rId82" Target="https://doi.org/10.1108/JMLC-07-2019-0055" TargetMode="External" /><Relationship Type="http://schemas.openxmlformats.org/officeDocument/2006/relationships/hyperlink" Id="rId88" Target="https://doi.org/10.1109/ICEBE59045.2023.00028" TargetMode="External" /><Relationship Type="http://schemas.openxmlformats.org/officeDocument/2006/relationships/hyperlink" Id="rId80" Target="https://doi.org/10.1109/TKDE.2008.239" TargetMode="External" /><Relationship Type="http://schemas.openxmlformats.org/officeDocument/2006/relationships/hyperlink" Id="rId91" Target="https://doi.org/10.1145/2939672.2939778" TargetMode="External" /><Relationship Type="http://schemas.openxmlformats.org/officeDocument/2006/relationships/hyperlink" Id="rId85" Target="https://doi.org/10.1145/3287560.3287596" TargetMode="External" /><Relationship Type="http://schemas.openxmlformats.org/officeDocument/2006/relationships/hyperlink" Id="rId90" Target="https://doi.org/10.1145/3351095.3372873" TargetMode="External" /><Relationship Type="http://schemas.openxmlformats.org/officeDocument/2006/relationships/hyperlink" Id="rId67" Target="https://doi.org/10.1145/3442188.3445922" TargetMode="External" /><Relationship Type="http://schemas.openxmlformats.org/officeDocument/2006/relationships/hyperlink" Id="rId76" Target="https://doi.org/10.1145/3458723" TargetMode="External" /><Relationship Type="http://schemas.openxmlformats.org/officeDocument/2006/relationships/hyperlink" Id="rId72" Target="https://doi.org/10.1214/aos/1176344552" TargetMode="External" /><Relationship Type="http://schemas.openxmlformats.org/officeDocument/2006/relationships/hyperlink" Id="rId79" Target="https://doi.org/10.1348/000711006X126600" TargetMode="External" /><Relationship Type="http://schemas.openxmlformats.org/officeDocument/2006/relationships/hyperlink" Id="rId68" Target="https://doi.org/10.1613/jair.953" TargetMode="External" /><Relationship Type="http://schemas.openxmlformats.org/officeDocument/2006/relationships/hyperlink" Id="rId65" Target="https://doi.org/10.52202/075280-1300" TargetMode="External" /><Relationship Type="http://schemas.openxmlformats.org/officeDocument/2006/relationships/hyperlink" Id="rId61" Target="https://doi.org/10.5281/zenodo.23424852" TargetMode="External" /><Relationship Type="http://schemas.openxmlformats.org/officeDocument/2006/relationships/hyperlink" Id="rId87" Target="https://doi.org/10.6028/NIST.AI.100-1" TargetMode="External" /><Relationship Type="http://schemas.openxmlformats.org/officeDocument/2006/relationships/hyperlink" Id="rId73" Target="https://eur-lex.europa.eu/eli/reg/2024/1689/oj" TargetMode="External" /><Relationship Type="http://schemas.openxmlformats.org/officeDocument/2006/relationships/hyperlink" Id="rId60" Target="https://github.com/samirrc2/ai-foundation-model-aml-false-positives" TargetMode="External" /><Relationship Type="http://schemas.openxmlformats.org/officeDocument/2006/relationships/hyperlink" Id="rId75" Target="https://www.fatf-gafi.org/en/publications/Digitaltransformation/Data-pooling-collaborative-analytics-data-protection.html" TargetMode="External" /><Relationship Type="http://schemas.openxmlformats.org/officeDocument/2006/relationships/hyperlink" Id="rId74" Target="https://www.fatf-gafi.org/en/publications/Fatfrecommendations/Fatf-recommendations.html" TargetMode="External" /><Relationship Type="http://schemas.openxmlformats.org/officeDocument/2006/relationships/hyperlink" Id="rId92" Target="https://www.unodc.org/documents/data-and-analysis/Studies/Illicit_financial_flows_2011_web.pdf" TargetMode="External" /></Relationships>
</file>

<file path=word/_rels/footnotes.xml.rels><?xml version="1.0" encoding="UTF-8"?><Relationships xmlns="http://schemas.openxmlformats.org/package/2006/relationships"><Relationship Type="http://schemas.openxmlformats.org/officeDocument/2006/relationships/hyperlink" Id="rId78" Target="https://ai.google.dev/gemini-api/docs/models" TargetMode="External" /><Relationship Type="http://schemas.openxmlformats.org/officeDocument/2006/relationships/hyperlink" Id="rId77" Target="https://doi.org/10.1002/isaf.1509" TargetMode="External" /><Relationship Type="http://schemas.openxmlformats.org/officeDocument/2006/relationships/hyperlink" Id="rId71" Target="https://doi.org/10.1002/wics.70040" TargetMode="External" /><Relationship Type="http://schemas.openxmlformats.org/officeDocument/2006/relationships/hyperlink" Id="rId84" Target="https://doi.org/10.1007/BF02295996" TargetMode="External" /><Relationship Type="http://schemas.openxmlformats.org/officeDocument/2006/relationships/hyperlink" Id="rId66" Target="https://doi.org/10.1007/s44163-025-00574-5" TargetMode="External" /><Relationship Type="http://schemas.openxmlformats.org/officeDocument/2006/relationships/hyperlink" Id="rId86"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94"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9" Target="https://doi.org/10.1016/j.dss.2020.113303" TargetMode="External" /><Relationship Type="http://schemas.openxmlformats.org/officeDocument/2006/relationships/hyperlink" Id="rId70" Target="https://doi.org/10.1017/can.2022.3" TargetMode="External" /><Relationship Type="http://schemas.openxmlformats.org/officeDocument/2006/relationships/hyperlink" Id="rId81" Target="https://doi.org/10.1038/s41597-023-02569-2" TargetMode="External" /><Relationship Type="http://schemas.openxmlformats.org/officeDocument/2006/relationships/hyperlink" Id="rId83" Target="https://doi.org/10.1073/pnas.2018340118" TargetMode="External" /><Relationship Type="http://schemas.openxmlformats.org/officeDocument/2006/relationships/hyperlink" Id="rId93" Target="https://doi.org/10.1080/01621459.1927.10502953" TargetMode="External" /><Relationship Type="http://schemas.openxmlformats.org/officeDocument/2006/relationships/hyperlink" Id="rId69" Target="https://doi.org/10.1093/biomet/37.3-4.256" TargetMode="External" /><Relationship Type="http://schemas.openxmlformats.org/officeDocument/2006/relationships/hyperlink" Id="rId82" Target="https://doi.org/10.1108/JMLC-07-2019-0055" TargetMode="External" /><Relationship Type="http://schemas.openxmlformats.org/officeDocument/2006/relationships/hyperlink" Id="rId88" Target="https://doi.org/10.1109/ICEBE59045.2023.00028" TargetMode="External" /><Relationship Type="http://schemas.openxmlformats.org/officeDocument/2006/relationships/hyperlink" Id="rId80" Target="https://doi.org/10.1109/TKDE.2008.239" TargetMode="External" /><Relationship Type="http://schemas.openxmlformats.org/officeDocument/2006/relationships/hyperlink" Id="rId91" Target="https://doi.org/10.1145/2939672.2939778" TargetMode="External" /><Relationship Type="http://schemas.openxmlformats.org/officeDocument/2006/relationships/hyperlink" Id="rId85" Target="https://doi.org/10.1145/3287560.3287596" TargetMode="External" /><Relationship Type="http://schemas.openxmlformats.org/officeDocument/2006/relationships/hyperlink" Id="rId90" Target="https://doi.org/10.1145/3351095.3372873" TargetMode="External" /><Relationship Type="http://schemas.openxmlformats.org/officeDocument/2006/relationships/hyperlink" Id="rId67" Target="https://doi.org/10.1145/3442188.3445922" TargetMode="External" /><Relationship Type="http://schemas.openxmlformats.org/officeDocument/2006/relationships/hyperlink" Id="rId76" Target="https://doi.org/10.1145/3458723" TargetMode="External" /><Relationship Type="http://schemas.openxmlformats.org/officeDocument/2006/relationships/hyperlink" Id="rId72" Target="https://doi.org/10.1214/aos/1176344552" TargetMode="External" /><Relationship Type="http://schemas.openxmlformats.org/officeDocument/2006/relationships/hyperlink" Id="rId79" Target="https://doi.org/10.1348/000711006X126600" TargetMode="External" /><Relationship Type="http://schemas.openxmlformats.org/officeDocument/2006/relationships/hyperlink" Id="rId68" Target="https://doi.org/10.1613/jair.953" TargetMode="External" /><Relationship Type="http://schemas.openxmlformats.org/officeDocument/2006/relationships/hyperlink" Id="rId65" Target="https://doi.org/10.52202/075280-1300" TargetMode="External" /><Relationship Type="http://schemas.openxmlformats.org/officeDocument/2006/relationships/hyperlink" Id="rId61" Target="https://doi.org/10.5281/zenodo.23424852" TargetMode="External" /><Relationship Type="http://schemas.openxmlformats.org/officeDocument/2006/relationships/hyperlink" Id="rId87" Target="https://doi.org/10.6028/NIST.AI.100-1" TargetMode="External" /><Relationship Type="http://schemas.openxmlformats.org/officeDocument/2006/relationships/hyperlink" Id="rId73" Target="https://eur-lex.europa.eu/eli/reg/2024/1689/oj" TargetMode="External" /><Relationship Type="http://schemas.openxmlformats.org/officeDocument/2006/relationships/hyperlink" Id="rId60" Target="https://github.com/samirrc2/ai-foundation-model-aml-false-positives" TargetMode="External" /><Relationship Type="http://schemas.openxmlformats.org/officeDocument/2006/relationships/hyperlink" Id="rId75" Target="https://www.fatf-gafi.org/en/publications/Digitaltransformation/Data-pooling-collaborative-analytics-data-protection.html" TargetMode="External" /><Relationship Type="http://schemas.openxmlformats.org/officeDocument/2006/relationships/hyperlink" Id="rId74" Target="https://www.fatf-gafi.org/en/publications/Fatfrecommendations/Fatf-recommendations.html" TargetMode="External" /><Relationship Type="http://schemas.openxmlformats.org/officeDocument/2006/relationships/hyperlink" Id="rId92" Target="https://www.unodc.org/documents/data-and-analysis/Studies/Illicit_financial_flows_2011_web.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2026-10-16T20:33:15Z</dcterms:created>
  <dcterms:modified xsi:type="dcterms:W3CDTF">2026-10-16T20:33:15Z</dcterms:modified>
</cp:coreProperties>
</file>

<file path=docProps/custom.xml><?xml version="1.0" encoding="utf-8"?>
<Properties xmlns="http://schemas.openxmlformats.org/officeDocument/2006/custom-properties" xmlns:vt="http://schemas.openxmlformats.org/officeDocument/2006/docPropsVTypes"/>
</file>