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the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w:t>
      </w:r>
      <w:r>
        <w:t xml:space="preserve"> </w:t>
      </w:r>
      <w:r>
        <w:rPr>
          <w:highlight w:val="yellow"/>
        </w:rPr>
        <w:t xml:space="preserve">case-template</w:t>
      </w:r>
      <w:r>
        <w:t xml:space="preserve"> </w:t>
      </w:r>
      <w:r>
        <w:t xml:space="preserve">strata (cross-model spread, disagreement metrics and typology-level rates), 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t xml:space="preserve"> </w:t>
      </w:r>
      <m:oMath>
        <m:r>
          <m:t>Q</m:t>
        </m:r>
        <m:r>
          <m:rPr>
            <m:sty m:val="p"/>
          </m:rPr>
          <m:t>=</m:t>
        </m:r>
        <m:r>
          <m:t>117.0</m:t>
        </m:r>
      </m:oMath>
      <w:r>
        <w:rPr>
          <w:highlight w:val="yellow"/>
        </w:rPr>
        <w:t xml:space="preserve">,</w:t>
      </w:r>
      <w:r>
        <w:t xml:space="preserve"> </w:t>
      </w:r>
      <m:oMath>
        <m:r>
          <m:rPr>
            <m:sty m:val="p"/>
          </m:rPr>
          <m:t>d</m:t>
        </m:r>
        <m:r>
          <m:rPr>
            <m:sty m:val="p"/>
          </m:rPr>
          <m:t>f</m:t>
        </m:r>
        <m:r>
          <m:rPr>
            <m:sty m:val="p"/>
          </m:rPr>
          <m:t>=</m:t>
        </m:r>
        <m:r>
          <m:t>4</m:t>
        </m:r>
      </m:oMath>
      <w:r>
        <w:rPr>
          <w:highlight w:val="yellow"/>
        </w:rPr>
        <w:t xml:space="preserve">,</w:t>
      </w:r>
      <w:r>
        <w:t xml:space="preserve"> </w:t>
      </w:r>
      <m:oMath>
        <m:r>
          <m:t>P</m:t>
        </m:r>
        <m:r>
          <m:rPr>
            <m:sty m:val="p"/>
          </m:rPr>
          <m:t>≈</m:t>
        </m:r>
        <m:r>
          <m:t>2.3</m:t>
        </m:r>
        <m:r>
          <m:rPr>
            <m:sty m:val="p"/>
          </m:rPr>
          <m:t>×</m:t>
        </m:r>
        <m:sSup>
          <m:e>
            <m:r>
              <m:t>10</m:t>
            </m:r>
          </m:e>
          <m:sup>
            <m:r>
              <m:rPr>
                <m:sty m:val="p"/>
              </m:rPr>
              <m:t>−</m:t>
            </m:r>
            <m:r>
              <m:t>24</m:t>
            </m:r>
          </m:sup>
        </m:sSup>
      </m:oMath>
      <w:r>
        <w:rPr>
          <w:highlight w:val="yellow"/>
        </w:rPr>
        <w:t xml:space="preserve">). Because cases generated from a shared typology template are not independent, the same null was also tested by a permutation procedure that applies a single permutation of model labels to all cases within each of the eight case-template strata;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A provider main effect therefore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typology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Because</w:t>
      </w:r>
      <w:r>
        <w:t xml:space="preserve"> </w:t>
      </w:r>
      <m:oMath>
        <m:r>
          <m:t>Q</m:t>
        </m:r>
      </m:oMath>
      <w:r>
        <w:t xml:space="preserve"> </w:t>
      </w:r>
      <w:r>
        <w:t xml:space="preserve">requires a decision from every model on every case, the abstention row is computed on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Because Q requires a decision from every model on every case, the abstention row is computed on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117.0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131.6</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80.4</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123.7</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131.6</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117.6</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118.6</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127.4</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130.8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2026-10-16T16:31:07Z</dcterms:created>
  <dcterms:modified xsi:type="dcterms:W3CDTF">2026-10-16T16:31:07Z</dcterms:modified>
</cp:coreProperties>
</file>

<file path=docProps/custom.xml><?xml version="1.0" encoding="utf-8"?>
<Properties xmlns="http://schemas.openxmlformats.org/officeDocument/2006/custom-properties" xmlns:vt="http://schemas.openxmlformats.org/officeDocument/2006/docPropsVTypes"/>
</file>