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 each</w:t>
      </w:r>
      <w:r>
        <w:t xml:space="preserve"> </w:t>
      </w:r>
      <w:r>
        <w:rPr>
          <w:strike/>
        </w:rPr>
        <w:t xml:space="preserve">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of the two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w:t>
      </w:r>
      <w:r>
        <w:t xml:space="preserve"> </w:t>
      </w:r>
      <w:r>
        <w:rPr>
          <w:highlight w:val="yellow"/>
        </w:rPr>
        <w:t xml:space="preserve">accuracy levels. In an illustrative</w:t>
      </w:r>
      <w:r>
        <w:t xml:space="preserve"> </w:t>
      </w:r>
      <w:r>
        <w:t xml:space="preserve">scenario of one million transactions per</w:t>
      </w:r>
      <w:r>
        <w:t xml:space="preserve"> </w:t>
      </w:r>
      <w:r>
        <w:rPr>
          <w:strike/>
        </w:rPr>
        <w:t xml:space="preserve">day, the observed operating points differed by about 200-fold in projected daily alert workload. These findings show that foundation-model choice is</w:t>
      </w:r>
      <w:r>
        <w:t xml:space="preserve"> </w:t>
      </w:r>
      <w:r>
        <w:rPr>
          <w:highlight w:val="yellow"/>
        </w:rPr>
        <w:t xml:space="preserve">day at 0.1</w:t>
      </w:r>
      <w:r>
        <w:t xml:space="preserve">%</w:t>
      </w:r>
      <w:r>
        <w:t xml:space="preserve"> </w:t>
      </w:r>
      <w:r>
        <w:rPr>
          <w:highlight w:val="yellow"/>
        </w:rPr>
        <w:t xml:space="preserve">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rPr>
          <w:strike/>
        </w:rPr>
        <w:t xml:space="preserve">substituted, repriced or retired by providers, model identity and operating-point stability should be explicitly incorporated into model-risk governance, validation and ongoing monitoring.</w:t>
      </w:r>
      <w:r>
        <w:t xml:space="preserve"> </w:t>
      </w:r>
      <w:r>
        <w:rPr>
          <w:highlight w:val="yellow"/>
        </w:rPr>
        <w:t xml:space="preserve">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 machine-learning</w:t>
      </w:r>
      <w:r>
        <w:t xml:space="preserve"> </w:t>
      </w:r>
      <w:r>
        <w:rPr>
          <w:strike/>
        </w:rPr>
        <w:t xml:space="preserve">baselines;</w:t>
      </w:r>
      <w:r>
        <w:t xml:space="preserve"> </w:t>
      </w:r>
      <w:r>
        <w:rPr>
          <w:highlight w:val="yellow"/>
        </w:rPr>
        <w:t xml:space="preserve">baselines,</w:t>
      </w:r>
      <w:r>
        <w:t xml:space="preserve"> </w:t>
      </w:r>
      <w:r>
        <w:t xml:space="preserve">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w:t>
      </w:r>
      <w:r>
        <w:t xml:space="preserve"> </w:t>
      </w:r>
      <w:r>
        <w:rPr>
          <w:strike/>
        </w:rPr>
        <w:t xml:space="preserve">summaries; suspicious</w:t>
      </w:r>
      <w:r>
        <w:t xml:space="preserve"> </w:t>
      </w:r>
      <w:r>
        <w:rPr>
          <w:highlight w:val="yellow"/>
        </w:rPr>
        <w:t xml:space="preserve">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The Cochran’s</w:t>
      </w:r>
      <w:r>
        <w:t xml:space="preserve"> </w:t>
      </w:r>
      <m:oMath>
        <m:r>
          <m:t>Q</m:t>
        </m:r>
      </m:oMath>
      <w:r>
        <w:t xml:space="preserve"> </w:t>
      </w:r>
      <w:r>
        <w:rPr>
          <w:highlight w:val="yellow"/>
        </w:rPr>
        <w:t xml:space="preserve">statistics reported at submission omitted the factor</w:t>
      </w:r>
      <w:r>
        <w:t xml:space="preserve"> </w:t>
      </w:r>
      <m:oMath>
        <m:r>
          <m:t>k</m:t>
        </m:r>
      </m:oMath>
      <w:r>
        <w:t xml:space="preserve"> </w:t>
      </w:r>
      <w:r>
        <w:rPr>
          <w:highlight w:val="yellow"/>
        </w:rPr>
        <w:t xml:space="preserve">from the numerator and were understated fivefold. All</w:t>
      </w:r>
      <w:r>
        <w:t xml:space="preserve"> </w:t>
      </w:r>
      <m:oMath>
        <m:r>
          <m:t>Q</m:t>
        </m:r>
      </m:oMath>
      <w:r>
        <w:t xml:space="preserve"> </w:t>
      </w:r>
      <w:r>
        <w:rPr>
          <w:highlight w:val="yellow"/>
        </w:rP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71.8–93.7. Cluster bootstrap over the eight case-template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12.6–51.2), GPT-4.1-mini to GPT-4o-mini (3 and 149; 48.7 points, CI 25.8–72.5), and Gemini Flash to Gemini Flash-Lite (0 and 125; 41.7 points, CI 19.7–65.2).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 but</w:t>
      </w:r>
      <w:r>
        <w:t xml:space="preserve"> </w:t>
      </w:r>
      <w:r>
        <w:rPr>
          <w:highlight w:val="yellow"/>
        </w:rPr>
        <w:t xml:space="preserve">features. But</w:t>
      </w:r>
      <w:r>
        <w:t xml:space="preserve"> </w:t>
      </w:r>
      <w:r>
        <w:t xml:space="preserve">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 Broader</w:t>
      </w:r>
      <w:r>
        <w:t xml:space="preserve"> </w:t>
      </w:r>
      <w:r>
        <w:t xml:space="preserve">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w:t>
      </w:r>
      <w:r>
        <w:t xml:space="preserve"> </w:t>
      </w:r>
      <w:r>
        <w:rPr>
          <w:strike/>
        </w:rPr>
        <w:t xml:space="preserve">performance; the</w:t>
      </w:r>
      <w:r>
        <w:t xml:space="preserve"> </w:t>
      </w:r>
      <w:r>
        <w:rPr>
          <w:highlight w:val="yellow"/>
        </w:rPr>
        <w:t xml:space="preserve">performance.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t xml:space="preserve">(MIT</w:t>
      </w:r>
      <w:r>
        <w:t xml:space="preserve"> </w:t>
      </w:r>
      <w:r>
        <w:rPr>
          <w:strike/>
        </w:rPr>
        <w:t xml:space="preserve">licence); the</w:t>
      </w:r>
      <w:r>
        <w:t xml:space="preserve"> </w:t>
      </w:r>
      <w:r>
        <w:rPr>
          <w:highlight w:val="yellow"/>
        </w:rPr>
        <w:t xml:space="preserve">licence). The</w:t>
      </w:r>
      <w:r>
        <w:t xml:space="preserve"> </w:t>
      </w:r>
      <w:r>
        <w:t xml:space="preserve">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w:t>
      </w:r>
      <w:r>
        <w:t xml:space="preserve"> </w:t>
      </w:r>
      <w:r>
        <w:rPr>
          <w:strike/>
        </w:rPr>
        <w:t xml:space="preserve">typologies;</w:t>
      </w:r>
      <w:r>
        <w:rPr>
          <w:strike/>
        </w:rPr>
        <w:t xml:space="preserve"> </w:t>
      </w:r>
      <w:r>
        <w:rPr>
          <w:rStyle w:val="VerbatimChar"/>
          <w:strike/>
        </w:rPr>
        <w:t xml:space="preserve">pilot.jsonl</w:t>
      </w:r>
      <w:r>
        <w:rPr>
          <w:strike/>
        </w:rPr>
        <w:t xml:space="preserve"> </w:t>
      </w:r>
      <w:r>
        <w:rPr>
          <w:strike/>
        </w:rPr>
        <w:t xml:space="preserve">is the seeded subsample); the complete 12,000-call response corpus</w:t>
      </w:r>
      <w:r>
        <w:t xml:space="preserve"> </w:t>
      </w:r>
      <w:r>
        <w:rPr>
          <w:highlight w:val="yellow"/>
        </w:rPr>
        <w:t xml:space="preserve">typologies.</w:t>
      </w:r>
      <w:r>
        <w:t xml:space="preserve"> </w:t>
      </w:r>
      <w:r>
        <w:rPr>
          <w:rStyle w:val="VerbatimChar"/>
        </w:rPr>
        <w:t xml:space="preserve">pilot.jsonl</w:t>
      </w:r>
      <w:r>
        <w:t xml:space="preserve"> </w:t>
      </w:r>
      <w:r>
        <w:rPr>
          <w:highlight w:val="yellow"/>
        </w:rPr>
        <w:t xml:space="preserve">is the seeded subsample). The complete response corpus</w:t>
      </w:r>
      <w:r>
        <w:t xml:space="preserve"> </w:t>
      </w:r>
      <w:r>
        <w:t xml:space="preserve">(12</w:t>
      </w:r>
      <w:r>
        <w:t xml:space="preserve">,</w:t>
      </w:r>
      <w:r>
        <w:t xml:space="preserve">000</w:t>
      </w:r>
      <w:r>
        <w:t xml:space="preserve"> </w:t>
      </w:r>
      <w:r>
        <w:rPr>
          <w:highlight w:val="yellow"/>
        </w:rPr>
        <w:t xml:space="preserve">calls by design,</w:t>
      </w:r>
      <w:r>
        <w:t xml:space="preserve"> </w:t>
      </w:r>
      <w:r>
        <w:t xml:space="preserve">12</w:t>
      </w:r>
      <w:r>
        <w:t xml:space="preserve">,</w:t>
      </w:r>
      <w:r>
        <w:t xml:space="preserve">120</w:t>
      </w:r>
      <w:r>
        <w:t xml:space="preserve"> </w:t>
      </w:r>
      <w:r>
        <w:rPr>
          <w:highlight w:val="yellow"/>
        </w:rPr>
        <w:t xml:space="preserve">realized.</w:t>
      </w:r>
      <w:r>
        <w:t xml:space="preserve"> </w:t>
      </w:r>
      <w:r>
        <w:t xml:space="preserve">Section </w:t>
      </w:r>
      <w:hyperlink w:anchor="sec:design">
        <w:r>
          <w:rPr>
            <w:rStyle w:val="Hyperlink"/>
          </w:rPr>
          <w:t xml:space="preserve">2.2</w:t>
        </w:r>
      </w:hyperlink>
      <w:r>
        <w:rPr>
          <w:highlight w:val="yellow"/>
        </w:rPr>
        <w:t xml:space="preserve">)</w:t>
      </w:r>
      <w:r>
        <w:t xml:space="preserve"> </w:t>
      </w:r>
      <w:r>
        <w:t xml:space="preserve">(</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w:t>
      </w:r>
      <w:r>
        <w:t xml:space="preserve"> </w:t>
      </w:r>
      <w:r>
        <w:rPr>
          <w:strike/>
        </w:rPr>
        <w:t xml:space="preserve">identifier, token counts and per-call cost); the</w:t>
      </w:r>
      <w:r>
        <w:t xml:space="preserve"> </w:t>
      </w:r>
      <w:r>
        <w:rPr>
          <w:highlight w:val="yellow"/>
        </w:rPr>
        <w:t xml:space="preserve">identifier (for the Google models, the alias string only), token counts and per-call cost). The</w:t>
      </w:r>
      <w:r>
        <w:t xml:space="preserve"> </w:t>
      </w:r>
      <w:r>
        <w:t xml:space="preserve">per-file SHA-256 freeze receipts (</w:t>
      </w:r>
      <w:r>
        <w:rPr>
          <w:rStyle w:val="VerbatimChar"/>
        </w:rPr>
        <w:t xml:space="preserve">data/frozen/*.freeze.json</w:t>
      </w:r>
      <w:r>
        <w:t xml:space="preserve">), which the analysis checks before running and refuses any file whose hash does not</w:t>
      </w:r>
      <w:r>
        <w:t xml:space="preserve"> </w:t>
      </w:r>
      <w:r>
        <w:rPr>
          <w:strike/>
        </w:rPr>
        <w:t xml:space="preserve">match; the</w:t>
      </w:r>
      <w:r>
        <w:t xml:space="preserve"> </w:t>
      </w:r>
      <w:r>
        <w:rPr>
          <w:highlight w:val="yellow"/>
        </w:rPr>
        <w:t xml:space="preserve">match. The</w:t>
      </w:r>
      <w:r>
        <w:t xml:space="preserve"> </w:t>
      </w:r>
      <w:r>
        <w:t xml:space="preserve">battery specification, model registry and capture grid (</w:t>
      </w:r>
      <w:r>
        <w:rPr>
          <w:rStyle w:val="VerbatimChar"/>
        </w:rPr>
        <w:t xml:space="preserve">data/configs/</w:t>
      </w:r>
      <w:r>
        <w:rPr>
          <w:highlight w:val="yellow"/>
        </w:rPr>
        <w:t xml:space="preserve">),</w:t>
      </w:r>
      <w:r>
        <w:t xml:space="preserve"> </w:t>
      </w:r>
      <w:r>
        <w:t xml:space="preserve">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w:t>
      </w:r>
      <w:r>
        <w:t xml:space="preserve"> </w:t>
      </w:r>
      <w:r>
        <w:rPr>
          <w:strike/>
        </w:rPr>
        <w:t xml:space="preserve">only; no</w:t>
      </w:r>
      <w:r>
        <w:t xml:space="preserve"> </w:t>
      </w:r>
      <w:r>
        <w:rPr>
          <w:highlight w:val="yellow"/>
        </w:rPr>
        <w:t xml:space="preserve">only. No</w:t>
      </w:r>
      <w:r>
        <w:t xml:space="preserve"> </w:t>
      </w:r>
      <w:r>
        <w:t xml:space="preserve">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w:t>
      </w:r>
      <w:r>
        <w:t xml:space="preserve"> </w:t>
      </w:r>
      <w:r>
        <w:rPr>
          <w:strike/>
        </w:rPr>
        <w:t xml:space="preserve">software; no</w:t>
      </w:r>
      <w:r>
        <w:t xml:space="preserve"> </w:t>
      </w:r>
      <w:r>
        <w:rPr>
          <w:highlight w:val="yellow"/>
        </w:rPr>
        <w:t xml:space="preserve">software. No</w:t>
      </w:r>
      <w:r>
        <w:t xml:space="preserve"> </w:t>
      </w:r>
      <w:r>
        <w:t xml:space="preserve">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1"/>
    <w:bookmarkStart w:id="86"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4">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5">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6">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7">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8">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9">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0">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1">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2">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3">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4">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5">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6">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7">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8">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9">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0">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1">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2">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3">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4">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5">
        <w:r>
          <w:rPr>
            <w:rStyle w:val="Hyperlink"/>
          </w:rPr>
          <w:t xml:space="preserve">https://doi.org/10.1007/s44163-026-01283-3</w:t>
        </w:r>
      </w:hyperlink>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2026-10-16T19:06:37Z</dcterms:created>
  <dcterms:modified xsi:type="dcterms:W3CDTF">2026-10-16T19:06:37Z</dcterms:modified>
</cp:coreProperties>
</file>

<file path=docProps/custom.xml><?xml version="1.0" encoding="utf-8"?>
<Properties xmlns="http://schemas.openxmlformats.org/officeDocument/2006/custom-properties" xmlns:vt="http://schemas.openxmlformats.org/officeDocument/2006/docPropsVTypes"/>
</file>