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t xml:space="preserve">In the evaluated systems, about 25% of matched elicitation pairs disagree on the investment-grade/high-yield classification.</w:t>
      </w:r>
    </w:p>
    <w:p>
      <w:pPr>
        <w:pStyle w:val="BodyText"/>
      </w:pPr>
      <w:r>
        <w:t xml:space="preserve">The elicitation axes jointly explain little rating variance (</w:t>
      </w:r>
      <m:oMath>
        <m:sSup>
          <m:e>
            <m:r>
              <m:t>R</m:t>
            </m:r>
          </m:e>
          <m:sup>
            <m:r>
              <m:t>2</m:t>
            </m:r>
          </m:sup>
        </m:sSup>
      </m:oMath>
      <w:r>
        <w:t xml:space="preserve"> </w:t>
      </w:r>
      <m:oMath>
        <m:r>
          <m:t>0.083</m:t>
        </m:r>
      </m:oMath>
      <w:r>
        <w:t xml:space="preserve">–</w:t>
      </w:r>
      <m:oMath>
        <m:r>
          <m:t>0.119</m:t>
        </m:r>
      </m:oMath>
      <w:r>
        <w:t xml:space="preserve">). The fractional design does not identify per-axis shares. 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Anonymous</w:t>
      </w:r>
    </w:p>
    <w:p>
      <w:pPr>
        <w:pStyle w:val="BodyText"/>
      </w:pPr>
      <w:r>
        <w:t xml:space="preserve">Author affiliations withheld for double-blind review</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 for credit assessment, yet identical financial</w:t>
      </w:r>
      <w:r>
        <w:t xml:space="preserve"> </w:t>
      </w:r>
      <w:r>
        <w:t xml:space="preserve">profiles may receive different ratings under defensible elicitation choices. We evaluate this</w:t>
      </w:r>
      <w:r>
        <w:t xml:space="preserve"> </w:t>
      </w:r>
      <w:r>
        <w:t xml:space="preserve">instability in a pre-registered specification-curve experiment covering 45 credit-health profiles</w:t>
      </w:r>
      <w:r>
        <w:t xml:space="preserve"> </w:t>
      </w:r>
      <w:r>
        <w:t xml:space="preserve">from a 90-item battery, 32 specifications, three seeds, and two providers (4</w:t>
      </w:r>
      <w:r>
        <w:t xml:space="preserve">,</w:t>
      </w:r>
      <w:r>
        <w:t xml:space="preserve">320 designed</w:t>
      </w:r>
      <w:r>
        <w:t xml:space="preserve"> </w:t>
      </w:r>
      <w:r>
        <w:t xml:space="preserve">credit-rating elicitations). Holding fundamentals fixed, 25.2% of matched elicitation pairs</w:t>
      </w:r>
      <w:r>
        <w:t xml:space="preserve"> </w:t>
      </w:r>
      <w:r>
        <w:t xml:space="preserve">disagree at the investment-grade/high-yield (IG/HY) boundary. Chance-corrected agreement reaches</w:t>
      </w:r>
      <w:r>
        <w:t xml:space="preserve"> </w:t>
      </w:r>
      <w:r>
        <w:t xml:space="preserve">only Fleiss’</w:t>
      </w:r>
      <w:r>
        <w:t xml:space="preserve"> </w:t>
      </w:r>
      <m:oMath>
        <m:r>
          <m:t>κ</m:t>
        </m:r>
        <m:r>
          <m:rPr>
            <m:sty m:val="p"/>
          </m:rPr>
          <m:t>=</m:t>
        </m:r>
        <m:r>
          <m:t>0.49</m:t>
        </m:r>
      </m:oMath>
      <w:r>
        <w:t xml:space="preserve"> </w:t>
      </w:r>
      <w:r>
        <w:t xml:space="preserve">even at this binary resolution. Instability persists on a</w:t>
      </w:r>
      <w:r>
        <w:t xml:space="preserve"> </w:t>
      </w:r>
      <w:r>
        <w:t xml:space="preserve">temperature-0-honored subgrid (permutation</w:t>
      </w:r>
      <w:r>
        <w:t xml:space="preserve"> </w:t>
      </w:r>
      <m:oMath>
        <m:r>
          <m:t>p</m:t>
        </m:r>
        <m:r>
          <m:rPr>
            <m:sty m:val="p"/>
          </m:rPr>
          <m:t>=</m:t>
        </m:r>
        <m:r>
          <m:t>0.0005</m:t>
        </m:r>
      </m:oMath>
      <w:r>
        <w:t xml:space="preserve">) and is not eliminated by pooling providers.</w:t>
      </w:r>
      <w:r>
        <w:t xml:space="preserve"> </w:t>
      </w:r>
      <w:r>
        <w:t xml:space="preserve">Pure within-cell seed variation accounts for 8.1% of rating variance. The elicitation axes jointly</w:t>
      </w:r>
      <w:r>
        <w:t xml:space="preserve"> </w:t>
      </w:r>
      <w:r>
        <w:t xml:space="preserve">explain a small, model-dependent share (</w:t>
      </w:r>
      <m:oMath>
        <m:sSup>
          <m:e>
            <m:r>
              <m:t>R</m:t>
            </m:r>
          </m:e>
          <m:sup>
            <m:r>
              <m:t>2</m:t>
            </m:r>
          </m:sup>
        </m:sSup>
        <m:r>
          <m:rPr>
            <m:sty m:val="p"/>
          </m:rPr>
          <m:t>=</m:t>
        </m:r>
        <m:r>
          <m:t>0.083</m:t>
        </m:r>
      </m:oMath>
      <w:r>
        <w:t xml:space="preserve">–</w:t>
      </w:r>
      <m:oMath>
        <m:r>
          <m:t>0.119</m:t>
        </m:r>
      </m:oMath>
      <w:r>
        <w:t xml:space="preserve">), but the fractional design does not</w:t>
      </w:r>
      <w:r>
        <w:t xml:space="preserve"> </w:t>
      </w:r>
      <w:r>
        <w:t xml:space="preserve">identify individual-axis contributions. An illustrative arm of 31 perturbed real issuers also</w:t>
      </w:r>
      <w:r>
        <w:t xml:space="preserve"> </w:t>
      </w:r>
      <w:r>
        <w:t xml:space="preserve">exhibits specification variation, but a pre-registered closed-set identification probe recovers</w:t>
      </w:r>
      <w:r>
        <w:t xml:space="preserve"> </w:t>
      </w:r>
      <w:r>
        <w:t xml:space="preserve">issuer identities from scale-invariant financial ratios above chance (19.4% versus 3.2%), so we</w:t>
      </w:r>
      <w:r>
        <w:t xml:space="preserve"> </w:t>
      </w:r>
      <w:r>
        <w:t xml:space="preserve">draw no external-validity claim. Post-hoc checks do not detect attenuation on flagship models, and</w:t>
      </w:r>
      <w:r>
        <w:t xml:space="preserve"> </w:t>
      </w:r>
      <w:r>
        <w:t xml:space="preserve">specification sensitivity also occurs in an open-weight reasoning model. A specification-instability dispersion index predicts held-out IG/HY instability (ROC-AUC 0.94) but, at this binary resolution, is ordinally equivalent to dissent count and offers no incremental discrimination. We treat elicitation specification as a</w:t>
      </w:r>
      <w:r>
        <w:t xml:space="preserve"> </w:t>
      </w:r>
      <w:r>
        <w:t xml:space="preserve">model-risk parameter and propose transparent disagreement-based review rather than treating one</w:t>
      </w:r>
      <w:r>
        <w:t xml:space="preserve"> </w:t>
      </w:r>
      <w: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t xml:space="preserve">This design measures the overall magnitude of that sensitivity but does not identify how it is</w:t>
      </w:r>
      <w:r>
        <w:t xml:space="preserve"> </w:t>
      </w:r>
      <w:r>
        <w:t xml:space="preserve">distributed across individual elicitation choices, so we do not attempt to settle that question.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contributes a pre-registered framework for evaluating the stability of LLM-generated</w:t>
      </w:r>
      <w:r>
        <w:t xml:space="preserve"> </w:t>
      </w:r>
      <w:r>
        <w:t xml:space="preserve">credit ratings across defensible elicitation specifications. We (i) quantify rating instability and</w:t>
      </w:r>
      <w:r>
        <w:t xml:space="preserve"> </w:t>
      </w:r>
      <w:r>
        <w:t xml:space="preserve">investment-grade/high-yield boundary migration, (ii) assess sensitivity across providers,</w:t>
      </w:r>
      <w:r>
        <w:t xml:space="preserve"> </w:t>
      </w:r>
      <w:r>
        <w:t xml:space="preserve">temperature settings, and rating resolutions without attributing variation to unidentified</w:t>
      </w:r>
      <w:r>
        <w:t xml:space="preserve"> </w:t>
      </w:r>
      <w:r>
        <w:t xml:space="preserve">individual elicitation effects, (iii) conduct an illustrative real-issuer check that identifies</w:t>
      </w:r>
      <w:r>
        <w:t xml:space="preserve"> </w:t>
      </w:r>
      <w:r>
        <w:t xml:space="preserve">residual issuer-recognition risk, and (iv) evaluate a dispersion index against simpler</w:t>
      </w:r>
      <w:r>
        <w:t xml:space="preserve"> </w:t>
      </w:r>
      <w:r>
        <w:t xml:space="preserve">disagreement-based review rules. The index predicts instability on held-out specifications</w:t>
      </w:r>
      <w:r>
        <w:t xml:space="preserve"> </w:t>
      </w:r>
      <w:r>
        <w:t xml:space="preserve">(ROC-AUC 0.94) but adds no discrimination over dissent counting at the IG/HY boundary. Our</w:t>
      </w:r>
      <w:r>
        <w:t xml:space="preserve"> </w:t>
      </w:r>
      <w:r>
        <w:t xml:space="preserve">contribution is a reproducible evaluation of elicitation reliability and its implications for</w:t>
      </w:r>
      <w:r>
        <w:t xml:space="preserve"> </w:t>
      </w:r>
      <w: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battery comprises two</w:t>
      </w:r>
      <w:r>
        <w:t xml:space="preserve"> </w:t>
      </w:r>
      <w: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t xml:space="preserve">designed credit-rating elicitation cells, of which</w:t>
      </w:r>
      <w:r>
        <w:t xml:space="preserve"> </w:t>
      </w:r>
      <m:oMath>
        <m:r>
          <m:t>4</m:t>
        </m:r>
        <m:r>
          <m:rPr>
            <m:sty m:val="p"/>
          </m:rPr>
          <m:t>,</m:t>
        </m:r>
        <m:r>
          <m:t>316</m:t>
        </m:r>
      </m:oMath>
      <w:r>
        <w:t xml:space="preserve"> </w:t>
      </w:r>
      <w:r>
        <w:t xml:space="preserve">returned substantive content and were included in the analysis (Section 6.2). The 45 directional items are collected under the identical grid and</w:t>
      </w:r>
      <w:r>
        <w:t xml:space="preserve"> </w:t>
      </w:r>
      <w:r>
        <w:t xml:space="preserve">released with the archive, but are not analysed here (Section 5.2). The credit-health profiles rest on 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 varies. Our 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t xml:space="preserve">, meaning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t xml:space="preserve">, meaning 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Jointly, the elicitation axes explain little of it. The design matrix supports an</w:t>
      </w:r>
      <w:r>
        <w:t xml:space="preserve"> </w:t>
      </w:r>
      <m:oMath>
        <m:sSup>
          <m:e>
            <m:r>
              <m:t>R</m:t>
            </m:r>
          </m:e>
          <m:sup>
            <m:r>
              <m:t>2</m:t>
            </m:r>
          </m:sup>
        </m:sSup>
      </m:oMath>
      <w:r>
        <w:t xml:space="preserve"> </w:t>
      </w:r>
      <w:r>
        <w:t xml:space="preserve">of</w:t>
      </w:r>
      <w:r>
        <w:t xml:space="preserve"> </w:t>
      </w:r>
      <m:oMath>
        <m:r>
          <m:t>0.083</m:t>
        </m:r>
      </m:oMath>
      <w:r>
        <w:t xml:space="preserve"> </w:t>
      </w:r>
      <w:r>
        <w:t xml:space="preserve">under main effects only and</w:t>
      </w:r>
      <w:r>
        <w:t xml:space="preserve"> </w:t>
      </w:r>
      <m:oMath>
        <m:r>
          <m:t>0.119</m:t>
        </m:r>
      </m:oMath>
      <w:r>
        <w:t xml:space="preserve"> </w:t>
      </w:r>
      <w:r>
        <w:t xml:space="preserve">with</w:t>
      </w:r>
      <w:r>
        <w:t xml:space="preserve"> </w:t>
      </w:r>
      <w:r>
        <w:t xml:space="preserve">all two-way interactions added (Table 2).</w:t>
      </w:r>
    </w:p>
    <w:p>
      <w:pPr>
        <w:pStyle w:val="BodyText"/>
      </w:pPr>
      <w:r>
        <w:rPr>
          <w:i/>
          <w:iCs/>
        </w:rPr>
        <w:t xml:space="preserve">We do not report individual per-axis shares.</w:t>
      </w:r>
      <w:r>
        <w:t xml:space="preserve"> </w:t>
      </w:r>
      <w:r>
        <w:t xml:space="preserve">On the analysed 32-specification two-provider design, main effects are</w:t>
      </w:r>
      <w:r>
        <w:t xml:space="preserve"> </w:t>
      </w:r>
      <w:r>
        <w:t xml:space="preserve">mutually near-orthogonal (maximum off-diagonal</w:t>
      </w:r>
      <w:r>
        <w:t xml:space="preserve"> </w:t>
      </w:r>
      <m:oMath>
        <m:r>
          <m:rPr>
            <m:sty m:val="p"/>
          </m:rPr>
          <m:t>|</m:t>
        </m:r>
        <m:r>
          <m:t>r</m:t>
        </m:r>
        <m:r>
          <m:rPr>
            <m:sty m:val="p"/>
          </m:rPr>
          <m:t>|</m:t>
        </m:r>
        <m:r>
          <m:rPr>
            <m:sty m:val="p"/>
          </m:rPr>
          <m:t>=</m:t>
        </m:r>
        <m:r>
          <m:t>0.125</m:t>
        </m:r>
      </m:oMath>
      <w:r>
        <w:t xml:space="preserve">) but are aliased with two-factor</w:t>
      </w:r>
      <w:r>
        <w:t xml:space="preserve"> </w:t>
      </w:r>
      <w:r>
        <w:t xml:space="preserve">interactions of other factors up to</w:t>
      </w:r>
      <w:r>
        <w:t xml:space="preserve"> </w:t>
      </w:r>
      <m:oMath>
        <m:r>
          <m:rPr>
            <m:sty m:val="p"/>
          </m:rPr>
          <m:t>|</m:t>
        </m:r>
        <m:r>
          <m:t>r</m:t>
        </m:r>
        <m:r>
          <m:rPr>
            <m:sty m:val="p"/>
          </m:rPr>
          <m:t>|</m:t>
        </m:r>
        <m:r>
          <m:rPr>
            <m:sty m:val="p"/>
          </m:rPr>
          <m:t>=</m:t>
        </m:r>
        <m:r>
          <m:t>0.504</m:t>
        </m:r>
      </m:oMath>
      <w:r>
        <w:t xml:space="preserve">, so each main-effect sum of</w:t>
      </w:r>
      <w:r>
        <w:t xml:space="preserve"> </w:t>
      </w:r>
      <w:r>
        <w:t xml:space="preserve">squares is identified only up to a contribution from omitted interactions whose magnitude the design</w:t>
      </w:r>
      <w:r>
        <w:t xml:space="preserve"> </w:t>
      </w:r>
      <w:r>
        <w:t xml:space="preserve">cannot bound without an external assumption (Section 6.2 gives the alias algebra and the norms). One component</w:t>
      </w:r>
      <w:r>
        <w:t xml:space="preserve"> </w:t>
      </w:r>
      <w:r>
        <w:rPr>
          <w:i/>
          <w:iCs/>
        </w:rPr>
        <w:t xml:space="preserve">is</w:t>
      </w:r>
      <w:r>
        <w:t xml:space="preserve"> </w:t>
      </w:r>
      <w:r>
        <w:t xml:space="preserve">identified and is reported as</w:t>
      </w:r>
      <w:r>
        <w:t xml:space="preserve"> </w:t>
      </w:r>
      <w:r>
        <w:t xml:space="preserve">such. Because items are fully crossed with specifications, the provider-by-item interaction is</w:t>
      </w:r>
      <w:r>
        <w:t xml:space="preserve"> </w:t>
      </w:r>
      <w:r>
        <w:t xml:space="preserve">effectively orthogonal to the specification-axis contrasts up to the numerically negligible imbalance quantified in Section 6.2, and it contributes</w:t>
      </w:r>
      <w:r>
        <w:t xml:space="preserve"> </w:t>
      </w:r>
      <m:oMath>
        <m:r>
          <m:rPr>
            <m:sty m:val="p"/>
          </m:rPr>
          <m:t>∼</m:t>
        </m:r>
      </m:oMath>
      <w:r>
        <w:t xml:space="preserve">1.4% of variance. 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 Limitations). It may combine real unmodeled interactions with main effects aliased into two-factor</w:t>
      </w:r>
      <w:r>
        <w:t xml:space="preserve"> </w:t>
      </w:r>
      <w:r>
        <w:t xml:space="preserve">interactions, so 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depends on the modeling choice but remains low across all three specifications (</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 of sample. Separately, the aliasing analysis in Section 6.2 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 specs. Specs 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 honored, namely 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 choices. Indeed, 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t xml:space="preserve">Provider choice might be thought immaterial.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agreement at four rating resolutions: the full 21-grade letter-rating scale, 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 matched-pair 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 benchmark-WATCH 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 total investment-grade/high-yield elicitation disagreement rate of 25.2%</w:t>
      </w:r>
      <w:r>
        <w:t xml:space="preserve"> </w:t>
      </w:r>
      <w:r>
        <w:t xml:space="preserve">(95% CI 19.7–31.2%), in which the two draws may differ in specification, in seed, or in both.</w:t>
      </w:r>
      <w:r>
        <w:t xml:space="preserve"> </w:t>
      </w:r>
      <w:r>
        <w:t xml:space="preserve">For context, we report two complementary conditional measures: 24.3% after collapsing repeated</w:t>
      </w:r>
      <w:r>
        <w:t xml:space="preserve"> </w:t>
      </w:r>
      <w:r>
        <w:t xml:space="preserve">seeds within specification, and 6.9% when varying seed within an identical</w:t>
      </w:r>
      <w:r>
        <w:t xml:space="preserve"> </w:t>
      </w:r>
      <w:r>
        <w:t xml:space="preserve">profile</w:t>
      </w:r>
      <m:oMath>
        <m:r>
          <m:rPr>
            <m:sty m:val="p"/>
          </m:rPr>
          <m:t>×</m:t>
        </m:r>
      </m:oMath>
      <w:r>
        <w:t xml:space="preserve">specification cell. These quantities are not additive components of the 25.2%</w:t>
      </w:r>
      <w:r>
        <w:t xml:space="preserve"> </w:t>
      </w:r>
      <w:r>
        <w:t xml:space="preserve">total. Forming the per-specification modal outcome requires a tie rule, and we treat a cell with no</w:t>
      </w:r>
      <w:r>
        <w:t xml:space="preserve"> </w:t>
      </w:r>
      <w:r>
        <w:t xml:space="preserve">modal winner as dissenting; the rule never binds here, because all four two-observation cells are</w:t>
      </w:r>
      <w:r>
        <w:t xml:space="preserve"> </w:t>
      </w:r>
      <w:r>
        <w:t xml:space="preserve">unanimous and no three-observation cell lacks a modal winner. The headline figure is therefore</w:t>
      </w:r>
      <w:r>
        <w:t xml:space="preserve"> </w:t>
      </w:r>
      <w:r>
        <w:t xml:space="preserve">total elicitation instability and is not attributed to specification choices alone: 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t xml:space="preserve">by the elicitation process, with the fundamentals held fixed, 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 an illustrative descriptive</w:t>
      </w:r>
      <w:r>
        <w:t xml:space="preserve"> </w:t>
      </w:r>
      <w:r>
        <w:t xml:space="preserve">check only, not as an external validation. Section 3.7 reports two pre-registered</w:t>
      </w:r>
      <w:r>
        <w:t xml:space="preserve"> </w:t>
      </w:r>
      <w:r>
        <w:t xml:space="preserve">decontamination experiments whose combined result requires that restriction.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t xml:space="preserve">, Table 4), not statistically distinguishable from zero. We treat this arm as an</w:t>
      </w:r>
      <w:r>
        <w:t xml:space="preserve"> </w:t>
      </w:r>
      <w:r>
        <w:t xml:space="preserve">illustrative descriptive real-issuer check, and 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 are not analysed against per-issuer instability here, and because each issuer received a single scale draw, scale cannot be separated from issuer identity in this comparison; Section 3.7 instead tests scale within issuer. 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 issuers, 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 chance. Per-specification agreement with the external agency benchmark therefore varies across the evaluated specifications (</w:t>
      </w:r>
      <m:oMath>
        <m:r>
          <m:t>p</m:t>
        </m:r>
        <m:r>
          <m:rPr>
            <m:sty m:val="p"/>
          </m:rPr>
          <m:t>=</m:t>
        </m:r>
        <m:r>
          <m:t>0.021</m:t>
        </m:r>
      </m:oMath>
      <w:r>
        <w:t xml:space="preserve">). This is a within-issuer specification contrast and is not</w:t>
      </w:r>
      <w:r>
        <w:t xml:space="preserve"> </w:t>
      </w:r>
      <w:r>
        <w:t xml:space="preserve">interpreted as evidence of rating accuracy. Machine-generated credit bands correspond to disclosed agency ratings</w:t>
      </w:r>
      <w:r>
        <w:t xml:space="preserve"> </w:t>
      </w:r>
      <m:oMath>
        <m:r>
          <m:t>53.7</m:t>
        </m:r>
        <m:r>
          <m:rPr>
            <m:sty m:val="p"/>
          </m:rPr>
          <m:t>%</m:t>
        </m:r>
      </m:oMath>
      <w:r>
        <w:t xml:space="preserve"> </w:t>
      </w:r>
      <w:r>
        <w:t xml:space="preserve">of the time. The correct reference for that figure is not the uniform three-class value of</w:t>
      </w:r>
      <w:r>
        <w:t xml:space="preserve"> </w:t>
      </w:r>
      <m:oMath>
        <m:r>
          <m:t>33.3</m:t>
        </m:r>
        <m:r>
          <m:rPr>
            <m:sty m:val="p"/>
          </m:rPr>
          <m:t>%</m:t>
        </m:r>
      </m:oMath>
      <w:r>
        <w:t xml:space="preserve">: both margins are concentrated in two bands. The machine assigns SAFE</w:t>
      </w:r>
      <w:r>
        <w:t xml:space="preserve"> </w:t>
      </w:r>
      <m:oMath>
        <m:r>
          <m:t>54.7</m:t>
        </m:r>
        <m:r>
          <m:rPr>
            <m:sty m:val="p"/>
          </m:rPr>
          <m:t>%</m:t>
        </m:r>
      </m:oMath>
      <w:r>
        <w:t xml:space="preserve"> </w:t>
      </w:r>
      <w:r>
        <w:t xml:space="preserve">and WATCH</w:t>
      </w:r>
      <w:r>
        <w:t xml:space="preserve"> </w:t>
      </w:r>
      <m:oMath>
        <m:r>
          <m:t>43.7</m:t>
        </m:r>
        <m:r>
          <m:rPr>
            <m:sty m:val="p"/>
          </m:rPr>
          <m:t>%</m:t>
        </m:r>
      </m:oMath>
      <w:r>
        <w:t xml:space="preserve"> </w:t>
      </w:r>
      <w:r>
        <w:t xml:space="preserve">of the time, the agency benchmark</w:t>
      </w:r>
      <w:r>
        <w:t xml:space="preserve"> </w:t>
      </w:r>
      <m:oMath>
        <m:r>
          <m:t>46.7</m:t>
        </m:r>
        <m:r>
          <m:rPr>
            <m:sty m:val="p"/>
          </m:rPr>
          <m:t>%</m:t>
        </m:r>
      </m:oMath>
      <w:r>
        <w:t xml:space="preserve"> </w:t>
      </w:r>
      <w:r>
        <w:t xml:space="preserve">and</w:t>
      </w:r>
      <w:r>
        <w:t xml:space="preserve"> </w:t>
      </w:r>
      <m:oMath>
        <m:r>
          <m:t>53.3</m:t>
        </m:r>
        <m:r>
          <m:rPr>
            <m:sty m:val="p"/>
          </m:rPr>
          <m:t>%</m:t>
        </m:r>
      </m:oMath>
      <w:r>
        <w:t xml:space="preserve">, so the agreement expected from</w:t>
      </w:r>
      <w:r>
        <w:t xml:space="preserve"> </w:t>
      </w:r>
      <w: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t xml:space="preserve">.</w:t>
      </w:r>
      <w:r>
        <w:t xml:space="preserve"> </w:t>
      </w:r>
      <w:r>
        <w:t xml:space="preserve">Measured against that baseline the excess is</w:t>
      </w:r>
      <w:r>
        <w:t xml:space="preserve"> </w:t>
      </w:r>
      <m:oMath>
        <m:r>
          <m:rPr>
            <m:sty m:val="p"/>
          </m:rPr>
          <m:t>+</m:t>
        </m:r>
        <m:r>
          <m:t>4.9</m:t>
        </m:r>
      </m:oMath>
      <w:r>
        <w:t xml:space="preserve"> </w:t>
      </w:r>
      <w:r>
        <w:t xml:space="preserve">percentage points with an issuer-clustered</w:t>
      </w:r>
      <w:r>
        <w:t xml:space="preserve"> </w:t>
      </w:r>
      <w:r>
        <w:t xml:space="preserve">95% interval of</w:t>
      </w:r>
      <w:r>
        <w:t xml:space="preserve"> </w:t>
      </w:r>
      <m:oMath>
        <m:r>
          <m:rPr>
            <m:sty m:val="p"/>
          </m:rPr>
          <m:t>(</m:t>
        </m:r>
        <m:r>
          <m:rPr>
            <m:sty m:val="p"/>
          </m:rPr>
          <m:t>−</m:t>
        </m:r>
        <m:r>
          <m:t>7.9</m:t>
        </m:r>
        <m:r>
          <m:rPr>
            <m:sty m:val="p"/>
          </m:rPr>
          <m:t>,</m:t>
        </m:r>
        <m:r>
          <m:t> </m:t>
        </m:r>
        <m:r>
          <m:rPr>
            <m:sty m:val="p"/>
          </m:rPr>
          <m:t>+</m:t>
        </m:r>
        <m:r>
          <m:t>17.1</m:t>
        </m:r>
        <m:r>
          <m:rPr>
            <m:sty m:val="p"/>
          </m:rPr>
          <m:t>)</m:t>
        </m:r>
      </m:oMath>
      <w:r>
        <w:t xml:space="preserve">, and Cohen’s</w:t>
      </w:r>
      <w:r>
        <w:t xml:space="preserve"> </w:t>
      </w:r>
      <m:oMath>
        <m:r>
          <m:t>κ</m:t>
        </m:r>
      </m:oMath>
      <w:r>
        <w:t xml:space="preserve"> </w:t>
      </w:r>
      <w:r>
        <w:t xml:space="preserve">is</w:t>
      </w:r>
      <w:r>
        <w:t xml:space="preserve"> </w:t>
      </w:r>
      <m:oMath>
        <m:r>
          <m:t>0.095</m:t>
        </m:r>
      </m:oMath>
      <w: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t xml:space="preserve">, and we draw no accuracy claim from this comparison. What the real-firm</w:t>
      </w:r>
      <w:r>
        <w:t xml:space="preserve"> </w:t>
      </w:r>
      <w:r>
        <w:t xml:space="preserve">arm is used for is the</w:t>
      </w:r>
      <w:r>
        <w:t xml:space="preserve"> </w:t>
      </w:r>
      <w:r>
        <w:rPr>
          <w:i/>
          <w:iCs/>
        </w:rPr>
        <w:t xml:space="preserve">specification spread</w:t>
      </w:r>
      <w:r>
        <w:t xml:space="preserve"> </w:t>
      </w:r>
      <w:r>
        <w:t xml:space="preserve">reported above, which is a within-issuer</w:t>
      </w:r>
      <w:r>
        <w:t xml:space="preserve"> </w:t>
      </w:r>
      <w:r>
        <w:t xml:space="preserve">contrast and does not depend on the level of agreement.</w:t>
      </w:r>
    </w:p>
    <w:bookmarkStart w:id="40" w:name="tab:realarm"/>
    <w:p>
      <w:pPr>
        <w:pStyle w:val="TableCaption"/>
      </w:pPr>
      <w:r>
        <w:t xml:space="preserve">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t xml:space="preserve">points, 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 The comparison finds no detectable attenuation of specification sensitivity, although the wide</w:t>
      </w:r>
      <w:r>
        <w:t xml:space="preserve"> </w:t>
      </w:r>
      <w:r>
        <w:t xml:space="preserve">confidence interval does not establish equivalence.</w:t>
      </w:r>
    </w:p>
    <w:p>
      <w:pPr>
        <w:pStyle w:val="BodyText"/>
      </w:pPr>
      <w:r>
        <w:t xml:space="preserve">Two caveats attach to this comparison. First, the pooled figure masks provider heterogeneity. The 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 API, 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t xml:space="preserve">like-for-like. The 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 self-consistency. Instead of acting on a single elicitation, aggregate</w:t>
      </w:r>
      <w:r>
        <w:t xml:space="preserve"> </w:t>
      </w:r>
      <m:oMath>
        <m:r>
          <m:t>k</m:t>
        </m:r>
      </m:oMath>
      <w:r>
        <w:t xml:space="preserve"> </w:t>
      </w:r>
      <w:r>
        <w:t xml:space="preserve">elicitation observations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 instability. The 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 rating. This section defines a</w:t>
      </w:r>
      <w:r>
        <w:t xml:space="preserve"> </w:t>
      </w:r>
      <w:r>
        <w:t xml:space="preserve">descriptive dispersion index, benchmarks it against simpler measures of disagreement, and specifies</w:t>
      </w:r>
      <w:r>
        <w:t xml:space="preserve"> </w:t>
      </w:r>
      <w:r>
        <w:t xml:space="preserve">the cost and governance use of a review rule based on disagreement. It does not validate an</w:t>
      </w:r>
      <w:r>
        <w:t xml:space="preserve"> </w:t>
      </w:r>
      <w:r>
        <w:t xml:space="preserve">operational control, and Section 4.3 shows the index carries no incremental</w:t>
      </w:r>
      <w:r>
        <w:t xml:space="preserve"> </w:t>
      </w:r>
      <w: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 plan of</w:t>
      </w:r>
      <w:r>
        <w:t xml:space="preserve"> </w:t>
      </w:r>
      <m:oMath>
        <m:r>
          <m:t>k</m:t>
        </m:r>
      </m:oMath>
      <w:r>
        <w:t xml:space="preserve"> </w:t>
      </w:r>
      <w:r>
        <w:t xml:space="preserve">elicitation observations drawn from defensible specifications, and a decision</w:t>
      </w:r>
      <w:r>
        <w:t xml:space="preserve"> </w:t>
      </w:r>
      <w:r>
        <w:t xml:space="preserve">resolution</w:t>
      </w:r>
      <w:r>
        <w:t xml:space="preserve"> </w:t>
      </w:r>
      <m:oMath>
        <m:r>
          <m:t>g</m:t>
        </m:r>
      </m:oMath>
      <w:r>
        <w:t xml:space="preserve"> </w:t>
      </w:r>
      <w:r>
        <w:t xml:space="preserve">(for example, the map from letter grade to the IG/HY class). For each of the</w:t>
      </w:r>
      <w:r>
        <w:t xml:space="preserve"> </w:t>
      </w:r>
      <m:oMath>
        <m:r>
          <m:t>k</m:t>
        </m:r>
      </m:oMath>
      <w:r>
        <w:t xml:space="preserve"> </w:t>
      </w:r>
      <w:r>
        <w:t xml:space="preserve">planned elicitation</w:t>
      </w:r>
      <w:r>
        <w:t xml:space="preserve"> </w:t>
      </w:r>
      <w: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t xml:space="preserve">denote the resulting class proportion. 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 an invariant decision class at the chosen resolution across the evaluated elicitations. Higher values indicate greater sensitivity of the decision class to elicitation choices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 index. The contribution here is not a new mathematical index. Section 4.3 shows that the index is ordinally equivalent to counting dissents at the binary IG/HY gate and provides no incremental discrimination at the three-band resolution in the present analyses, despite the measures not being exactly rank-equivalent. What the section offers is the</w:t>
      </w:r>
      <w:r>
        <w:t xml:space="preserve"> </w:t>
      </w:r>
      <w:r>
        <w:t xml:space="preserve">held-out-specification evidence that early disagreement predicts later disagreement, a governance</w:t>
      </w:r>
      <w:r>
        <w:t xml:space="preserve"> </w:t>
      </w:r>
      <w: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 To test whether early disagreement is informative about later disagreement, 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Calibration-set disagreement therefore identifies profiles that are also unstable on held-out specifications, under specifications not yet</w:t>
      </w:r>
      <w:r>
        <w:t xml:space="preserve"> </w:t>
      </w:r>
      <w:r>
        <w:t xml:space="preserve">tried. Section 4.3 shows that this discrimination is not attributable to the</w:t>
      </w:r>
      <w:r>
        <w:t xml:space="preserve"> </w:t>
      </w:r>
      <w:r>
        <w:t xml:space="preserve">index itself, because counting dissenting elicitations does as well, so the result is reported as evidence</w:t>
      </w:r>
      <w:r>
        <w:t xml:space="preserve"> </w:t>
      </w:r>
      <w:r>
        <w:t xml:space="preserve">that</w:t>
      </w:r>
      <w:r>
        <w:t xml:space="preserve"> </w:t>
      </w:r>
      <w:r>
        <w:rPr>
          <w:i/>
          <w:iCs/>
        </w:rPr>
        <w:t xml:space="preserve">disagreement observed on one subset of specifications predicts disagreement on a disjoint subset</w:t>
      </w:r>
      <w:r>
        <w:t xml:space="preserve">, not as validation of a new instrument.</w:t>
      </w:r>
    </w:p>
    <w:p>
      <w:pPr>
        <w:pStyle w:val="BodyText"/>
      </w:pPr>
      <w:r>
        <w:t xml:space="preserve">We also repeat the calculation on the 31 perturbed real issuers as an illustrative descriptive real-issuer check only (Section 3.6), for which the same 12-specification</w:t>
      </w:r>
      <w:r>
        <w:t xml:space="preserve"> </w:t>
      </w:r>
      <w:r>
        <w:t xml:space="preserve">grid was collected. Splitting those specifications 6/6, the calibration-set score gives ROC-AUC 0.70 (issuer-clustered bootstrap 95% CI 0.51–0.87, Spearman</w:t>
      </w:r>
      <w:r>
        <w:t xml:space="preserve"> </w:t>
      </w:r>
      <m:oMath>
        <m:r>
          <m:t>ρ</m:t>
        </m:r>
        <m:r>
          <m:rPr>
            <m:sty m:val="p"/>
          </m:rPr>
          <m:t>=</m:t>
        </m:r>
        <m:r>
          <m:t>0.41</m:t>
        </m:r>
      </m:oMath>
      <w:r>
        <w:t xml:space="preserve">, base rate 0.61). This is descriptive only and is not evidence of generalization to real issuers, because residual ratio-pattern identification remains in this arm (Section 3.7). Discrimination is weaker than on the synthetic battery</w:t>
      </w:r>
      <w:r>
        <w:t xml:space="preserve"> </w:t>
      </w:r>
      <w:r>
        <w:t xml:space="preserve">and the interval is wide, expected given only 31 issuers and a coarser six-specification</w:t>
      </w:r>
      <w:r>
        <w:t xml:space="preserve"> </w:t>
      </w:r>
      <w: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 families, 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t xml:space="preserve">We state the operating rule in terms of the integer dissent count</w:t>
      </w:r>
      <w:r>
        <w:t xml:space="preserve"> </w:t>
      </w:r>
      <m:oMath>
        <m:r>
          <m:t>d</m:t>
        </m:r>
      </m:oMath>
      <w:r>
        <w:t xml:space="preserve"> </w:t>
      </w:r>
      <w:r>
        <w:t xml:space="preserve">rather than a cutoff on the</w:t>
      </w:r>
      <w:r>
        <w:t xml:space="preserve"> </w:t>
      </w:r>
      <w:r>
        <w:t xml:space="preserve">continuous index, since Section 4.3 shows that the index is a monotonic transformation of</w:t>
      </w:r>
      <w:r>
        <w:t xml:space="preserve"> </w:t>
      </w:r>
      <m:oMath>
        <m:r>
          <m:t>d</m:t>
        </m:r>
      </m:oMath>
      <w:r>
        <w:t xml:space="preserve"> </w:t>
      </w:r>
      <w:r>
        <w:t xml:space="preserve">at the binary IG/HY gate and provides no incremental discrimination over</w:t>
      </w:r>
      <w:r>
        <w:t xml:space="preserve"> </w:t>
      </w:r>
      <m:oMath>
        <m:r>
          <m:t>d</m:t>
        </m:r>
      </m:oMath>
      <w:r>
        <w:t xml:space="preserve"> </w:t>
      </w:r>
      <w: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t xml:space="preserve">, with the governance threshold</w:t>
      </w:r>
      <w:r>
        <w:t xml:space="preserve"> </w:t>
      </w:r>
      <m:oMath>
        <m:sSub>
          <m:e>
            <m:r>
              <m:t>c</m:t>
            </m:r>
          </m:e>
          <m:sub>
            <m:r>
              <m:rPr>
                <m:sty m:val="p"/>
              </m:rPr>
              <m:t>r</m:t>
            </m:r>
            <m:r>
              <m:rPr>
                <m:sty m:val="p"/>
              </m:rPr>
              <m:t>e</m:t>
            </m:r>
            <m:r>
              <m:rPr>
                <m:sty m:val="p"/>
              </m:rPr>
              <m:t>f</m:t>
            </m:r>
          </m:sub>
        </m:sSub>
      </m:oMath>
      <w:r>
        <w:t xml:space="preserve"> </w:t>
      </w:r>
      <w:r>
        <w:t xml:space="preserve">chosen</w:t>
      </w:r>
      <w:r>
        <w:t xml:space="preserve"> </w:t>
      </w:r>
      <w:r>
        <w:t xml:space="preserve">according to referral cost and capacity.</w:t>
      </w:r>
      <w:r>
        <w:t xml:space="preserve"> </w:t>
      </w:r>
      <w:r>
        <w:t xml:space="preserve">“Refer on any disagreement”</w:t>
      </w:r>
      <w:r>
        <w:t xml:space="preserve"> </w:t>
      </w:r>
      <w:r>
        <w:t xml:space="preserve">is the special case</w:t>
      </w:r>
      <w:r>
        <w:t xml:space="preserve"> </w:t>
      </w:r>
      <m:oMath>
        <m:sSub>
          <m:e>
            <m:r>
              <m:t>c</m:t>
            </m:r>
          </m:e>
          <m:sub>
            <m:r>
              <m:rPr>
                <m:sty m:val="p"/>
              </m:rPr>
              <m:t>r</m:t>
            </m:r>
            <m:r>
              <m:rPr>
                <m:sty m:val="p"/>
              </m:rPr>
              <m:t>e</m:t>
            </m:r>
            <m:r>
              <m:rPr>
                <m:sty m:val="p"/>
              </m:rPr>
              <m:t>f</m:t>
            </m:r>
          </m:sub>
        </m:sSub>
        <m:r>
          <m:rPr>
            <m:sty m:val="p"/>
          </m:rPr>
          <m:t>=</m:t>
        </m:r>
        <m:r>
          <m:t>1</m:t>
        </m:r>
      </m:oMath>
      <w:r>
        <w:t xml:space="preserve">,</w:t>
      </w:r>
      <w:r>
        <w:t xml:space="preserve"> </w:t>
      </w:r>
      <w: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refers 88.9% 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refers 66.7% at precision 1.000 and recall 0.882. At</w:t>
      </w:r>
      <w:r>
        <w:t xml:space="preserve"> </w:t>
      </w:r>
      <m:oMath>
        <m:sSub>
          <m:e>
            <m:r>
              <m:t>p</m:t>
            </m:r>
          </m:e>
          <m:sub>
            <m:r>
              <m:t>t</m:t>
            </m:r>
          </m:sub>
        </m:sSub>
        <m:r>
          <m:rPr>
            <m:sty m:val="p"/>
          </m:rPr>
          <m:t>=</m:t>
        </m:r>
        <m:r>
          <m:t>0.60</m:t>
        </m:r>
      </m:oMath>
      <w: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is constant across threshold probabilities because this rule produces no false positives in the evaluated sample. These are</w:t>
      </w:r>
      <w:r>
        <w:t xml:space="preserve"> </w:t>
      </w:r>
      <w:r>
        <w:t xml:space="preserve">descriptive operating points on a split that also selected the operating point, not evidence of a</w:t>
      </w:r>
      <w:r>
        <w:t xml:space="preserve"> </w:t>
      </w:r>
      <w:r>
        <w:t xml:space="preserve">validated instrument.</w:t>
      </w:r>
    </w:p>
    <w:p>
      <w:pPr>
        <w:pStyle w:val="BodyText"/>
      </w:pPr>
      <w:r>
        <w:t xml:space="preserve">The number of observations matters for how any threshold reads, and</w:t>
      </w:r>
      <w:r>
        <w:t xml:space="preserve"> </w:t>
      </w:r>
      <m:oMath>
        <m:r>
          <m:t>k</m:t>
        </m:r>
      </m:oMath>
      <w:r>
        <w:t xml:space="preserve"> </w:t>
      </w:r>
      <w:r>
        <w:t xml:space="preserve">counts elicitation</w:t>
      </w:r>
      <w:r>
        <w:t xml:space="preserve"> </w:t>
      </w:r>
      <w:r>
        <w:t xml:space="preserve">observations rather than distinct specifications. The retrospective validation retains three seeds</w:t>
      </w:r>
      <w:r>
        <w:t xml:space="preserve"> </w:t>
      </w:r>
      <w:r>
        <w:t xml:space="preserve">per specification, so its calibration set has</w:t>
      </w:r>
      <w:r>
        <w:t xml:space="preserve"> </w:t>
      </w:r>
      <m:oMath>
        <m:r>
          <m:t>k</m:t>
        </m:r>
        <m:r>
          <m:rPr>
            <m:sty m:val="p"/>
          </m:rPr>
          <m:t>=</m:t>
        </m:r>
        <m:r>
          <m:t>16</m:t>
        </m:r>
        <m:r>
          <m:rPr>
            <m:sty m:val="p"/>
          </m:rPr>
          <m:t>×</m:t>
        </m:r>
        <m:r>
          <m:t>3</m:t>
        </m:r>
        <m:r>
          <m:rPr>
            <m:sty m:val="p"/>
          </m:rPr>
          <m:t>=</m:t>
        </m:r>
        <m:r>
          <m:t>48</m:t>
        </m:r>
      </m:oMath>
      <w:r>
        <w:t xml:space="preserve">, whereas a practical</w:t>
      </w:r>
      <w:r>
        <w:t xml:space="preserve"> </w:t>
      </w:r>
      <w:r>
        <w:t xml:space="preserve">one-call-per-specification workflow has</w:t>
      </w:r>
      <w:r>
        <w:t xml:space="preserve"> </w:t>
      </w:r>
      <m:oMath>
        <m:r>
          <m:t>k</m:t>
        </m:r>
        <m:r>
          <m:rPr>
            <m:sty m:val="p"/>
          </m:rPr>
          <m:t>=</m:t>
        </m:r>
        <m:r>
          <m:rPr>
            <m:sty m:val="p"/>
          </m:rPr>
          <m:t>|</m:t>
        </m:r>
        <m:r>
          <m:t>S</m:t>
        </m:r>
        <m:r>
          <m:rPr>
            <m:sty m:val="p"/>
          </m:rPr>
          <m:t>|</m:t>
        </m:r>
      </m:oMath>
      <w:r>
        <w:t xml:space="preserve">. Thresholds on the continuous index are therefore</w:t>
      </w:r>
      <w:r>
        <w:t xml:space="preserve"> </w:t>
      </w:r>
      <m:oMath>
        <m:r>
          <m:t>k</m:t>
        </m:r>
      </m:oMath>
      <w: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is not, which is the second reason for preferring the count.</w:t>
      </w:r>
    </w:p>
    <w:p>
      <w:pPr>
        <w:pStyle w:val="BodyText"/>
      </w:pPr>
      <w:r>
        <w:t xml:space="preserve">Proximity to the boundary is reported as a severity indicator rather than a mandatory conjunct.</w:t>
      </w:r>
      <w:r>
        <w:t xml:space="preserve"> </w:t>
      </w:r>
      <w:r>
        <w:t xml:space="preserve">Instability is not confined to the boundary region, and requiring both conditions would cut recall</w:t>
      </w:r>
      <w:r>
        <w:t xml:space="preserve"> </w:t>
      </w:r>
      <w:r>
        <w:t xml:space="preserve">to 0.176 while referring only 13.3% of profiles, trading referral volume against missed</w:t>
      </w:r>
      <w:r>
        <w:t xml:space="preserve"> </w:t>
      </w:r>
      <w:r>
        <w:t xml:space="preserve">instability. Disagreement therefore determines whether a rating is referred, and proximity to the</w:t>
      </w:r>
      <w:r>
        <w:t xml:space="preserve"> </w:t>
      </w:r>
      <w:r>
        <w:t xml:space="preserve">BBB</w:t>
      </w:r>
      <m:oMath>
        <m:r>
          <m:rPr>
            <m:sty m:val="p"/>
          </m:rPr>
          <m:t>−</m:t>
        </m:r>
      </m:oMath>
      <w:r>
        <w:t xml:space="preserve">/BB</w:t>
      </w:r>
      <m:oMath>
        <m:r>
          <m:rPr>
            <m:sty m:val="p"/>
          </m:rPr>
          <m:t>+</m:t>
        </m:r>
      </m:oMath>
      <w:r>
        <w:t xml:space="preserve"> </w:t>
      </w:r>
      <w:r>
        <w:t xml:space="preserve">cut determines how urgently. The ROC-AUC of</w:t>
      </w:r>
      <w:r>
        <w:t xml:space="preserve"> </w:t>
      </w:r>
      <m:oMath>
        <m:r>
          <m:t>0.94</m:t>
        </m:r>
      </m:oMath>
      <w:r>
        <w:t xml:space="preserve"> </w:t>
      </w:r>
      <w:r>
        <w:t xml:space="preserve">is computed at the IG/HY</w:t>
      </w:r>
      <w:r>
        <w:t xml:space="preserve"> </w:t>
      </w:r>
      <w:r>
        <w:t xml:space="preserve">resolution, where the index ranks issuers identically to the dissent count</w:t>
      </w:r>
      <w:r>
        <w:t xml:space="preserve"> </w:t>
      </w:r>
      <w:r>
        <w:t xml:space="preserve">(Section 4.3). That figure describes the retrospective</w:t>
      </w:r>
      <w:r>
        <w:t xml:space="preserve"> </w:t>
      </w:r>
      <m:oMath>
        <m:r>
          <m:t>k</m:t>
        </m:r>
        <m:r>
          <m:rPr>
            <m:sty m:val="p"/>
          </m:rPr>
          <m:t>=</m:t>
        </m:r>
        <m:r>
          <m:t>48</m:t>
        </m:r>
      </m:oMath>
      <w:r>
        <w:t xml:space="preserve"> </w:t>
      </w:r>
      <w:r>
        <w:t xml:space="preserve">construction and is not evidence about the</w:t>
      </w:r>
      <w:r>
        <w:t xml:space="preserve"> </w:t>
      </w:r>
      <m:oMath>
        <m:r>
          <m:t>k</m:t>
        </m:r>
        <m:r>
          <m:rPr>
            <m:sty m:val="p"/>
          </m:rPr>
          <m:t>≈</m:t>
        </m:r>
        <m:r>
          <m:t>9</m:t>
        </m:r>
      </m:oMath>
      <w:r>
        <w:t xml:space="preserve"> </w:t>
      </w:r>
      <w:r>
        <w:t xml:space="preserve">aggregation level, which comes from the separate cost analysis of</w:t>
      </w:r>
      <w:r>
        <w:t xml:space="preserve"> </w:t>
      </w:r>
      <w:r>
        <w:t xml:space="preserve">Section 4.4.</w:t>
      </w:r>
    </w:p>
    <w:bookmarkEnd w:id="56"/>
    <w:bookmarkStart w:id="60" w:name="sec:sis-baselines"/>
    <w:p>
      <w:pPr>
        <w:pStyle w:val="Heading2"/>
      </w:pPr>
      <w:r>
        <w:rPr>
          <w:rStyle w:val="SectionNumber"/>
        </w:rPr>
        <w:t xml:space="preserve">4.3</w:t>
      </w:r>
      <w:r>
        <w:tab/>
      </w:r>
      <w:r>
        <w:t xml:space="preserve">Benchmark against simple baselines</w:t>
      </w:r>
    </w:p>
    <w:p>
      <w:pPr>
        <w:pStyle w:val="FirstParagraph"/>
      </w:pPr>
      <w:r>
        <w:t xml:space="preserve">To assess whether the dispersion index adds information beyond simpler alternatives, we benchmark</w:t>
      </w:r>
      <w:r>
        <w:t xml:space="preserve"> </w:t>
      </w:r>
      <w:r>
        <w:t xml:space="preserve">it against three baselines computable from the same</w:t>
      </w:r>
      <w:r>
        <w:t xml:space="preserve"> </w:t>
      </w:r>
      <m:oMath>
        <m:r>
          <m:t>k</m:t>
        </m:r>
      </m:oMath>
      <w:r>
        <w:t xml:space="preserve"> </w:t>
      </w:r>
      <w:r>
        <w:t xml:space="preserve">observations: the number of dissenting</w:t>
      </w:r>
      <w:r>
        <w:t xml:space="preserve"> </w:t>
      </w:r>
      <w:r>
        <w:t xml:space="preserve">elicitations, the self-consistency vote margin, and the modal letter rating’s distance to the</w:t>
      </w:r>
      <w:r>
        <w:t xml:space="preserve"> </w:t>
      </w:r>
      <w:r>
        <w:t xml:space="preserve">investment-grade/high-yield boundary. Two further candidates are semantic entropy and token-level confidence. We compute the first and explain why the second cannot be computed. Farquhar, Kossen, Kuhn and Gal (2024) give a</w:t>
      </w:r>
      <w:r>
        <w:t xml:space="preserve"> </w:t>
      </w:r>
      <w:r>
        <w:rPr>
          <w:i/>
          <w:iCs/>
        </w:rPr>
        <w:t xml:space="preserve">discrete</w:t>
      </w:r>
      <w:r>
        <w:t xml:space="preserve"> </w:t>
      </w:r>
      <w:r>
        <w:t xml:space="preserve">semantic</w:t>
      </w:r>
      <w:r>
        <w:t xml:space="preserve"> </w:t>
      </w:r>
      <w:r>
        <w:t xml:space="preserve">entropy estimator that approximates the probability of each semantic cluster from the number of</w:t>
      </w:r>
      <w:r>
        <w:t xml:space="preserve"> </w:t>
      </w:r>
      <w:r>
        <w:t xml:space="preserve">generations falling in it, disregarding token probabilities, and recommend it precisely for models</w:t>
      </w:r>
      <w:r>
        <w:t xml:space="preserve"> </w:t>
      </w:r>
      <w:r>
        <w:t xml:space="preserve">that do not expose probabilities. Our outputs are categorical ratings on a fixed ordinal scale, so</w:t>
      </w:r>
      <w:r>
        <w:t xml:space="preserve"> </w:t>
      </w:r>
      <w:r>
        <w:t xml:space="preserve">the semantic-equivalence clustering those authors obtain by bidirectional entailment over free text</w:t>
      </w:r>
      <w:r>
        <w:t xml:space="preserve"> </w:t>
      </w:r>
      <w:r>
        <w:t xml:space="preserve">is given here by construction, because two elicitations share a cluster exactly when they share a rating at</w:t>
      </w:r>
      <w:r>
        <w:t xml:space="preserve"> </w:t>
      </w:r>
      <w: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t xml:space="preserve">of the rating distribution, which the frozen corpus does support, and we</w:t>
      </w:r>
      <w:r>
        <w:t xml:space="preserve"> </w:t>
      </w:r>
      <w:r>
        <w:t xml:space="preserve">report it as a fifth predictor. Two scope limits must be stated. First,</w:t>
      </w:r>
      <w:r>
        <w:t xml:space="preserve"> </w:t>
      </w:r>
      <w:r>
        <w:t xml:space="preserve">Farquhar et al. (2024) draw repeated generations under a</w:t>
      </w:r>
      <w:r>
        <w:t xml:space="preserve"> </w:t>
      </w:r>
      <w:r>
        <w:rPr>
          <w:i/>
          <w:iCs/>
        </w:rPr>
        <w:t xml:space="preserve">fixed</w:t>
      </w:r>
      <w:r>
        <w:t xml:space="preserve"> </w:t>
      </w:r>
      <w:r>
        <w:t xml:space="preserve">prompt to detect</w:t>
      </w:r>
      <w:r>
        <w:t xml:space="preserve"> </w:t>
      </w:r>
      <w:r>
        <w:t xml:space="preserve">confabulation, whereas our ensemble deliberately varies the elicitation specification. What we</w:t>
      </w:r>
      <w:r>
        <w:t xml:space="preserve"> </w:t>
      </w:r>
      <w:r>
        <w:t xml:space="preserve">compute is therefore a specification-level analogue of their estimator applied to a categorical</w:t>
      </w:r>
      <w:r>
        <w:t xml:space="preserve"> </w:t>
      </w:r>
      <w:r>
        <w:t xml:space="preserve">outcome, not a replication of their hallucination-detection task. Second, token-level confidence</w:t>
      </w:r>
      <w:r>
        <w:t xml:space="preserve"> </w:t>
      </w:r>
      <w:r>
        <w:t xml:space="preserve">genuinely</w:t>
      </w:r>
      <w:r>
        <w:t xml:space="preserve"> </w:t>
      </w:r>
      <w:r>
        <w:rPr>
          <w:i/>
          <w:iCs/>
        </w:rPr>
        <w:t xml:space="preserve">cannot</w:t>
      </w:r>
      <w:r>
        <w:t xml:space="preserve"> </w:t>
      </w:r>
      <w:r>
        <w:t xml:space="preserve">be computed, because the corpus retains parsed text and no log-probabilities, and</w:t>
      </w:r>
      <w:r>
        <w:t xml:space="preserve"> </w:t>
      </w:r>
      <w:r>
        <w:t xml:space="preserve">obtaining them would require re-elicitation with log-probabilities enabled, which is not uniformly</w:t>
      </w:r>
      <w:r>
        <w:t xml:space="preserve"> </w:t>
      </w:r>
      <w:r>
        <w:t xml:space="preserve">available across the providers evaluated.</w:t>
      </w:r>
    </w:p>
    <w:p>
      <w:pPr>
        <w:pStyle w:val="BodyText"/>
      </w:pPr>
      <w:r>
        <w:t xml:space="preserve">We run the comparison in both the held-out-specification setting and a profile-split subsampling analysis, and report them separately in Table 8 rather than merging</w:t>
      </w:r>
      <w:r>
        <w:t xml:space="preserve"> </w:t>
      </w:r>
      <w:r>
        <w:t xml:space="preserve">them. The profile-split analysis splits the 45 credit-health profiles at random into</w:t>
      </w:r>
      <w:r>
        <w:t xml:space="preserve"> </w:t>
      </w:r>
      <w:r>
        <w:t xml:space="preserve">halves over 300 draws and evaluates discrimination only on the held-out half. The conclusion is identical, with mean AUC</w:t>
      </w:r>
      <w:r>
        <w:t xml:space="preserve"> </w:t>
      </w:r>
      <w:r>
        <w:t xml:space="preserve">0.936 at the gate and 0.950 at three bands and an index-minus-dissent-count difference of exactly</w:t>
      </w:r>
      <w:r>
        <w:t xml:space="preserve"> </w:t>
      </w:r>
      <w:r>
        <w:t xml:space="preserve">zero on every split. At the binary gate this is expected rather than reassuring, because the equivalence there is</w:t>
      </w:r>
      <w:r>
        <w:t xml:space="preserve"> </w:t>
      </w:r>
      <w:r>
        <w:t xml:space="preserve">algebraic and so cannot depend on which profiles are evaluated. At three bands the measures are not</w:t>
      </w:r>
      <w:r>
        <w:t xml:space="preserve"> </w:t>
      </w:r>
      <w:r>
        <w:t xml:space="preserve">rank-identical and the agreement in AUC is an empirical finding of these data rather than an</w:t>
      </w:r>
      <w:r>
        <w:t xml:space="preserve"> </w:t>
      </w:r>
      <w:r>
        <w:t xml:space="preserve">identity.</w:t>
      </w:r>
    </w:p>
    <w:p>
      <w:pPr>
        <w:pStyle w:val="BodyText"/>
      </w:pPr>
      <w:r>
        <w:t xml:space="preserve">At a binary resolution with</w:t>
      </w:r>
      <w:r>
        <w:t xml:space="preserve"> </w:t>
      </w:r>
      <m:oMath>
        <m:r>
          <m:t>k</m:t>
        </m:r>
      </m:oMath>
      <w:r>
        <w:t xml:space="preserve"> </w:t>
      </w:r>
      <w:r>
        <w:t xml:space="preserve">elicitations and minority count</w:t>
      </w:r>
      <w:r>
        <w:t xml:space="preserve"> </w:t>
      </w:r>
      <m:oMath>
        <m:r>
          <m:t>m</m:t>
        </m:r>
      </m:oMath>
      <w: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t xml:space="preserve">, which is strictly increasing in</w:t>
      </w:r>
      <w:r>
        <w:t xml:space="preserve"> </w:t>
      </w:r>
      <m:oMath>
        <m:r>
          <m:t>m</m:t>
        </m:r>
      </m:oMath>
      <w:r>
        <w:t xml:space="preserve"> </w:t>
      </w:r>
      <w:r>
        <w:t xml:space="preserve">for</w:t>
      </w:r>
      <w:r>
        <w:t xml:space="preserve"> </w:t>
      </w:r>
      <m:oMath>
        <m:r>
          <m:t>m</m:t>
        </m:r>
        <m:r>
          <m:rPr>
            <m:sty m:val="p"/>
          </m:rPr>
          <m:t>&lt;</m:t>
        </m:r>
        <m:r>
          <m:t>k</m:t>
        </m:r>
        <m:r>
          <m:rPr>
            <m:sty m:val="p"/>
          </m:rPr>
          <m:t>/</m:t>
        </m:r>
        <m:r>
          <m:t>2</m:t>
        </m:r>
      </m:oMath>
      <w:r>
        <w:t xml:space="preserve">. The</w:t>
      </w:r>
      <w:r>
        <w:t xml:space="preserve"> </w:t>
      </w:r>
      <w:r>
        <w:t xml:space="preserve">score is therefore an order-isomorphic transform of the dissent count at the binary gate, and any</w:t>
      </w:r>
      <w:r>
        <w:t xml:space="preserve"> </w:t>
      </w:r>
      <w:r>
        <w:t xml:space="preserve">rank-based discrimination measure must give the two identical values there. The same argument covers</w:t>
      </w:r>
      <w:r>
        <w:t xml:space="preserve"> </w:t>
      </w:r>
      <w: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t xml:space="preserve">is also strictly increasing</w:t>
      </w:r>
      <w:r>
        <w:t xml:space="preserve"> </w:t>
      </w:r>
      <w:r>
        <w:t xml:space="preserve">on</w:t>
      </w:r>
      <w:r>
        <w:t xml:space="preserve"> </w:t>
      </w:r>
      <m:oMath>
        <m:r>
          <m:t>m</m:t>
        </m:r>
        <m:r>
          <m:rPr>
            <m:sty m:val="p"/>
          </m:rPr>
          <m:t>&lt;</m:t>
        </m:r>
        <m:r>
          <m:t>k</m:t>
        </m:r>
        <m:r>
          <m:rPr>
            <m:sty m:val="p"/>
          </m:rPr>
          <m:t>/</m:t>
        </m:r>
        <m:r>
          <m:t>2</m:t>
        </m:r>
      </m:oMath>
      <w:r>
        <w:t xml:space="preserve">, so at the decision gate the dispersion measure one chooses is immaterial. The scope of</w:t>
      </w:r>
      <w:r>
        <w:t xml:space="preserve"> </w:t>
      </w:r>
      <w:r>
        <w:t xml:space="preserve">this statement matters. At the binary gate the equivalence is algebraic. At three bands the measures</w:t>
      </w:r>
      <w:r>
        <w:t xml:space="preserve"> </w:t>
      </w:r>
      <w:r>
        <w:t xml:space="preserve">are</w:t>
      </w:r>
      <w:r>
        <w:t xml:space="preserve"> </w:t>
      </w:r>
      <w:r>
        <w:rPr>
          <w:i/>
          <w:iCs/>
        </w:rPr>
        <w:t xml:space="preserve">not</w:t>
      </w:r>
      <w:r>
        <w:t xml:space="preserve"> </w:t>
      </w:r>
      <w:r>
        <w:t xml:space="preserve">rank-identical, with a Spearman correlation of</w:t>
      </w:r>
      <w:r>
        <w:t xml:space="preserve"> </w:t>
      </w:r>
      <m:oMath>
        <m:r>
          <m:t>0.971</m:t>
        </m:r>
      </m:oMath>
      <w:r>
        <w:t xml:space="preserve"> </w:t>
      </w:r>
      <w:r>
        <w:t xml:space="preserve">between the index and the</w:t>
      </w:r>
      <w:r>
        <w:t xml:space="preserve"> </w:t>
      </w:r>
      <w:r>
        <w:t xml:space="preserve">dissent count, yet they yield the same AUC in the present specification-split and profile-split</w:t>
      </w:r>
      <w:r>
        <w:t xml:space="preserve"> </w:t>
      </w:r>
      <w:r>
        <w:t xml:space="preserve">analyses. Table 8 confirms this</w:t>
      </w:r>
      <w:r>
        <w:t xml:space="preserve"> </w:t>
      </w:r>
      <w:r>
        <w:t xml:space="preserve">numerically and extends it: at the three-band resolution the two agree to within numerical</w:t>
      </w:r>
      <w:r>
        <w:t xml:space="preserve"> </w:t>
      </w:r>
      <w:r>
        <w:t xml:space="preserve">precision as well, and at the full letter resolution the exercise is vacuous because every item</w:t>
      </w:r>
      <w:r>
        <w:t xml:space="preserve"> </w:t>
      </w:r>
      <w:r>
        <w:t xml:space="preserve">changes letter on some held-out specification, so the event to be predicted has a base rate of one.</w:t>
      </w:r>
    </w:p>
    <w:bookmarkStart w:id="57" w:name="tab:sisbase"/>
    <w:p>
      <w:pPr>
        <w:pStyle w:val="TableCaption"/>
      </w:pPr>
      <w:r>
        <w:t xml:space="preserve">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IG/HY</w:t>
            </w:r>
          </w:p>
        </w:tc>
        <w:tc>
          <w:tcPr/>
          <w:p>
            <w:pPr>
              <w:pStyle w:val="Compact"/>
              <w:jc w:val="center"/>
            </w:pPr>
            <w:r>
              <w:t xml:space="preserve">3 bands</w:t>
            </w:r>
          </w:p>
        </w:tc>
        <w:tc>
          <w:tcPr/>
          <w:p>
            <w:pPr>
              <w:pStyle w:val="Compact"/>
              <w:jc w:val="center"/>
            </w:pPr>
            <w: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t xml:space="preserve">Two conclusions follow. First, the index adds no discrimination over counting dissents, so the</w:t>
      </w:r>
      <w:r>
        <w:t xml:space="preserve"> </w:t>
      </w:r>
      <w: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once review is costly. The continuous score contributes</w:t>
      </w:r>
      <w:r>
        <w:t xml:space="preserve"> </w:t>
      </w:r>
      <w:r>
        <w:t xml:space="preserve">nothing beyond the count at the decision resolutions a credit gate actually uses. Second, distance</w:t>
      </w:r>
      <w:r>
        <w:t xml:space="preserve"> </w:t>
      </w:r>
      <w:r>
        <w:t xml:space="preserve">to the boundary is a genuinely</w:t>
      </w:r>
      <w:r>
        <w:t xml:space="preserve"> </w:t>
      </w:r>
      <w:r>
        <w:rPr>
          <w:i/>
          <w:iCs/>
        </w:rPr>
        <w:t xml:space="preserve">different</w:t>
      </w:r>
      <w:r>
        <w:t xml:space="preserve"> </w:t>
      </w:r>
      <w:r>
        <w:t xml:space="preserve">and weaker signal (AUC</w:t>
      </w:r>
      <w:r>
        <w:t xml:space="preserve"> </w:t>
      </w:r>
      <m:oMath>
        <m:r>
          <m:t>0.763</m:t>
        </m:r>
      </m:oMath>
      <w:r>
        <w:t xml:space="preserve"> </w:t>
      </w:r>
      <w:r>
        <w:t xml:space="preserve">and</w:t>
      </w:r>
      <w:r>
        <w:t xml:space="preserve"> </w:t>
      </w:r>
      <m:oMath>
        <m:r>
          <m:t>0.655</m:t>
        </m:r>
      </m:oMath>
      <w:r>
        <w:t xml:space="preserve">), so it is</w:t>
      </w:r>
      <w:r>
        <w:t xml:space="preserve"> </w:t>
      </w:r>
      <w:r>
        <w:t xml:space="preserve">not a substitute for the dissent count. The two measure different things, which is why</w:t>
      </w:r>
      <w:r>
        <w:t xml:space="preserve"> </w:t>
      </w:r>
      <w:r>
        <w:t xml:space="preserve">Algorithm 1 (Fig. 5) uses dissent to determine referral and boundary proximity to determine priority.</w:t>
      </w:r>
    </w:p>
    <w:bookmarkStart w:id="59" w:name="net-benefit-for-triage."/>
    <w:p>
      <w:pPr>
        <w:pStyle w:val="Heading4"/>
      </w:pPr>
      <w:r>
        <w:rPr>
          <w:rStyle w:val="SectionNumber"/>
        </w:rPr>
        <w:t xml:space="preserve">4.3.0.1</w:t>
      </w:r>
      <w:r>
        <w:tab/>
      </w:r>
      <w:r>
        <w:t xml:space="preserve">Net benefit for triage.</w:t>
      </w:r>
    </w:p>
    <w:p>
      <w:pPr>
        <w:pStyle w:val="FirstParagraph"/>
      </w:pPr>
      <w:r>
        <w:t xml:space="preserve">Discrimination is not the quantity a referral desk optimizes, so we also report the decision-curve</w:t>
      </w:r>
      <w:r>
        <w:t xml:space="preserve"> </w:t>
      </w:r>
      <w:r>
        <w:t xml:space="preserve">net benefit of Vickers and Elkin (2006),</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where</w:t>
      </w:r>
      <w:r>
        <w:t xml:space="preserve"> </w:t>
      </w:r>
      <m:oMath>
        <m:sSub>
          <m:e>
            <m:r>
              <m:t>p</m:t>
            </m:r>
          </m:e>
          <m:sub>
            <m:r>
              <m:t>t</m:t>
            </m:r>
          </m:sub>
        </m:sSub>
      </m:oMath>
      <w:r>
        <w:t xml:space="preserve"> </w:t>
      </w:r>
      <w:r>
        <w:t xml:space="preserve">is the</w:t>
      </w:r>
      <w:r>
        <w:t xml:space="preserve"> </w:t>
      </w:r>
      <w:r>
        <w:t xml:space="preserve">threshold probability at which a reviewer is indifferent between referring and not referring. Each</w:t>
      </w:r>
      <w:r>
        <w:t xml:space="preserve"> </w:t>
      </w:r>
      <w:r>
        <w:t xml:space="preserve">continuous predictor is credited with the best net benefit attainable over its</w:t>
      </w:r>
      <w:r>
        <w:t xml:space="preserve"> </w:t>
      </w:r>
      <w:r>
        <w:rPr>
          <w:i/>
          <w:iCs/>
        </w:rPr>
        <w:t xml:space="preserve">own</w:t>
      </w:r>
      <w:r>
        <w:t xml:space="preserve"> </w:t>
      </w:r>
      <w:r>
        <w:t xml:space="preserve">thresholds, which is the most favourable reading available to it. Table 9 gives the</w:t>
      </w:r>
      <w:r>
        <w:t xml:space="preserve"> </w:t>
      </w:r>
      <w:r>
        <w:t xml:space="preserve">curves. Three results follow, and the first two are null.</w:t>
      </w:r>
    </w:p>
    <w:p>
      <w:pPr>
        <w:pStyle w:val="BodyText"/>
      </w:pPr>
      <w:r>
        <w:t xml:space="preserve">The index and the dissent count have</w:t>
      </w:r>
      <w:r>
        <w:t xml:space="preserve"> </w:t>
      </w:r>
      <w:r>
        <w:rPr>
          <w:i/>
          <w:iCs/>
        </w:rPr>
        <w:t xml:space="preserve">identical</w:t>
      </w:r>
      <w:r>
        <w:t xml:space="preserve"> </w:t>
      </w:r>
      <w:r>
        <w:t xml:space="preserve">net-benefit curves at every threshold</w:t>
      </w:r>
      <w:r>
        <w:t xml:space="preserve"> </w:t>
      </w:r>
      <w:r>
        <w:t xml:space="preserve">probability, to machine precision, at both resolutions where the event is non-degenerate. The</w:t>
      </w:r>
      <w:r>
        <w:t xml:space="preserve"> </w:t>
      </w:r>
      <w:r>
        <w:t xml:space="preserve">largest absolute gap is exactly</w:t>
      </w:r>
      <w:r>
        <w:t xml:space="preserve"> </w:t>
      </w:r>
      <m:oMath>
        <m:r>
          <m:t>0</m:t>
        </m:r>
      </m:oMath>
      <w:r>
        <w:t xml:space="preserve">. This is the order-isomorphism again, now in the decision metric. The two predictors’ threshold families generate the same flag sets, so no triage policy can</w:t>
      </w:r>
      <w:r>
        <w:t xml:space="preserve"> </w:t>
      </w:r>
      <w:r>
        <w:t xml:space="preserve">distinguish them. The self-consistency vote margin coincides with them as well. Distance to the</w:t>
      </w:r>
      <w:r>
        <w:t xml:space="preserve"> </w:t>
      </w:r>
      <w:r>
        <w:t xml:space="preserve">boundary is dominated, by up to</w:t>
      </w:r>
      <w:r>
        <w:t xml:space="preserve"> </w:t>
      </w:r>
      <m:oMath>
        <m:r>
          <m:t>0.156</m:t>
        </m:r>
      </m:oMath>
      <w:r>
        <w:t xml:space="preserve"> </w:t>
      </w:r>
      <w:r>
        <w:t xml:space="preserve">in net benefit. The index therefore yields no triage gain</w:t>
      </w:r>
      <w:r>
        <w:t xml:space="preserve"> </w:t>
      </w:r>
      <w:r>
        <w:t xml:space="preserve">over counting dissents, and we report this null as the answer to the question.</w:t>
      </w:r>
    </w:p>
    <w:p>
      <w:pPr>
        <w:pStyle w:val="BodyText"/>
      </w:pPr>
      <w:r>
        <w:t xml:space="preserve">Dispersion-based referral does, however, beat the two reference policies once referral is costly</w:t>
      </w:r>
      <w:r>
        <w:t xml:space="preserve"> </w:t>
      </w:r>
      <w:r>
        <w:t xml:space="preserve">enough. Because the event base rate is high (</w:t>
      </w:r>
      <m:oMath>
        <m:r>
          <m:t>0.76</m:t>
        </m:r>
      </m:oMath>
      <w:r>
        <w:t xml:space="preserve"> </w:t>
      </w:r>
      <w:r>
        <w:t xml:space="preserve">at the binary gate), referring every issuer is</w:t>
      </w:r>
      <w:r>
        <w:t xml:space="preserve"> </w:t>
      </w:r>
      <w:r>
        <w:t xml:space="preserve">already near-optimal for</w:t>
      </w:r>
      <w:r>
        <w:t xml:space="preserve"> </w:t>
      </w:r>
      <m:oMath>
        <m:sSub>
          <m:e>
            <m:r>
              <m:t>p</m:t>
            </m:r>
          </m:e>
          <m:sub>
            <m:r>
              <m:t>t</m:t>
            </m:r>
          </m:sub>
        </m:sSub>
        <m:r>
          <m:rPr>
            <m:sty m:val="p"/>
          </m:rPr>
          <m:t>≤</m:t>
        </m:r>
        <m:r>
          <m:t>0.20</m:t>
        </m:r>
      </m:oMath>
      <w:r>
        <w:t xml:space="preserve">, where the gain from any predictor is</w:t>
      </w:r>
      <w:r>
        <w:t xml:space="preserve"> </w:t>
      </w:r>
      <m:oMath>
        <m:r>
          <m:t>0</m:t>
        </m:r>
      </m:oMath>
      <w:r>
        <w:t xml:space="preserve">. From</w:t>
      </w:r>
      <w:r>
        <w:t xml:space="preserve"> </w:t>
      </w:r>
      <m:oMath>
        <m:sSub>
          <m:e>
            <m:r>
              <m:t>p</m:t>
            </m:r>
          </m:e>
          <m:sub>
            <m:r>
              <m:t>t</m:t>
            </m:r>
          </m:sub>
        </m:sSub>
        <m:r>
          <m:rPr>
            <m:sty m:val="p"/>
          </m:rPr>
          <m:t>=</m:t>
        </m:r>
        <m:r>
          <m:t>0.25</m:t>
        </m:r>
      </m:oMath>
      <w:r>
        <w:t xml:space="preserve"> </w:t>
      </w:r>
      <w:r>
        <w:t xml:space="preserve">the</w:t>
      </w:r>
      <w:r>
        <w:t xml:space="preserve"> </w:t>
      </w:r>
      <w:r>
        <w:t xml:space="preserve">dispersion predictors separate, reaching</w:t>
      </w:r>
      <w:r>
        <w:t xml:space="preserve"> </w:t>
      </w:r>
      <m:oMath>
        <m:r>
          <m:rPr>
            <m:sty m:val="p"/>
          </m:rPr>
          <m:t>+</m:t>
        </m:r>
        <m:r>
          <m:t>0.278</m:t>
        </m:r>
      </m:oMath>
      <w:r>
        <w:t xml:space="preserve"> </w:t>
      </w:r>
      <w:r>
        <w:t xml:space="preserve">over refer-all at</w:t>
      </w:r>
      <w:r>
        <w:t xml:space="preserve"> </w:t>
      </w:r>
      <m:oMath>
        <m:sSub>
          <m:e>
            <m:r>
              <m:t>p</m:t>
            </m:r>
          </m:e>
          <m:sub>
            <m:r>
              <m:t>t</m:t>
            </m:r>
          </m:sub>
        </m:sSub>
        <m:r>
          <m:rPr>
            <m:sty m:val="p"/>
          </m:rPr>
          <m:t>=</m:t>
        </m:r>
        <m:r>
          <m:t>0.60</m:t>
        </m:r>
      </m:oMath>
      <w:r>
        <w:t xml:space="preserve">. The useful knob there</w:t>
      </w:r>
      <w:r>
        <w:t xml:space="preserve"> </w:t>
      </w:r>
      <w:r>
        <w:t xml:space="preserve">is the</w:t>
      </w:r>
      <w:r>
        <w:t xml:space="preserve"> </w:t>
      </w:r>
      <w:r>
        <w:rPr>
          <w:i/>
          <w:iCs/>
        </w:rPr>
        <w:t xml:space="preserve">number</w:t>
      </w:r>
      <w:r>
        <w:t xml:space="preserve"> </w:t>
      </w:r>
      <w:r>
        <w:t xml:space="preserve">of dissenting elicitations rather than the continuous score. The fixed</w:t>
      </w:r>
      <w:r>
        <w:t xml:space="preserve"> </w:t>
      </w:r>
      <w:r>
        <w:t xml:space="preserve">“refer on</w:t>
      </w:r>
      <w:r>
        <w:t xml:space="preserve"> </w:t>
      </w:r>
      <w:r>
        <w:t xml:space="preserve">any disagreement”</w:t>
      </w:r>
      <w:r>
        <w:t xml:space="preserve"> </w:t>
      </w:r>
      <w:r>
        <w:t xml:space="preserve">rule falls short of the attainable envelope by up to</w:t>
      </w:r>
      <w:r>
        <w:t xml:space="preserve"> </w:t>
      </w:r>
      <m:oMath>
        <m:r>
          <m:t>0.167</m:t>
        </m:r>
      </m:oMath>
      <w:r>
        <w:t xml:space="preserve">, because for</w:t>
      </w:r>
      <w:r>
        <w:t xml:space="preserve"> </w:t>
      </w:r>
      <m:oMath>
        <m:sSub>
          <m:e>
            <m:r>
              <m:t>p</m:t>
            </m:r>
          </m:e>
          <m:sub>
            <m:r>
              <m:t>t</m:t>
            </m:r>
          </m:sub>
        </m:sSub>
        <m:r>
          <m:rPr>
            <m:sty m:val="p"/>
          </m:rPr>
          <m:t>&gt;</m:t>
        </m:r>
        <m:r>
          <m:t>0.30</m:t>
        </m:r>
      </m:oMath>
      <w:r>
        <w:t xml:space="preserve"> </w:t>
      </w:r>
      <w: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t xml:space="preserve">, chosen according to review cost and capacity, rather than a cutoff on the continuous</w:t>
      </w:r>
      <w:r>
        <w:t xml:space="preserve"> </w:t>
      </w:r>
      <m:oMath>
        <m:r>
          <m:rPr>
            <m:sty m:val="p"/>
          </m:rPr>
          <m:t>S</m:t>
        </m:r>
        <m:r>
          <m:rPr>
            <m:sty m:val="p"/>
          </m:rPr>
          <m:t>I</m:t>
        </m:r>
        <m:r>
          <m:rPr>
            <m:sty m:val="p"/>
          </m:rPr>
          <m:t>S</m:t>
        </m:r>
      </m:oMath>
      <w:r>
        <w:t xml:space="preserve">.</w:t>
      </w:r>
    </w:p>
    <w:bookmarkStart w:id="58" w:name="tab:sisdca"/>
    <w:p>
      <w:pPr>
        <w:pStyle w:val="TableCaption"/>
      </w:pPr>
      <w:r>
        <w:t xml:space="preserve">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t xml:space="preserve">Strategy (IG/HY resolution)</w:t>
            </w:r>
          </w:p>
        </w:tc>
        <w:tc>
          <w:tcPr/>
          <w:p>
            <w:pPr>
              <w:pStyle w:val="Compact"/>
              <w:jc w:val="center"/>
            </w:pPr>
            <w:r>
              <w:t xml:space="preserve">0.10</w:t>
            </w:r>
          </w:p>
        </w:tc>
        <w:tc>
          <w:tcPr/>
          <w:p>
            <w:pPr>
              <w:pStyle w:val="Compact"/>
              <w:jc w:val="center"/>
            </w:pPr>
            <w:r>
              <w:t xml:space="preserve">0.20</w:t>
            </w:r>
          </w:p>
        </w:tc>
        <w:tc>
          <w:tcPr/>
          <w:p>
            <w:pPr>
              <w:pStyle w:val="Compact"/>
              <w:jc w:val="center"/>
            </w:pPr>
            <w:r>
              <w:t xml:space="preserve">0.30</w:t>
            </w:r>
          </w:p>
        </w:tc>
        <w:tc>
          <w:tcPr/>
          <w:p>
            <w:pPr>
              <w:pStyle w:val="Compact"/>
              <w:jc w:val="center"/>
            </w:pPr>
            <w:r>
              <w:t xml:space="preserve">0.45</w:t>
            </w:r>
          </w:p>
        </w:tc>
        <w:tc>
          <w:tcPr/>
          <w:p>
            <w:pPr>
              <w:pStyle w:val="Compact"/>
              <w:jc w:val="center"/>
            </w:pPr>
            <w: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 returns. The 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 means. Dollar 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t xml:space="preserve">times, and the modal rating and dissent count are recorded. Issuers</w:t>
      </w:r>
      <w:r>
        <w:t xml:space="preserve"> </w:t>
      </w:r>
      <w: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w:t>
      </w:r>
      <w:r>
        <w:t xml:space="preserve"> </w:t>
      </w:r>
      <w:r>
        <w:t xml:space="preserve">prioritized by proximity of the modal letter rating to the BBB</w:t>
      </w:r>
      <m:oMath>
        <m:r>
          <m:rPr>
            <m:sty m:val="p"/>
          </m:rPr>
          <m:t>−</m:t>
        </m:r>
      </m:oMath>
      <w:r>
        <w:t xml:space="preserve">/BB</w:t>
      </w:r>
      <m:oMath>
        <m:r>
          <m:rPr>
            <m:sty m:val="p"/>
          </m:rPr>
          <m:t>+</m:t>
        </m:r>
      </m:oMath>
      <w:r>
        <w:t xml:space="preserve"> </w:t>
      </w:r>
      <w:r>
        <w:t xml:space="preserve">cut. Issuers below the</w:t>
      </w:r>
      <w:r>
        <w:t xml:space="preserve"> </w:t>
      </w:r>
      <w:r>
        <w:t xml:space="preserve">dissent threshold pass through. This yields an auditable review rule, a</w:t>
      </w:r>
      <w:r>
        <w:t xml:space="preserve"> </w:t>
      </w:r>
      <w:r>
        <w:t xml:space="preserve">governance trigger that scales with the rating pipeline and speaks to 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Under the fitted models the elicitation axes jointly explain</w:t>
      </w:r>
      <w:r>
        <w:t xml:space="preserve"> </w:t>
      </w:r>
      <m:oMath>
        <m:sSup>
          <m:e>
            <m:r>
              <m:t>R</m:t>
            </m:r>
          </m:e>
          <m:sup>
            <m:r>
              <m:t>2</m:t>
            </m:r>
          </m:sup>
        </m:sSup>
        <m:r>
          <m:rPr>
            <m:sty m:val="p"/>
          </m:rPr>
          <m:t>=</m:t>
        </m:r>
        <m:r>
          <m:t>0.083</m:t>
        </m:r>
      </m:oMath>
      <w:r>
        <w:t xml:space="preserve">–</w:t>
      </w:r>
      <m:oMath>
        <m:r>
          <m:t>0.119</m:t>
        </m:r>
      </m:oMath>
      <w:r>
        <w:t xml:space="preserve"> </w:t>
      </w:r>
      <w:r>
        <w:t xml:space="preserve">of rating</w:t>
      </w:r>
      <w:r>
        <w:t xml:space="preserve"> </w:t>
      </w:r>
      <w:r>
        <w:t xml:space="preserve">variation, and the design does not identify how that share should be attributed to individual axes.</w:t>
      </w:r>
      <w:r>
        <w:t xml:space="preserve"> </w:t>
      </w:r>
      <w:r>
        <w:t xml:space="preserve">Of the</w:t>
      </w:r>
      <w:r>
        <w:t xml:space="preserve"> </w:t>
      </w:r>
      <m:oMath>
        <m:r>
          <m:rPr>
            <m:sty m:val="p"/>
          </m:rPr>
          <m:t>∼</m:t>
        </m:r>
      </m:oMath>
      <w:r>
        <w:t xml:space="preserve">25% OLS residual, only about 8% is pure run-to-run seed variation, and the rest is</w:t>
      </w:r>
      <w:r>
        <w:t xml:space="preserve"> </w:t>
      </w:r>
      <w:r>
        <w:t xml:space="preserve">not identified as to source under this resolution-limited design and is reported descriptively. The headline stability conclusions do not depend on this decomposition.</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 designed. A fixed configuration selects one point on the specification</w:t>
      </w:r>
      <w:r>
        <w:t xml:space="preserve"> </w:t>
      </w:r>
      <w:r>
        <w:t xml:space="preserve">curve and may not generalize to other defensible configurations (Section 6.2).</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 clean, because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 check. Its 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 can reduce exact-figure recognition,</w:t>
      </w:r>
      <w:r>
        <w:t xml:space="preserve"> </w:t>
      </w:r>
      <w:r>
        <w:t xml:space="preserve">but Section 3.7 shows it is not sufficient to establish decontamination. A</w:t>
      </w:r>
      <w:r>
        <w:t xml:space="preserve"> </w:t>
      </w:r>
      <w:r>
        <w:t xml:space="preserve">ratio-preserving perturbation leaves the ratio pattern intact, and ratio-pattern identification must</w:t>
      </w:r>
      <w:r>
        <w:t xml:space="preserve"> </w:t>
      </w:r>
      <w:r>
        <w:t xml:space="preserve">therefore be assessed separately before an evaluation on public financial entities is treated as</w:t>
      </w:r>
      <w:r>
        <w:t xml:space="preserve"> </w:t>
      </w:r>
      <w: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 matter. The 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 is an illustrative descriptive real-issuer check and 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aliased with two-factor interactions. The overlap is substantial and precisely characterised: the</w:t>
      </w:r>
      <w:r>
        <w:t xml:space="preserve"> </w:t>
      </w:r>
      <w:r>
        <w:t xml:space="preserve">main-effect and two-factor-interaction subspaces have a four-dimensional exact intersection, so some</w:t>
      </w:r>
      <w:r>
        <w:t xml:space="preserve"> </w:t>
      </w:r>
      <w:r>
        <w:t xml:space="preserve">linear combination of main effects coincides exactly with a combination of interactions, while no</w:t>
      </w:r>
      <w:r>
        <w:t xml:space="preserve"> </w:t>
      </w:r>
      <w:r>
        <w:t xml:space="preserve">individual axis contrast is itself exactly confounded, each lying in the interaction span with</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t>
      </w:r>
      <w:r>
        <w:t xml:space="preserve">(Section 6.2).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Perturbation plus exact-figure fingerprint screening can reduce exact-number recognition but is insufficient to establish decontamination, and ratio-pattern identification must also be assessed. 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t xml:space="preserve">illustrated, descriptively only, by the perturbed real-firm arm, which</w:t>
      </w:r>
      <w:r>
        <w:t xml:space="preserve"> </w:t>
      </w:r>
      <w:r>
        <w:t xml:space="preserve">Section 3.7 shows is not decontaminated enough to support an external-validity</w:t>
      </w:r>
      <w:r>
        <w:t xml:space="preserve"> </w:t>
      </w:r>
      <w: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t xml:space="preserve">, meaning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 real-firm sample for a complementary illustrative descriptive real-issuer 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 profiles. The 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 reference (Altman, 2005; Altman and Hotchkiss, 2006), computed with the private non-manufacturing 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 advance. The analyzed two-provider design comprises 32 specifications, each evaluated over 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 divide as four on the credit-health</w:t>
      </w:r>
      <w:r>
        <w:t xml:space="preserve"> </w:t>
      </w:r>
      <w:r>
        <w:t xml:space="preserve">profiles and three on the directional items, so the credit-rating analyses in this paper run on</w:t>
      </w:r>
      <w:r>
        <w:t xml:space="preserve"> </w:t>
      </w:r>
      <m:oMath>
        <m:r>
          <m:t>4</m:t>
        </m:r>
        <m:r>
          <m:rPr>
            <m:sty m:val="p"/>
          </m:rPr>
          <m:t>,</m:t>
        </m:r>
        <m:r>
          <m:t>316</m:t>
        </m:r>
      </m:oMath>
      <w:r>
        <w:t xml:space="preserve"> </w:t>
      </w:r>
      <w:r>
        <w:t xml:space="preserve">of the</w:t>
      </w:r>
      <w:r>
        <w:t xml:space="preserve"> </w:t>
      </w:r>
      <m:oMath>
        <m:r>
          <m:t>4</m:t>
        </m:r>
        <m:r>
          <m:rPr>
            <m:sty m:val="p"/>
          </m:rPr>
          <m:t>,</m:t>
        </m:r>
        <m:r>
          <m:t>320</m:t>
        </m:r>
      </m:oMath>
      <w:r>
        <w:t xml:space="preserve"> </w:t>
      </w:r>
      <w:r>
        <w:t xml:space="preserve">designed cells. The four absent cells are all on specification S23 and</w:t>
      </w:r>
      <w:r>
        <w:t xml:space="preserve"> </w:t>
      </w:r>
      <w:r>
        <w:t xml:space="preserve">each is short one of three seeds. They were not re-collected, because the corpus is frozen and</w:t>
      </w:r>
      <w:r>
        <w:t xml:space="preserve"> </w:t>
      </w:r>
      <w:r>
        <w:t xml:space="preserve">re-querying after the fact would break that. Where this paper reports</w:t>
      </w:r>
      <w:r>
        <w:t xml:space="preserve"> </w:t>
      </w:r>
      <m:oMath>
        <m:r>
          <m:t>4</m:t>
        </m:r>
        <m:r>
          <m:rPr>
            <m:sty m:val="p"/>
          </m:rPr>
          <m:t>,</m:t>
        </m:r>
        <m:r>
          <m:t>320</m:t>
        </m:r>
      </m:oMath>
      <w:r>
        <w:t xml:space="preserve"> </w:t>
      </w:r>
      <w:r>
        <w:t xml:space="preserve">it is describing the</w:t>
      </w:r>
      <w:r>
        <w:t xml:space="preserve"> </w:t>
      </w:r>
      <w:r>
        <w:t xml:space="preserve">design. Every statistic is computed on the</w:t>
      </w:r>
      <w:r>
        <w:t xml:space="preserve"> </w:t>
      </w:r>
      <m:oMath>
        <m:r>
          <m:t>4</m:t>
        </m:r>
        <m:r>
          <m:rPr>
            <m:sty m:val="p"/>
          </m:rPr>
          <m:t>,</m:t>
        </m:r>
        <m:r>
          <m:t>316</m:t>
        </m:r>
      </m:oMath>
      <w:r>
        <w:t xml:space="preserve">. The non-substantive cells are dropped</w:t>
      </w:r>
      <w:r>
        <w:t xml:space="preserve"> </w:t>
      </w:r>
      <w:r>
        <w:t xml:space="preserve">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 2026). The two flagship snapshots in the later robustness run (August 2026), 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 thereafter. Aliases 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t xml:space="preserve">What the design identifies.</w:t>
      </w:r>
    </w:p>
    <w:p>
      <w:pPr>
        <w:pStyle w:val="FirstParagraph"/>
      </w:pPr>
      <w:r>
        <w:t xml:space="preserve">Write the effect-coded main-effects model as</w:t>
      </w:r>
      <w:r>
        <w:t xml:space="preserve"> </w:t>
      </w:r>
      <m:oMath>
        <m:r>
          <m:t>y</m:t>
        </m:r>
        <m:r>
          <m:rPr>
            <m:sty m:val="p"/>
          </m:rPr>
          <m:t>=</m:t>
        </m:r>
        <m:r>
          <m:t>X</m:t>
        </m:r>
        <m:r>
          <m:t>β</m:t>
        </m:r>
        <m:r>
          <m:rPr>
            <m:sty m:val="p"/>
          </m:rPr>
          <m:t>+</m:t>
        </m:r>
        <m:r>
          <m:t>ε</m:t>
        </m:r>
      </m:oMath>
      <w:r>
        <w:t xml:space="preserve"> </w:t>
      </w:r>
      <w:r>
        <w:t xml:space="preserve">and let</w:t>
      </w:r>
      <w:r>
        <w:t xml:space="preserve"> </w:t>
      </w:r>
      <m:oMath>
        <m:r>
          <m:t>Z</m:t>
        </m:r>
      </m:oMath>
      <w:r>
        <w:t xml:space="preserve"> </w:t>
      </w:r>
      <w: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t xml:space="preserve">, so the bias in any main</w:t>
      </w:r>
      <w:r>
        <w:t xml:space="preserve"> </w:t>
      </w:r>
      <w:r>
        <w:t xml:space="preserve">effect</w:t>
      </w:r>
      <w:r>
        <w:t xml:space="preserve"> </w:t>
      </w:r>
      <m:oMath>
        <m:r>
          <m:t>j</m:t>
        </m:r>
      </m:oMath>
      <w:r>
        <w:t xml:space="preserve"> </w:t>
      </w:r>
      <w: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t xml:space="preserve">. On the</w:t>
      </w:r>
      <w:r>
        <w:t xml:space="preserve"> </w:t>
      </w:r>
      <w:r>
        <w:t xml:space="preserve">32-specification confirmatory design there are</w:t>
      </w:r>
      <w:r>
        <w:t xml:space="preserve"> </w:t>
      </w:r>
      <m:oMath>
        <m:r>
          <m:t>27</m:t>
        </m:r>
      </m:oMath>
      <w:r>
        <w:t xml:space="preserve"> </w:t>
      </w:r>
      <w:r>
        <w:t xml:space="preserve">such interaction contrasts and the alias norms</w:t>
      </w:r>
      <w:r>
        <w:t xml:space="preserve"> </w:t>
      </w:r>
      <w:r>
        <w:t xml:space="preserve">are substantial:</w:t>
      </w:r>
      <w:r>
        <w:t xml:space="preserve"> </w:t>
      </w:r>
      <m:oMath>
        <m:sSub>
          <m:e>
            <m:d>
              <m:dPr>
                <m:begChr m:val="‖"/>
                <m:sepChr m:val=""/>
                <m:endChr m:val="‖"/>
                <m:grow/>
              </m:dPr>
              <m:e>
                <m:sSub>
                  <m:e>
                    <m:r>
                      <m:t>a</m:t>
                    </m:r>
                  </m:e>
                  <m:sub>
                    <m:r>
                      <m:t>j</m:t>
                    </m:r>
                  </m:sub>
                </m:sSub>
              </m:e>
            </m:d>
          </m:e>
          <m:sub>
            <m:r>
              <m:t>2</m:t>
            </m:r>
          </m:sub>
        </m:sSub>
      </m:oMath>
      <w:r>
        <w:t xml:space="preserve"> </w:t>
      </w:r>
      <w:r>
        <w:t xml:space="preserve">ranges from</w:t>
      </w:r>
      <w:r>
        <w:t xml:space="preserve"> </w:t>
      </w:r>
      <m:oMath>
        <m:r>
          <m:t>0.68</m:t>
        </m:r>
      </m:oMath>
      <w:r>
        <w:t xml:space="preserve"> </w:t>
      </w:r>
      <w:r>
        <w:t xml:space="preserve">to</w:t>
      </w:r>
      <w:r>
        <w:t xml:space="preserve"> </w:t>
      </w:r>
      <m:oMath>
        <m:r>
          <m:t>1.04</m:t>
        </m:r>
      </m:oMath>
      <w:r>
        <w:t xml:space="preserve"> </w:t>
      </w:r>
      <w:r>
        <w:t xml:space="preserve">across the eight main-effect</w:t>
      </w:r>
      <w:r>
        <w:t xml:space="preserve"> </w:t>
      </w:r>
      <w:r>
        <w:t xml:space="preserve">contrasts, and for answer presentation it is</w:t>
      </w:r>
      <w:r>
        <w:t xml:space="preserve"> </w:t>
      </w:r>
      <m:oMath>
        <m:r>
          <m:t>0.878</m:t>
        </m:r>
      </m:oMath>
      <w:r>
        <w:t xml:space="preserve">, its largest single partner being the</w:t>
      </w:r>
      <w:r>
        <w:t xml:space="preserve"> </w:t>
      </w:r>
      <w:r>
        <w:t xml:space="preserve">version-by-few-shot interaction at</w:t>
      </w:r>
      <w:r>
        <w:t xml:space="preserve"> </w:t>
      </w:r>
      <m:oMath>
        <m:r>
          <m:rPr>
            <m:sty m:val="p"/>
          </m:rPr>
          <m:t>|</m:t>
        </m:r>
        <m:r>
          <m:t>a</m:t>
        </m:r>
        <m:r>
          <m:rPr>
            <m:sty m:val="p"/>
          </m:rPr>
          <m:t>|</m:t>
        </m:r>
        <m:r>
          <m:rPr>
            <m:sty m:val="p"/>
          </m:rPr>
          <m:t>=</m:t>
        </m:r>
        <m:r>
          <m:t>0.484</m:t>
        </m:r>
      </m:oMath>
      <w:r>
        <w:t xml:space="preserve">.</w:t>
      </w:r>
      <w:r>
        <w:t xml:space="preserve"> </w:t>
      </w:r>
      <w:r>
        <w:rPr>
          <w:b/>
          <w:bCs/>
        </w:rPr>
        <w:t xml:space="preserve">No finite bound on a per-axis share</w:t>
      </w:r>
      <w:r>
        <w:rPr>
          <w:b/>
          <w:bCs/>
        </w:rPr>
        <w:t xml:space="preserve"> </w:t>
      </w:r>
      <w:r>
        <w:rPr>
          <w:b/>
          <w:bCs/>
        </w:rPr>
        <w:t xml:space="preserve">therefore follows from the design alone</w:t>
      </w:r>
      <w:r>
        <w:t xml:space="preserve">. The inequality is informative only once an external</w:t>
      </w:r>
      <w:r>
        <w:t xml:space="preserve"> </w:t>
      </w:r>
      <w:r>
        <w:t xml:space="preserve">constraint is placed on</w:t>
      </w:r>
      <w:r>
        <w:t xml:space="preserve"> </w:t>
      </w:r>
      <m:oMath>
        <m:d>
          <m:dPr>
            <m:begChr m:val="‖"/>
            <m:sepChr m:val=""/>
            <m:endChr m:val="‖"/>
            <m:grow/>
          </m:dPr>
          <m:e>
            <m:r>
              <m:t>γ</m:t>
            </m:r>
          </m:e>
        </m:d>
      </m:oMath>
      <w: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t xml:space="preserve">for presentation, omitted interactions jointly no larger than the</w:t>
      </w:r>
      <w:r>
        <w:t xml:space="preserve"> </w:t>
      </w:r>
      <w:r>
        <w:t xml:space="preserve">largest estimable main effect would suffice to move that axis’s apparent share by about as much as</w:t>
      </w:r>
      <w:r>
        <w:t xml:space="preserve"> </w:t>
      </w:r>
      <w:r>
        <w:t xml:space="preserve">the share itself, which is why we report no per-axis ranking.</w:t>
      </w:r>
    </w:p>
    <w:p>
      <w:pPr>
        <w:pStyle w:val="BodyText"/>
      </w:pPr>
      <w:r>
        <w:t xml:space="preserve">Both the alias norms and the pairwise column correlations depend on a coding convention, since effect coding is not invariant to which level is taken as the reference. We therefore add a diagnostic that is invariant to any non-singular</w:t>
      </w:r>
      <w:r>
        <w:t xml:space="preserve"> </w:t>
      </w:r>
      <w:r>
        <w:t xml:space="preserve">re-parameterisation within either subspace. The canonical correlations between the centred</w:t>
      </w:r>
      <w:r>
        <w:t xml:space="preserve"> </w:t>
      </w:r>
      <w:r>
        <w:t xml:space="preserve">main-effect subspace and the centred two-factor-interaction subspace. On the analysed design the</w:t>
      </w:r>
      <w:r>
        <w:t xml:space="preserve"> </w:t>
      </w:r>
      <w:r>
        <w:t xml:space="preserve">largest is</w:t>
      </w:r>
      <w:r>
        <w:t xml:space="preserve"> </w:t>
      </w:r>
      <m:oMath>
        <m:r>
          <m:t>1.000</m:t>
        </m:r>
      </m:oMath>
      <w:r>
        <w:t xml:space="preserve"> </w:t>
      </w:r>
      <w:r>
        <w:t xml:space="preserve">and</w:t>
      </w:r>
      <w:r>
        <w:t xml:space="preserve"> </w:t>
      </w:r>
      <m:oMath>
        <m:r>
          <m:t>6</m:t>
        </m:r>
      </m:oMath>
      <w:r>
        <w:t xml:space="preserve"> </w:t>
      </w:r>
      <w:r>
        <w:t xml:space="preserve">of</w:t>
      </w:r>
      <w:r>
        <w:t xml:space="preserve"> </w:t>
      </w:r>
      <m:oMath>
        <m:r>
          <m:t>8</m:t>
        </m:r>
      </m:oMath>
      <w:r>
        <w:t xml:space="preserve"> </w:t>
      </w:r>
      <w:r>
        <w:t xml:space="preserve">exceed</w:t>
      </w:r>
      <w:r>
        <w:t xml:space="preserve"> </w:t>
      </w:r>
      <m:oMath>
        <m:r>
          <m:t>0.9</m:t>
        </m:r>
      </m:oMath>
      <w:r>
        <w:t xml:space="preserve">. A value of one means that some linear combination</w:t>
      </w:r>
      <w:r>
        <w:t xml:space="preserve"> </w:t>
      </w:r>
      <w:r>
        <w:t xml:space="preserve">of main effects coincides</w:t>
      </w:r>
      <w:r>
        <w:t xml:space="preserve"> </w:t>
      </w:r>
      <w:r>
        <w:rPr>
          <w:i/>
          <w:iCs/>
        </w:rPr>
        <w:t xml:space="preserve">exactly</w:t>
      </w:r>
      <w:r>
        <w:t xml:space="preserve"> </w:t>
      </w:r>
      <w: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t xml:space="preserve">has rank</w:t>
      </w:r>
      <w:r>
        <w:t xml:space="preserve"> </w:t>
      </w:r>
      <m:oMath>
        <m:r>
          <m:t>31</m:t>
        </m:r>
      </m:oMath>
      <w:r>
        <w:t xml:space="preserve"> </w:t>
      </w:r>
      <w:r>
        <w:t xml:space="preserve">rather than</w:t>
      </w:r>
      <w:r>
        <w:t xml:space="preserve"> </w:t>
      </w:r>
      <m:oMath>
        <m:r>
          <m:t>35</m:t>
        </m:r>
      </m:oMath>
      <w:r>
        <w:t xml:space="preserve">, so the two subspaces</w:t>
      </w:r>
      <w:r>
        <w:t xml:space="preserve"> </w:t>
      </w:r>
      <w:r>
        <w:t xml:space="preserve">intersect in</w:t>
      </w:r>
      <w:r>
        <w:t xml:space="preserve"> </w:t>
      </w:r>
      <m:oMath>
        <m:r>
          <m:t>4</m:t>
        </m:r>
      </m:oMath>
      <w:r>
        <w:t xml:space="preserve"> </w:t>
      </w:r>
      <w:r>
        <w:t xml:space="preserve">dimensions. We state the implication precisely, because the distinction matters.</w:t>
      </w:r>
      <w:r>
        <w:t xml:space="preserve"> </w:t>
      </w:r>
      <w:r>
        <w:t xml:space="preserve">It is</w:t>
      </w:r>
      <w:r>
        <w:t xml:space="preserve"> </w:t>
      </w:r>
      <w:r>
        <w:rPr>
          <w:i/>
          <w:iCs/>
        </w:rPr>
        <w:t xml:space="preserve">not</w:t>
      </w:r>
      <w:r>
        <w:t xml:space="preserve"> </w:t>
      </w:r>
      <w:r>
        <w:t xml:space="preserve">the case that any single axis contrast is exactly confounded. Regressing each</w:t>
      </w:r>
      <w:r>
        <w:t xml:space="preserve"> </w:t>
      </w:r>
      <w:r>
        <w:t xml:space="preserve">main-effect contrast on the full interaction span gives</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What is</w:t>
      </w:r>
      <w:r>
        <w:t xml:space="preserve"> </w:t>
      </w:r>
      <w:r>
        <w:t xml:space="preserve">exactly confounded is a combination. That is sufficient for non-identification of the individual</w:t>
      </w:r>
      <w:r>
        <w:t xml:space="preserve"> </w:t>
      </w:r>
      <w:r>
        <w:t xml:space="preserve">shares, and it cannot be dismissed as an artifact of how the contrasts were coded.</w:t>
      </w:r>
    </w:p>
    <w:p>
      <w:pPr>
        <w:pStyle w:val="BodyText"/>
      </w:pPr>
      <w:r>
        <w:t xml:space="preserve">The provider-by-item interaction is in a different position and is identified up to a</w:t>
      </w:r>
      <w:r>
        <w:t xml:space="preserve"> </w:t>
      </w:r>
      <w:r>
        <w:t xml:space="preserve">numerically negligible imbalance. Items are fully crossed with specifications: in the analysed arm</w:t>
      </w:r>
      <w:r>
        <w:t xml:space="preserve"> </w:t>
      </w:r>
      <w:r>
        <w:t xml:space="preserve">all</w:t>
      </w:r>
      <w:r>
        <w:t xml:space="preserve"> </w:t>
      </w:r>
      <m:oMath>
        <m:r>
          <m:t>45</m:t>
        </m:r>
        <m:r>
          <m:rPr>
            <m:sty m:val="p"/>
          </m:rPr>
          <m:t>×</m:t>
        </m:r>
        <m:r>
          <m:t>32</m:t>
        </m:r>
        <m:r>
          <m:rPr>
            <m:sty m:val="p"/>
          </m:rPr>
          <m:t>=</m:t>
        </m:r>
        <m:r>
          <m:t>1</m:t>
        </m:r>
        <m:r>
          <m:rPr>
            <m:sty m:val="p"/>
          </m:rPr>
          <m:t>,</m:t>
        </m:r>
        <m:r>
          <m:t>440</m:t>
        </m:r>
      </m:oMath>
      <w:r>
        <w:t xml:space="preserve"> </w:t>
      </w:r>
      <w:r>
        <w:t xml:space="preserve">item</w:t>
      </w:r>
      <m:oMath>
        <m:r>
          <m:rPr>
            <m:sty m:val="p"/>
          </m:rPr>
          <m:t>×</m:t>
        </m:r>
      </m:oMath>
      <w:r>
        <w:t xml:space="preserve">specification cells are populated,</w:t>
      </w:r>
      <w:r>
        <w:t xml:space="preserve"> </w:t>
      </w:r>
      <m:oMath>
        <m:r>
          <m:t>1436</m:t>
        </m:r>
      </m:oMath>
      <w:r>
        <w:t xml:space="preserve"> </w:t>
      </w:r>
      <w:r>
        <w:t xml:space="preserve">of them with the full</w:t>
      </w:r>
      <w:r>
        <w:t xml:space="preserve"> </w:t>
      </w:r>
      <w:r>
        <w:t xml:space="preserve">three seeds and</w:t>
      </w:r>
      <w:r>
        <w:t xml:space="preserve"> </w:t>
      </w:r>
      <m:oMath>
        <m:r>
          <m:t>4</m:t>
        </m:r>
      </m:oMath>
      <w:r>
        <w:t xml:space="preserve"> </w:t>
      </w:r>
      <w:r>
        <w:t xml:space="preserve">with two. Because no specification-axis contrast involves the item factor,</w:t>
      </w:r>
      <w:r>
        <w:t xml:space="preserve"> </w:t>
      </w:r>
      <w:r>
        <w:t xml:space="preserve">crossing makes the provider-by-item contrasts orthogonal to every specification main effect and</w:t>
      </w:r>
      <w:r>
        <w:t xml:space="preserve"> </w:t>
      </w:r>
      <w:r>
        <w:t xml:space="preserve">two-factor interaction up to that imbalance. The largest absolute correlation realised is</w:t>
      </w:r>
      <w:r>
        <w:t xml:space="preserve"> </w:t>
      </w:r>
      <m:oMath>
        <m:r>
          <m:t>0.0018</m:t>
        </m:r>
      </m:oMath>
      <w:r>
        <w:t xml:space="preserve"> </w:t>
      </w:r>
      <w:r>
        <w:t xml:space="preserve">against the main effects and</w:t>
      </w:r>
      <w:r>
        <w:t xml:space="preserve"> </w:t>
      </w:r>
      <m:oMath>
        <m:r>
          <m:t>0.0022</m:t>
        </m:r>
      </m:oMath>
      <w:r>
        <w:t xml:space="preserve"> </w:t>
      </w:r>
      <w:r>
        <w:t xml:space="preserve">against the interactions. We therefore report this share</w:t>
      </w:r>
      <w:r>
        <w:t xml:space="preserve"> </w:t>
      </w:r>
      <w:r>
        <w:t xml:space="preserve">without an assumption about</w:t>
      </w:r>
      <w:r>
        <w:t xml:space="preserve"> </w:t>
      </w:r>
      <m:oMath>
        <m:r>
          <m:t>γ</m:t>
        </m:r>
      </m:oMath>
      <w:r>
        <w:t xml:space="preserve">, while noting that the orthogonality is numerical rather than</w:t>
      </w:r>
      <w:r>
        <w:t xml:space="preserve"> </w:t>
      </w:r>
      <w: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t xml:space="preserve">Matched-pair disagreement: sampling convention.</w:t>
      </w:r>
    </w:p>
    <w:p>
      <w:pPr>
        <w:pStyle w:val="FirstParagraph"/>
      </w:pPr>
      <w:r>
        <w:t xml:space="preserve">Every reported</w:t>
      </w:r>
      <w:r>
        <w:t xml:space="preserve"> </w:t>
      </w:r>
      <w:r>
        <w:t xml:space="preserve">“matched-pair”</w:t>
      </w:r>
      <w:r>
        <w:t xml:space="preserve"> </w:t>
      </w:r>
      <w:r>
        <w:t xml:space="preserve">flip</w:t>
      </w:r>
      <w:r>
        <w:t xml:space="preserve"> </w:t>
      </w:r>
      <w: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t xml:space="preserve">, where</w:t>
      </w:r>
      <w:r>
        <w:t xml:space="preserve"> </w:t>
      </w:r>
      <m:oMath>
        <m:sSub>
          <m:e>
            <m:r>
              <m:t>p</m:t>
            </m:r>
          </m:e>
          <m:sub>
            <m:r>
              <m:t>c</m:t>
            </m:r>
          </m:sub>
        </m:sSub>
      </m:oMath>
      <w:r>
        <w:t xml:space="preserve"> </w:t>
      </w:r>
      <w:r>
        <w:t xml:space="preserve">is the share of that item’s elicitations falling in class</w:t>
      </w:r>
      <w:r>
        <w:t xml:space="preserve"> </w:t>
      </w:r>
      <m:oMath>
        <m:r>
          <m:t>c</m:t>
        </m:r>
      </m:oMath>
      <w:r>
        <w:t xml:space="preserve">. This is</w:t>
      </w:r>
      <w:r>
        <w:t xml:space="preserve"> </w:t>
      </w:r>
      <w:r>
        <w:t xml:space="preserve">exactly the probability that</w:t>
      </w:r>
      <w:r>
        <w:t xml:space="preserve"> </w:t>
      </w:r>
      <w:r>
        <w:rPr>
          <w:i/>
          <w:iCs/>
        </w:rPr>
        <w:t xml:space="preserve">two draws taken independently and with replacement</w:t>
      </w:r>
      <w:r>
        <w:t xml:space="preserve"> </w:t>
      </w:r>
      <w:r>
        <w:t xml:space="preserve">from the</w:t>
      </w:r>
      <w:r>
        <w:t xml:space="preserve"> </w:t>
      </w:r>
      <w:r>
        <w:t xml:space="preserve">item’s elicitation set fall in different classes. Three properties follow and are stated explicitly</w:t>
      </w:r>
      <w:r>
        <w:t xml:space="preserve"> </w:t>
      </w:r>
      <w:r>
        <w:t xml:space="preserve">because they determine reproducibility. First, the two draws are taken</w:t>
      </w:r>
      <w:r>
        <w:t xml:space="preserve"> </w:t>
      </w:r>
      <w:r>
        <w:rPr>
          <w:i/>
          <w:iCs/>
        </w:rPr>
        <w:t xml:space="preserve">with</w:t>
      </w:r>
      <w:r>
        <w:t xml:space="preserve"> </w:t>
      </w:r>
      <w:r>
        <w:t xml:space="preserve">replacement, so</w:t>
      </w:r>
      <w:r>
        <w:t xml:space="preserve"> </w:t>
      </w:r>
      <w:r>
        <w:t xml:space="preserve">they may select the same elicitation cell. Such a pair trivially agrees and contributes to the</w:t>
      </w:r>
      <w:r>
        <w:t xml:space="preserve"> </w:t>
      </w:r>
      <w:r>
        <w:t xml:space="preserve">agreement mass. Second, the draws are taken from the item’s</w:t>
      </w:r>
      <w:r>
        <w:t xml:space="preserve"> </w:t>
      </w:r>
      <w:r>
        <w:rPr>
          <w:i/>
          <w:iCs/>
        </w:rPr>
        <w:t xml:space="preserve">pooled</w:t>
      </w:r>
      <w:r>
        <w:t xml:space="preserve"> </w:t>
      </w:r>
      <w:r>
        <w:t xml:space="preserve">elicitations, so a pair</w:t>
      </w:r>
      <w:r>
        <w:t xml:space="preserve"> </w:t>
      </w:r>
      <w:r>
        <w:t xml:space="preserve">may differ in specification, in seed, or in both. The statistic is not conditioned on holding either</w:t>
      </w:r>
      <w:r>
        <w:t xml:space="preserve"> </w:t>
      </w:r>
      <w:r>
        <w:t xml:space="preserve">fixed. Third, the item, and hence the underlying firm profile, is always held fixed. Pairs are never</w:t>
      </w:r>
      <w:r>
        <w:t xml:space="preserve"> </w:t>
      </w:r>
      <w:r>
        <w:t xml:space="preserve">formed across items. In the confirmatory battery 41 profiles have</w:t>
      </w:r>
      <w:r>
        <w:t xml:space="preserve"> </w:t>
      </w:r>
      <m:oMath>
        <m:sSub>
          <m:e>
            <m:r>
              <m:t>n</m:t>
            </m:r>
          </m:e>
          <m:sub>
            <m:r>
              <m:t>i</m:t>
            </m:r>
          </m:sub>
        </m:sSub>
        <m:r>
          <m:rPr>
            <m:sty m:val="p"/>
          </m:rPr>
          <m:t>=</m:t>
        </m:r>
        <m:r>
          <m:t>96</m:t>
        </m:r>
      </m:oMath>
      <w:r>
        <w:t xml:space="preserve"> </w:t>
      </w:r>
      <w:r>
        <w:t xml:space="preserve">elicitations and four have</w:t>
      </w:r>
      <w:r>
        <w:t xml:space="preserve"> </w:t>
      </w:r>
      <m:oMath>
        <m:r>
          <m:t>95</m:t>
        </m:r>
      </m:oMath>
      <w:r>
        <w:t xml:space="preserve">. Throughout,</w:t>
      </w:r>
      <w:r>
        <w:t xml:space="preserve"> </w:t>
      </w:r>
      <m:oMath>
        <m:r>
          <m:t>k</m:t>
        </m:r>
      </m:oMath>
      <w:r>
        <w:t xml:space="preserve"> </w:t>
      </w:r>
      <w:r>
        <w:t xml:space="preserve">denotes the number of elicitation</w:t>
      </w:r>
      <w:r>
        <w:t xml:space="preserve"> </w:t>
      </w:r>
      <w:r>
        <w:rPr>
          <w:i/>
          <w:iCs/>
        </w:rPr>
        <w:t xml:space="preserve">observations</w:t>
      </w:r>
      <w:r>
        <w:t xml:space="preserve"> </w:t>
      </w:r>
      <w: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t xml:space="preserve">, whereas a one-call-per-specification workflow has</w:t>
      </w:r>
      <w:r>
        <w:t xml:space="preserve"> </w:t>
      </w:r>
      <m:oMath>
        <m:r>
          <m:t>k</m:t>
        </m:r>
        <m:r>
          <m:rPr>
            <m:sty m:val="p"/>
          </m:rPr>
          <m:t>=</m:t>
        </m:r>
        <m:r>
          <m:rPr>
            <m:sty m:val="p"/>
          </m:rPr>
          <m:t>|</m:t>
        </m:r>
        <m:r>
          <m:t>S</m:t>
        </m:r>
        <m:r>
          <m:rPr>
            <m:sty m:val="p"/>
          </m:rPr>
          <m:t>|</m:t>
        </m:r>
      </m:oMath>
      <w:r>
        <w:t xml:space="preserve">. The</w:t>
      </w:r>
      <w:r>
        <w:t xml:space="preserve"> </w:t>
      </w:r>
      <w: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t xml:space="preserve">, evaluated at each profile’s own</w:t>
      </w:r>
      <w:r>
        <w:t xml:space="preserve"> </w:t>
      </w:r>
      <m:oMath>
        <m:sSub>
          <m:e>
            <m:r>
              <m:t>n</m:t>
            </m:r>
          </m:e>
          <m:sub>
            <m:r>
              <m:t>i</m:t>
            </m:r>
          </m:sub>
        </m:sSub>
      </m:oMath>
      <w:r>
        <w:t xml:space="preserve"> </w:t>
      </w:r>
      <w:r>
        <w:t xml:space="preserve">(</w:t>
      </w:r>
      <m:oMath>
        <m:r>
          <m:t>96</m:t>
        </m:r>
      </m:oMath>
      <w:r>
        <w:t xml:space="preserve"> </w:t>
      </w:r>
      <w:r>
        <w:t xml:space="preserve">for 41 profiles,</w:t>
      </w:r>
      <w:r>
        <w:t xml:space="preserve"> </w:t>
      </w:r>
      <m:oMath>
        <m:r>
          <m:t>95</m:t>
        </m:r>
      </m:oMath>
      <w:r>
        <w:t xml:space="preserve"> </w:t>
      </w:r>
      <w:r>
        <w:t xml:space="preserve">for four), which raises the pooled estimate from</w:t>
      </w:r>
      <w:r>
        <w:t xml:space="preserve"> </w:t>
      </w:r>
      <m:oMath>
        <m:r>
          <m:t>25.2</m:t>
        </m:r>
        <m:r>
          <m:rPr>
            <m:sty m:val="p"/>
          </m:rPr>
          <m:t>%</m:t>
        </m:r>
      </m:oMath>
      <w:r>
        <w:t xml:space="preserve"> </w:t>
      </w:r>
      <w:r>
        <w:t xml:space="preserve">to 25.45%.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 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 descriptively. The 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t xml:space="preserve">Three post-hoc analyses are run offline from the frozen corpora. The</w:t>
      </w:r>
      <w:r>
        <w:t xml:space="preserve"> </w:t>
      </w:r>
      <w:r>
        <w:t xml:space="preserve">specification-instability index is evaluated descriptively on a 16/16 held-out-specification</w:t>
      </w:r>
      <w:r>
        <w:t xml:space="preserve"> </w:t>
      </w:r>
      <w:r>
        <w:t xml:space="preserve">split and benchmarked against simpler measures of elicitation disagreement. No operating threshold</w:t>
      </w:r>
      <w:r>
        <w:t xml:space="preserve"> </w:t>
      </w:r>
      <w:r>
        <w:t xml:space="preserve">is proposed or validated. The range of variance explained by the</w:t>
      </w:r>
      <w:r>
        <w:t xml:space="preserve"> </w:t>
      </w:r>
      <w:r>
        <w:t xml:space="preserve">elicitation axes is described in a main effects model, a main plus two-way interaction model, and an</w:t>
      </w:r>
      <w:r>
        <w:t xml:space="preserve"> </w:t>
      </w:r>
      <w:r>
        <w:t xml:space="preserve">issuer-out-of-sample regularized model, 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7"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(MIT license) provided as anonymized supplementary material with this submission;</w:t>
      </w:r>
      <w:r>
        <w:t xml:space="preserve"> </w:t>
      </w:r>
      <w:r>
        <w:t xml:space="preserve">the public repository and its citable DOI are withheld here for double-blind review and will be provided</w:t>
      </w:r>
      <w:r>
        <w:t xml:space="preserve"> </w:t>
      </w:r>
      <w:r>
        <w:t xml:space="preserve">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 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The 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(provided with this submission), documents the</w:t>
      </w:r>
      <w:r>
        <w:t xml:space="preserve"> </w:t>
      </w:r>
      <w:r>
        <w:t xml:space="preserve">complete archive, covering data inputs and provenance, every analysis script and its outputs, the one-command</w:t>
      </w:r>
      <w:r>
        <w:t xml:space="preserve"> </w:t>
      </w:r>
      <w:r>
        <w:t xml:space="preserve">reproduction, the verification and determinism procedure, and the pinned environment, 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7"/>
    <w:bookmarkStart w:id="88"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2026-10-14T23:19:04Z</dcterms:created>
  <dcterms:modified xsi:type="dcterms:W3CDTF">2026-10-14T23:19:04Z</dcterms:modified>
</cp:coreProperties>
</file>

<file path=docProps/custom.xml><?xml version="1.0" encoding="utf-8"?>
<Properties xmlns="http://schemas.openxmlformats.org/officeDocument/2006/custom-properties" xmlns:vt="http://schemas.openxmlformats.org/officeDocument/2006/docPropsVTypes"/>
</file>