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rPr>
          <w:highlight w:val="yellow"/>
        </w:rPr>
        <w:t xml:space="preserve">In the evaluated systems, about 25</w:t>
      </w:r>
      <w:r>
        <w:t xml:space="preserve">%</w:t>
      </w:r>
      <w:r>
        <w:t xml:space="preserve"> </w:t>
      </w:r>
      <w:r>
        <w:rPr>
          <w:highlight w:val="yellow"/>
        </w:rPr>
        <w:t xml:space="preserve">of matched elicitation pairs disagree on the investment-grade/high-yield classification.</w:t>
      </w:r>
    </w:p>
    <w:p>
      <w:pPr>
        <w:pStyle w:val="BodyText"/>
      </w:pPr>
      <w:r>
        <w:rPr>
          <w:highlight w:val="yellow"/>
        </w:rPr>
        <w:t xml:space="preserve">The elicitation axes jointly explain little rating variance (</w:t>
      </w:r>
      <m:oMath>
        <m:sSup>
          <m:e>
            <m:r>
              <m:t>R</m:t>
            </m:r>
          </m:e>
          <m:sup>
            <m:r>
              <m:t>2</m:t>
            </m:r>
          </m:sup>
        </m:sSup>
      </m:oMath>
      <w:r>
        <w:t xml:space="preserve"> </w:t>
      </w:r>
      <m:oMath>
        <m:r>
          <m:t>0.083</m:t>
        </m:r>
      </m:oMath>
      <w:r>
        <w:rPr>
          <w:highlight w:val="yellow"/>
        </w:rPr>
        <w:t xml:space="preserve">–</w:t>
      </w:r>
      <m:oMath>
        <m:r>
          <m:t>0.119</m:t>
        </m:r>
      </m:oMath>
      <w:r>
        <w:rPr>
          <w:highlight w:val="yellow"/>
        </w:rPr>
        <w:t xml:space="preserve">). The fractional design does not identify per-axis shares.</w:t>
      </w:r>
      <w:r>
        <w:t xml:space="preserve"> </w:t>
      </w:r>
      <w:r>
        <w:t xml:space="preserve">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rPr>
          <w:strike/>
        </w:rPr>
        <w:t xml:space="preserve">Score validated on held-out specs (ROC-AUC 0.94) gives a candidate operational model-risk control.</w:t>
      </w:r>
      <w:r>
        <w:t xml:space="preserve"> </w:t>
      </w:r>
      <w:r>
        <w:rPr>
          <w:highlight w:val="yellow"/>
        </w:rP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Samir Chincholikar, Robin Chawla</w:t>
      </w:r>
    </w:p>
    <w:p>
      <w:pPr>
        <w:pStyle w:val="BodyText"/>
      </w:pPr>
      <w:r>
        <w:t xml:space="preserve">Independent researcher, New York, USA</w:t>
      </w:r>
    </w:p>
    <w:p>
      <w:pPr>
        <w:pStyle w:val="BodyText"/>
      </w:pPr>
      <w:r>
        <w:t xml:space="preserve">Corresponding author samir.chincholikar@gmail.com robin.chawla.cse14@iitbhu.ac.in ORCID 0009-0007-2779-3492, 0009-0007-2807-3948</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w:t>
      </w:r>
      <w:r>
        <w:t xml:space="preserve"> </w:t>
      </w:r>
      <w:r>
        <w:rPr>
          <w:highlight w:val="yellow"/>
        </w:rPr>
        <w:t xml:space="preserve">for credit assessment, yet identical financial</w:t>
      </w:r>
      <w:r>
        <w:rPr>
          <w:highlight w:val="yellow"/>
        </w:rPr>
        <w:t xml:space="preserve"> </w:t>
      </w:r>
      <w:r>
        <w:rPr>
          <w:highlight w:val="yellow"/>
        </w:rPr>
        <w:t xml:space="preserve">profiles may receive different ratings under defensible elicitation choices. We evaluate this</w:t>
      </w:r>
      <w:r>
        <w:rPr>
          <w:highlight w:val="yellow"/>
        </w:rPr>
        <w:t xml:space="preserve"> </w:t>
      </w:r>
      <w:r>
        <w:rPr>
          <w:highlight w:val="yellow"/>
        </w:rPr>
        <w:t xml:space="preserve">instability in a pre-registered specification-curve experiment covering 45 credit-health profiles</w:t>
      </w:r>
      <w:r>
        <w:rPr>
          <w:highlight w:val="yellow"/>
        </w:rPr>
        <w:t xml:space="preserve"> </w:t>
      </w:r>
      <w:r>
        <w:rPr>
          <w:highlight w:val="yellow"/>
        </w:rPr>
        <w:t xml:space="preserve">from a 90-item battery, 32 specifications, three seeds, and two providers</w:t>
      </w:r>
      <w:r>
        <w:t xml:space="preserve"> </w:t>
      </w:r>
      <w:r>
        <w:t xml:space="preserve">(4</w:t>
      </w:r>
      <w:r>
        <w:t xml:space="preserve">,</w:t>
      </w:r>
      <w:r>
        <w:t xml:space="preserve">320</w:t>
      </w:r>
      <w:r>
        <w:t xml:space="preserve"> </w:t>
      </w:r>
      <w:r>
        <w:rPr>
          <w:highlight w:val="yellow"/>
        </w:rPr>
        <w:t xml:space="preserve">designed</w:t>
      </w:r>
      <w:r>
        <w:rPr>
          <w:highlight w:val="yellow"/>
        </w:rPr>
        <w:t xml:space="preserve"> </w:t>
      </w:r>
      <w:r>
        <w:rPr>
          <w:highlight w:val="yellow"/>
        </w:rPr>
        <w:t xml:space="preserve">credit-rating elicitations). Holding fundamentals fixed, 25.2</w:t>
      </w:r>
      <w:r>
        <w:t xml:space="preserve">%</w:t>
      </w:r>
      <w:r>
        <w:t xml:space="preserve"> </w:t>
      </w:r>
      <w:r>
        <w:rPr>
          <w:highlight w:val="yellow"/>
        </w:rPr>
        <w:t xml:space="preserve">of matched elicitation pairs</w:t>
      </w:r>
      <w:r>
        <w:rPr>
          <w:highlight w:val="yellow"/>
        </w:rPr>
        <w:t xml:space="preserve"> </w:t>
      </w:r>
      <w:r>
        <w:rPr>
          <w:highlight w:val="yellow"/>
        </w:rPr>
        <w:t xml:space="preserve">disagree at the investment-grade/high-yield (IG/HY) boundary. Chance-corrected agreement reaches</w:t>
      </w:r>
      <w:r>
        <w:rPr>
          <w:highlight w:val="yellow"/>
        </w:rPr>
        <w:t xml:space="preserve"> </w:t>
      </w:r>
      <w:r>
        <w:rPr>
          <w:highlight w:val="yellow"/>
        </w:rPr>
        <w:t xml:space="preserve">only Fleiss’</w:t>
      </w:r>
      <w:r>
        <w:t xml:space="preserve"> </w:t>
      </w:r>
      <m:oMath>
        <m:r>
          <m:t>κ</m:t>
        </m:r>
        <m:r>
          <m:rPr>
            <m:sty m:val="p"/>
          </m:rPr>
          <m:t>=</m:t>
        </m:r>
        <m:r>
          <m:t>0.49</m:t>
        </m:r>
      </m:oMath>
      <w:r>
        <w:t xml:space="preserve"> </w:t>
      </w:r>
      <w:r>
        <w:rPr>
          <w:highlight w:val="yellow"/>
        </w:rPr>
        <w:t xml:space="preserve">even at this binary resolution. Instability persists on a</w:t>
      </w:r>
      <w:r>
        <w:rPr>
          <w:highlight w:val="yellow"/>
        </w:rPr>
        <w:t xml:space="preserve"> </w:t>
      </w:r>
      <w:r>
        <w:rPr>
          <w:highlight w:val="yellow"/>
        </w:rPr>
        <w:t xml:space="preserve">temperature-0-honored subgrid (permutation</w:t>
      </w:r>
      <w:r>
        <w:t xml:space="preserve"> </w:t>
      </w:r>
      <m:oMath>
        <m:r>
          <m:t>p</m:t>
        </m:r>
        <m:r>
          <m:rPr>
            <m:sty m:val="p"/>
          </m:rPr>
          <m:t>=</m:t>
        </m:r>
        <m:r>
          <m:t>0.0005</m:t>
        </m:r>
      </m:oMath>
      <w:r>
        <w:rPr>
          <w:highlight w:val="yellow"/>
        </w:rPr>
        <w:t xml:space="preserve">) and is not eliminated by pooling providers.</w:t>
      </w:r>
      <w:r>
        <w:rPr>
          <w:highlight w:val="yellow"/>
        </w:rPr>
        <w:t xml:space="preserve"> </w:t>
      </w:r>
      <w:r>
        <w:rPr>
          <w:highlight w:val="yellow"/>
        </w:rPr>
        <w:t xml:space="preserve">Pure within-cell seed variation accounts for 8.1</w:t>
      </w:r>
      <w:r>
        <w:t xml:space="preserve">%</w:t>
      </w:r>
      <w:r>
        <w:t xml:space="preserve"> </w:t>
      </w:r>
      <w:r>
        <w:rPr>
          <w:highlight w:val="yellow"/>
        </w:rPr>
        <w:t xml:space="preserve">of rating variance. The elicitation axes jointly</w:t>
      </w:r>
      <w:r>
        <w:rPr>
          <w:highlight w:val="yellow"/>
        </w:rPr>
        <w:t xml:space="preserve"> </w:t>
      </w:r>
      <w:r>
        <w:rPr>
          <w:highlight w:val="yellow"/>
        </w:rPr>
        <w:t xml:space="preserve">explain a small, model-dependent share (</w:t>
      </w:r>
      <m:oMath>
        <m:sSup>
          <m:e>
            <m:r>
              <m:t>R</m:t>
            </m:r>
          </m:e>
          <m:sup>
            <m:r>
              <m:t>2</m:t>
            </m:r>
          </m:sup>
        </m:sSup>
        <m:r>
          <m:rPr>
            <m:sty m:val="p"/>
          </m:rPr>
          <m:t>=</m:t>
        </m:r>
        <m:r>
          <m:t>0.083</m:t>
        </m:r>
      </m:oMath>
      <w:r>
        <w:rPr>
          <w:highlight w:val="yellow"/>
        </w:rPr>
        <w:t xml:space="preserve">–</w:t>
      </w:r>
      <m:oMath>
        <m:r>
          <m:t>0.119</m:t>
        </m:r>
      </m:oMath>
      <w:r>
        <w:rPr>
          <w:highlight w:val="yellow"/>
        </w:rPr>
        <w:t xml:space="preserve">), but the fractional design does not</w:t>
      </w:r>
      <w:r>
        <w:rPr>
          <w:highlight w:val="yellow"/>
        </w:rPr>
        <w:t xml:space="preserve"> </w:t>
      </w:r>
      <w:r>
        <w:rPr>
          <w:highlight w:val="yellow"/>
        </w:rPr>
        <w:t xml:space="preserve">identify individual-axis contributions. An illustrative arm of 31 perturbed real issuers also</w:t>
      </w:r>
      <w:r>
        <w:rPr>
          <w:highlight w:val="yellow"/>
        </w:rPr>
        <w:t xml:space="preserve"> </w:t>
      </w:r>
      <w:r>
        <w:rPr>
          <w:highlight w:val="yellow"/>
        </w:rPr>
        <w:t xml:space="preserve">exhibits specification variation, but a pre-registered closed-set identification probe recovers</w:t>
      </w:r>
      <w:r>
        <w:rPr>
          <w:highlight w:val="yellow"/>
        </w:rPr>
        <w:t xml:space="preserve"> </w:t>
      </w:r>
      <w:r>
        <w:rPr>
          <w:highlight w:val="yellow"/>
        </w:rPr>
        <w:t xml:space="preserve">issuer identities from scale-invariant financial ratios above chance (19.4</w:t>
      </w:r>
      <w:r>
        <w:t xml:space="preserve">%</w:t>
      </w:r>
      <w:r>
        <w:t xml:space="preserve"> </w:t>
      </w:r>
      <w:r>
        <w:rPr>
          <w:highlight w:val="yellow"/>
        </w:rPr>
        <w:t xml:space="preserve">versus 3.2</w:t>
      </w:r>
      <w:r>
        <w:t xml:space="preserve">%</w:t>
      </w:r>
      <w:r>
        <w:rPr>
          <w:highlight w:val="yellow"/>
        </w:rPr>
        <w:t xml:space="preserve">), so we</w:t>
      </w:r>
      <w:r>
        <w:rPr>
          <w:highlight w:val="yellow"/>
        </w:rPr>
        <w:t xml:space="preserve"> </w:t>
      </w:r>
      <w:r>
        <w:rPr>
          <w:highlight w:val="yellow"/>
        </w:rPr>
        <w:t xml:space="preserve">draw no external-validity claim. Post-hoc checks do</w:t>
      </w:r>
      <w:r>
        <w:t xml:space="preserve"> </w:t>
      </w:r>
      <w:r>
        <w:t xml:space="preserve">not detect attenuation on flagship</w:t>
      </w:r>
      <w:r>
        <w:rPr>
          <w:strike/>
        </w:rPr>
        <w:t xml:space="preserve">models, and specification sensitivity is also observed</w:t>
      </w:r>
      <w:r>
        <w:t xml:space="preserve"> </w:t>
      </w:r>
      <w:r>
        <w:rPr>
          <w:highlight w:val="yellow"/>
        </w:rPr>
        <w:t xml:space="preserve">models, and</w:t>
      </w:r>
      <w:r>
        <w:rPr>
          <w:highlight w:val="yellow"/>
        </w:rPr>
        <w:t xml:space="preserve"> </w:t>
      </w:r>
      <w:r>
        <w:rPr>
          <w:highlight w:val="yellow"/>
        </w:rPr>
        <w:t xml:space="preserve">specification sensitivity also occurs</w:t>
      </w:r>
      <w:r>
        <w:t xml:space="preserve"> </w:t>
      </w:r>
      <w:r>
        <w:t xml:space="preserve">in an open-weight reasoning model.</w:t>
      </w:r>
      <w:r>
        <w:t xml:space="preserve"> </w:t>
      </w:r>
      <w:r>
        <w:rPr>
          <w:strike/>
        </w:rPr>
        <w:t xml:space="preserve">We frame the</w:t>
      </w:r>
      <w:r>
        <w:t xml:space="preserve"> </w:t>
      </w:r>
      <w:r>
        <w:rPr>
          <w:highlight w:val="yellow"/>
        </w:rPr>
        <w:t xml:space="preserve">A specification-instability dispersion index predicts held-out IG/HY instability (ROC-AUC 0.94) but, at this binary resolution, is ordinally equivalent to dissent count and offers no incremental discrimination. We treat</w:t>
      </w:r>
      <w:r>
        <w:t xml:space="preserve"> </w:t>
      </w:r>
      <w:r>
        <w:t xml:space="preserve">elicitation specification as a</w:t>
      </w:r>
      <w:r>
        <w:t xml:space="preserve"> </w:t>
      </w:r>
      <w:r>
        <w:t xml:space="preserve">model-risk parameter and</w:t>
      </w:r>
      <w:r>
        <w:t xml:space="preserve"> </w:t>
      </w:r>
      <w:r>
        <w:rPr>
          <w:highlight w:val="yellow"/>
        </w:rPr>
        <w:t xml:space="preserve">propose transparent disagreement-based review rather than treating one</w:t>
      </w:r>
      <w:r>
        <w:rPr>
          <w:highlight w:val="yellow"/>
        </w:rPr>
        <w:t xml:space="preserve"> </w:t>
      </w:r>
      <w:r>
        <w:rPr>
          <w:highlight w:val="yellow"/>
        </w:rP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rPr>
          <w:highlight w:val="yellow"/>
        </w:rPr>
        <w:t xml:space="preserve">This design measures the overall magnitude of that sensitivity but does not identify how it is</w:t>
      </w:r>
      <w:r>
        <w:rPr>
          <w:highlight w:val="yellow"/>
        </w:rPr>
        <w:t xml:space="preserve"> </w:t>
      </w:r>
      <w:r>
        <w:rPr>
          <w:highlight w:val="yellow"/>
        </w:rPr>
        <w:t xml:space="preserve">distributed across individual elicitation choices, so we do not attempt to settle that question.</w:t>
      </w:r>
      <w:r>
        <w:t xml:space="preserve"> </w:t>
      </w:r>
      <w:r>
        <w:t xml:space="preserve">Third,</w:t>
      </w:r>
      <w:r>
        <w:t xml:space="preserve"> </w:t>
      </w:r>
      <w:r>
        <w:t xml:space="preserve">evaluation using real firms poses a further</w:t>
      </w:r>
      <w:r>
        <w:t xml:space="preserve"> </w:t>
      </w:r>
      <w:r>
        <w:rPr>
          <w:strike/>
        </w:rPr>
        <w:t xml:space="preserve">challenge: general-purpose</w:t>
      </w:r>
      <w:r>
        <w:t xml:space="preserve"> </w:t>
      </w:r>
      <w:r>
        <w:rPr>
          <w:highlight w:val="yellow"/>
        </w:rPr>
        <w:t xml:space="preserve">challenge. General-purpose</w:t>
      </w:r>
      <w:r>
        <w:t xml:space="preserve"> </w:t>
      </w:r>
      <w:r>
        <w:t xml:space="preserve">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w:t>
      </w:r>
      <w:r>
        <w:t xml:space="preserve"> </w:t>
      </w:r>
      <w:r>
        <w:rPr>
          <w:highlight w:val="yellow"/>
        </w:rPr>
        <w:t xml:space="preserve">contributes a pre-registered framework for evaluating the stability of LLM-generated</w:t>
      </w:r>
      <w:r>
        <w:rPr>
          <w:highlight w:val="yellow"/>
        </w:rPr>
        <w:t xml:space="preserve"> </w:t>
      </w:r>
      <w:r>
        <w:rPr>
          <w:highlight w:val="yellow"/>
        </w:rPr>
        <w:t xml:space="preserve">credit ratings across defensible elicitation specifications. We (i) quantify rating instability and</w:t>
      </w:r>
      <w:r>
        <w:rPr>
          <w:highlight w:val="yellow"/>
        </w:rPr>
        <w:t xml:space="preserve"> </w:t>
      </w:r>
      <w:r>
        <w:rPr>
          <w:highlight w:val="yellow"/>
        </w:rPr>
        <w:t xml:space="preserve">investment-grade/high-yield boundary migration, (ii) assess sensitivity across providers,</w:t>
      </w:r>
      <w:r>
        <w:rPr>
          <w:highlight w:val="yellow"/>
        </w:rPr>
        <w:t xml:space="preserve"> </w:t>
      </w:r>
      <w:r>
        <w:rPr>
          <w:highlight w:val="yellow"/>
        </w:rPr>
        <w:t xml:space="preserve">temperature settings, and rating resolutions without attributing variation to unidentified</w:t>
      </w:r>
      <w:r>
        <w:rPr>
          <w:highlight w:val="yellow"/>
        </w:rPr>
        <w:t xml:space="preserve"> </w:t>
      </w:r>
      <w:r>
        <w:rPr>
          <w:highlight w:val="yellow"/>
        </w:rPr>
        <w:t xml:space="preserve">individual elicitation effects, (iii) conduct an illustrative real-issuer check that identifies</w:t>
      </w:r>
      <w:r>
        <w:rPr>
          <w:highlight w:val="yellow"/>
        </w:rPr>
        <w:t xml:space="preserve"> </w:t>
      </w:r>
      <w:r>
        <w:rPr>
          <w:highlight w:val="yellow"/>
        </w:rPr>
        <w:t xml:space="preserve">residual issuer-recognition risk, and (iv) evaluate a dispersion index against simpler</w:t>
      </w:r>
      <w:r>
        <w:rPr>
          <w:highlight w:val="yellow"/>
        </w:rPr>
        <w:t xml:space="preserve"> </w:t>
      </w:r>
      <w:r>
        <w:rPr>
          <w:highlight w:val="yellow"/>
        </w:rPr>
        <w:t xml:space="preserve">disagreement-based review rules. The index predicts instability on held-out specifications</w:t>
      </w:r>
      <w:r>
        <w:rPr>
          <w:highlight w:val="yellow"/>
        </w:rPr>
        <w:t xml:space="preserve"> </w:t>
      </w:r>
      <w:r>
        <w:rPr>
          <w:highlight w:val="yellow"/>
        </w:rPr>
        <w:t xml:space="preserve">(ROC-AUC 0.94) but adds no discrimination over dissent counting at the IG/HY boundary. Our</w:t>
      </w:r>
      <w:r>
        <w:rPr>
          <w:highlight w:val="yellow"/>
        </w:rPr>
        <w:t xml:space="preserve"> </w:t>
      </w:r>
      <w:r>
        <w:rPr>
          <w:highlight w:val="yellow"/>
        </w:rPr>
        <w:t xml:space="preserve">contribution is a reproducible evaluation of elicitation reliability and its implications for</w:t>
      </w:r>
      <w:r>
        <w:rPr>
          <w:highlight w:val="yellow"/>
        </w:rPr>
        <w:t xml:space="preserve"> </w:t>
      </w:r>
      <w:r>
        <w:rPr>
          <w:highlight w:val="yellow"/>
        </w:rP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w:t>
      </w:r>
      <w:r>
        <w:t xml:space="preserve"> </w:t>
      </w:r>
      <w:r>
        <w:rPr>
          <w:strike/>
        </w:rPr>
        <w:t xml:space="preserve">credit-health profiles rest on</w:t>
      </w:r>
      <w:r>
        <w:t xml:space="preserve"> </w:t>
      </w:r>
      <w:r>
        <w:rPr>
          <w:highlight w:val="yellow"/>
        </w:rPr>
        <w:t xml:space="preserve">battery comprises two</w:t>
      </w:r>
      <w:r>
        <w:rPr>
          <w:highlight w:val="yellow"/>
        </w:rPr>
        <w:t xml:space="preserve"> </w:t>
      </w:r>
      <w:r>
        <w:rPr>
          <w:highlight w:val="yellow"/>
        </w:rP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rPr>
          <w:highlight w:val="yellow"/>
        </w:rPr>
        <w:t xml:space="preserve">designed credit-rating elicitation cells, of which</w:t>
      </w:r>
      <w:r>
        <w:t xml:space="preserve"> </w:t>
      </w:r>
      <m:oMath>
        <m:r>
          <m:t>4</m:t>
        </m:r>
        <m:r>
          <m:rPr>
            <m:sty m:val="p"/>
          </m:rPr>
          <m:t>,</m:t>
        </m:r>
        <m:r>
          <m:t>316</m:t>
        </m:r>
      </m:oMath>
      <w:r>
        <w:t xml:space="preserve"> </w:t>
      </w:r>
      <w:r>
        <w:rPr>
          <w:highlight w:val="yellow"/>
        </w:rPr>
        <w:t xml:space="preserve">returned substantive content and were included in the analysis</w:t>
      </w:r>
      <w:r>
        <w:t xml:space="preserve"> </w:t>
      </w:r>
      <w:r>
        <w:t xml:space="preserve">(Section 6.2</w:t>
      </w:r>
      <w:r>
        <w:rPr>
          <w:highlight w:val="yellow"/>
        </w:rPr>
        <w:t xml:space="preserve">). The 45 directional items are collected under the identical grid and</w:t>
      </w:r>
      <w:r>
        <w:rPr>
          <w:highlight w:val="yellow"/>
        </w:rPr>
        <w:t xml:space="preserve"> </w:t>
      </w:r>
      <w:r>
        <w:rPr>
          <w:highlight w:val="yellow"/>
        </w:rPr>
        <w:t xml:space="preserve">released with the archive, but are not analysed here</w:t>
      </w:r>
      <w:r>
        <w:t xml:space="preserve"> </w:t>
      </w:r>
      <w:r>
        <w:t xml:space="preserve">(Section 5.2</w:t>
      </w:r>
      <w:r>
        <w:rPr>
          <w:highlight w:val="yellow"/>
        </w:rPr>
        <w:t xml:space="preserve">). The credit-health profiles rest on</w:t>
      </w:r>
      <w:r>
        <w:t xml:space="preserve"> </w:t>
      </w:r>
      <w:r>
        <w:t xml:space="preserve">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w:t>
      </w:r>
      <w:r>
        <w:t xml:space="preserve"> </w:t>
      </w:r>
      <w:r>
        <w:rPr>
          <w:strike/>
        </w:rPr>
        <w:t xml:space="preserve">varies; our</w:t>
      </w:r>
      <w:r>
        <w:t xml:space="preserve"> </w:t>
      </w:r>
      <w:r>
        <w:rPr>
          <w:highlight w:val="yellow"/>
        </w:rPr>
        <w:t xml:space="preserve">varies. Our</w:t>
      </w:r>
      <w:r>
        <w:t xml:space="preserve"> </w:t>
      </w:r>
      <w:r>
        <w:t xml:space="preserve">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rPr>
          <w:strike/>
        </w:rPr>
        <w:t xml:space="preserve">: rather</w:t>
      </w:r>
      <w:r>
        <w:t xml:space="preserve"> </w:t>
      </w:r>
      <w:r>
        <w:rPr>
          <w:highlight w:val="yellow"/>
        </w:rPr>
        <w:t xml:space="preserve">. Rather</w:t>
      </w:r>
      <w:r>
        <w:t xml:space="preserve"> </w:t>
      </w:r>
      <w:r>
        <w:t xml:space="preserve">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rPr>
          <w:highlight w:val="yellow"/>
        </w:rPr>
        <w:t xml:space="preserve">, meaning</w:t>
      </w:r>
      <w:r>
        <w:t xml:space="preserve"> </w:t>
      </w:r>
      <w:r>
        <w:t xml:space="preserve">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rPr>
          <w:highlight w:val="yellow"/>
        </w:rPr>
        <w:t xml:space="preserve">, meaning</w:t>
      </w:r>
      <w:r>
        <w:t xml:space="preserve"> </w:t>
      </w:r>
      <w:r>
        <w:t xml:space="preserve">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w:t>
      </w:r>
      <w:r>
        <w:t xml:space="preserve"> </w:t>
      </w:r>
      <w:r>
        <w:rPr>
          <w:strike/>
        </w:rPr>
        <w:t xml:space="preserve">No</w:t>
      </w:r>
      <w:r>
        <w:rPr>
          <w:strike/>
        </w:rPr>
        <w:t xml:space="preserve"> </w:t>
      </w:r>
      <w:r>
        <w:rPr>
          <w:strike/>
        </w:rPr>
        <w:t xml:space="preserve">individual controllable elicitation choice explains more than about 5% of rating variance; the largest</w:t>
      </w:r>
      <w:r>
        <w:rPr>
          <w:strike/>
        </w:rPr>
        <w:t xml:space="preserve"> </w:t>
      </w:r>
      <w:r>
        <w:rPr>
          <w:strike/>
        </w:rPr>
        <w:t xml:space="preserve">measured design-axis contribution is answer presentation (</w:t>
      </w:r>
      <m:oMath>
        <m:r>
          <m:rPr>
            <m:sty m:val="p"/>
          </m:rPr>
          <m:t>∼</m:t>
        </m:r>
      </m:oMath>
      <w:r>
        <w:rPr>
          <w:strike/>
        </w:rPr>
        <w:t xml:space="preserve">4.6%, descriptive, under the assumed</w:t>
      </w:r>
      <w:r>
        <w:rPr>
          <w:strike/>
        </w:rPr>
        <w:t xml:space="preserve"> </w:t>
      </w:r>
      <w:r>
        <w:rPr>
          <w:strike/>
        </w:rPr>
        <w:t xml:space="preserve">main-effects model), and the model-provider main effect contributes only</w:t>
      </w:r>
      <w:r>
        <w:rPr>
          <w:strike/>
        </w:rPr>
        <w:t xml:space="preserve"> </w:t>
      </w:r>
      <m:oMath>
        <m:r>
          <m:rPr>
            <m:sty m:val="p"/>
          </m:rPr>
          <m:t>∼</m:t>
        </m:r>
      </m:oMath>
      <w:r>
        <w:rPr>
          <w:strike/>
        </w:rPr>
        <w:t xml:space="preserve">0.3%, with a</w:t>
      </w:r>
      <w:r>
        <w:rPr>
          <w:strike/>
        </w:rPr>
        <w:t xml:space="preserve"> </w:t>
      </w:r>
      <w:r>
        <w:rPr>
          <w:strike/>
        </w:rPr>
        <w:t xml:space="preserve">provider-by-item interaction of</w:t>
      </w:r>
      <w:r>
        <w:rPr>
          <w:strike/>
        </w:rPr>
        <w:t xml:space="preserve"> </w:t>
      </w:r>
      <m:oMath>
        <m:r>
          <m:rPr>
            <m:sty m:val="p"/>
          </m:rPr>
          <m:t>∼</m:t>
        </m:r>
      </m:oMath>
      <w:r>
        <w:rPr>
          <w:strike/>
        </w:rPr>
        <w:t xml:space="preserve">1.4%.</w:t>
      </w:r>
      <w:r>
        <w:t xml:space="preserve"> </w:t>
      </w:r>
      <w:r>
        <w:rPr>
          <w:highlight w:val="yellow"/>
        </w:rPr>
        <w:t xml:space="preserve">Jointly, the elicitation axes explain little of it. The design matrix supports an</w:t>
      </w:r>
      <w:r>
        <w:t xml:space="preserve"> </w:t>
      </w:r>
      <m:oMath>
        <m:sSup>
          <m:e>
            <m:r>
              <m:t>R</m:t>
            </m:r>
          </m:e>
          <m:sup>
            <m:r>
              <m:t>2</m:t>
            </m:r>
          </m:sup>
        </m:sSup>
      </m:oMath>
      <w:r>
        <w:t xml:space="preserve"> </w:t>
      </w:r>
      <w:r>
        <w:rPr>
          <w:highlight w:val="yellow"/>
        </w:rPr>
        <w:t xml:space="preserve">of</w:t>
      </w:r>
      <w:r>
        <w:t xml:space="preserve"> </w:t>
      </w:r>
      <m:oMath>
        <m:r>
          <m:t>0.083</m:t>
        </m:r>
      </m:oMath>
      <w:r>
        <w:t xml:space="preserve"> </w:t>
      </w:r>
      <w:r>
        <w:rPr>
          <w:highlight w:val="yellow"/>
        </w:rPr>
        <w:t xml:space="preserve">under main effects only and</w:t>
      </w:r>
      <w:r>
        <w:t xml:space="preserve"> </w:t>
      </w:r>
      <m:oMath>
        <m:r>
          <m:t>0.119</m:t>
        </m:r>
      </m:oMath>
      <w:r>
        <w:t xml:space="preserve"> </w:t>
      </w:r>
      <w:r>
        <w:rPr>
          <w:highlight w:val="yellow"/>
        </w:rPr>
        <w:t xml:space="preserve">with</w:t>
      </w:r>
      <w:r>
        <w:rPr>
          <w:highlight w:val="yellow"/>
        </w:rPr>
        <w:t xml:space="preserve"> </w:t>
      </w:r>
      <w:r>
        <w:rPr>
          <w:highlight w:val="yellow"/>
        </w:rPr>
        <w:t xml:space="preserve">all two-way interactions added</w:t>
      </w:r>
      <w:r>
        <w:t xml:space="preserve"> </w:t>
      </w:r>
      <w:r>
        <w:t xml:space="preserve">(Table 2</w:t>
      </w:r>
      <w:r>
        <w:rPr>
          <w:highlight w:val="yellow"/>
        </w:rPr>
        <w:t xml:space="preserve">).</w:t>
      </w:r>
    </w:p>
    <w:p>
      <w:pPr>
        <w:pStyle w:val="BodyText"/>
      </w:pPr>
      <w:r>
        <w:rPr>
          <w:i/>
          <w:iCs/>
        </w:rPr>
        <w:t xml:space="preserve">We do not report individual per-axis shares.</w:t>
      </w:r>
      <w:r>
        <w:t xml:space="preserve"> </w:t>
      </w:r>
      <w:r>
        <w:rPr>
          <w:highlight w:val="yellow"/>
        </w:rPr>
        <w:t xml:space="preserve">On the analysed 32-specification two-provider design, main effects are</w:t>
      </w:r>
      <w:r>
        <w:rPr>
          <w:highlight w:val="yellow"/>
        </w:rPr>
        <w:t xml:space="preserve"> </w:t>
      </w:r>
      <w:r>
        <w:rPr>
          <w:highlight w:val="yellow"/>
        </w:rPr>
        <w:t xml:space="preserve">mutually near-orthogonal (maximum off-diagonal</w:t>
      </w:r>
      <w:r>
        <w:t xml:space="preserve"> </w:t>
      </w:r>
      <m:oMath>
        <m:r>
          <m:rPr>
            <m:sty m:val="p"/>
          </m:rPr>
          <m:t>|</m:t>
        </m:r>
        <m:r>
          <m:t>r</m:t>
        </m:r>
        <m:r>
          <m:rPr>
            <m:sty m:val="p"/>
          </m:rPr>
          <m:t>|</m:t>
        </m:r>
        <m:r>
          <m:rPr>
            <m:sty m:val="p"/>
          </m:rPr>
          <m:t>=</m:t>
        </m:r>
        <m:r>
          <m:t>0.125</m:t>
        </m:r>
      </m:oMath>
      <w:r>
        <w:rPr>
          <w:highlight w:val="yellow"/>
        </w:rPr>
        <w:t xml:space="preserve">) but are aliased with two-factor</w:t>
      </w:r>
      <w:r>
        <w:rPr>
          <w:highlight w:val="yellow"/>
        </w:rPr>
        <w:t xml:space="preserve"> </w:t>
      </w:r>
      <w:r>
        <w:rPr>
          <w:highlight w:val="yellow"/>
        </w:rPr>
        <w:t xml:space="preserve">interactions of other factors up to</w:t>
      </w:r>
      <w:r>
        <w:t xml:space="preserve"> </w:t>
      </w:r>
      <m:oMath>
        <m:r>
          <m:rPr>
            <m:sty m:val="p"/>
          </m:rPr>
          <m:t>|</m:t>
        </m:r>
        <m:r>
          <m:t>r</m:t>
        </m:r>
        <m:r>
          <m:rPr>
            <m:sty m:val="p"/>
          </m:rPr>
          <m:t>|</m:t>
        </m:r>
        <m:r>
          <m:rPr>
            <m:sty m:val="p"/>
          </m:rPr>
          <m:t>=</m:t>
        </m:r>
        <m:r>
          <m:t>0.504</m:t>
        </m:r>
      </m:oMath>
      <w:r>
        <w:rPr>
          <w:highlight w:val="yellow"/>
        </w:rPr>
        <w:t xml:space="preserve">, so each main-effect sum of</w:t>
      </w:r>
      <w:r>
        <w:rPr>
          <w:highlight w:val="yellow"/>
        </w:rPr>
        <w:t xml:space="preserve"> </w:t>
      </w:r>
      <w:r>
        <w:rPr>
          <w:highlight w:val="yellow"/>
        </w:rPr>
        <w:t xml:space="preserve">squares is identified only up to a contribution from omitted interactions whose magnitude the design</w:t>
      </w:r>
      <w:r>
        <w:rPr>
          <w:highlight w:val="yellow"/>
        </w:rPr>
        <w:t xml:space="preserve"> </w:t>
      </w:r>
      <w:r>
        <w:rPr>
          <w:highlight w:val="yellow"/>
        </w:rPr>
        <w:t xml:space="preserve">cannot bound without an external assumption</w:t>
      </w:r>
      <w:r>
        <w:t xml:space="preserve"> </w:t>
      </w:r>
      <w:r>
        <w:t xml:space="preserve">(Section 6.2</w:t>
      </w:r>
      <w:r>
        <w:t xml:space="preserve"> </w:t>
      </w:r>
      <w:r>
        <w:rPr>
          <w:highlight w:val="yellow"/>
        </w:rPr>
        <w:t xml:space="preserve">gives the alias algebra and the norms). One component</w:t>
      </w:r>
      <w:r>
        <w:t xml:space="preserve"> </w:t>
      </w:r>
      <w:r>
        <w:rPr>
          <w:i/>
          <w:iCs/>
        </w:rPr>
        <w:t xml:space="preserve">is</w:t>
      </w:r>
      <w:r>
        <w:t xml:space="preserve"> </w:t>
      </w:r>
      <w:r>
        <w:rPr>
          <w:highlight w:val="yellow"/>
        </w:rPr>
        <w:t xml:space="preserve">identified and is reported as</w:t>
      </w:r>
      <w:r>
        <w:rPr>
          <w:highlight w:val="yellow"/>
        </w:rPr>
        <w:t xml:space="preserve"> </w:t>
      </w:r>
      <w:r>
        <w:rPr>
          <w:highlight w:val="yellow"/>
        </w:rPr>
        <w:t xml:space="preserve">such. Because items are fully crossed with specifications, the provider-by-item interaction is</w:t>
      </w:r>
      <w:r>
        <w:rPr>
          <w:highlight w:val="yellow"/>
        </w:rPr>
        <w:t xml:space="preserve"> </w:t>
      </w:r>
      <w:r>
        <w:rPr>
          <w:highlight w:val="yellow"/>
        </w:rPr>
        <w:t xml:space="preserve">effectively orthogonal to the specification-axis contrasts up to the numerically negligible imbalance quantified in</w:t>
      </w:r>
      <w:r>
        <w:t xml:space="preserve"> </w:t>
      </w:r>
      <w:r>
        <w:t xml:space="preserve">Section 6.2</w:t>
      </w:r>
      <w:r>
        <w:rPr>
          <w:highlight w:val="yellow"/>
        </w:rPr>
        <w:t xml:space="preserve">, and it contributes</w:t>
      </w:r>
      <w:r>
        <w:t xml:space="preserve"> </w:t>
      </w:r>
      <m:oMath>
        <m:r>
          <m:rPr>
            <m:sty m:val="p"/>
          </m:rPr>
          <m:t>∼</m:t>
        </m:r>
      </m:oMath>
      <w:r>
        <w:rPr>
          <w:highlight w:val="yellow"/>
        </w:rPr>
        <w:t xml:space="preserve">1.4</w:t>
      </w:r>
      <w:r>
        <w:t xml:space="preserve">%</w:t>
      </w:r>
      <w:r>
        <w:t xml:space="preserve"> </w:t>
      </w:r>
      <w:r>
        <w:rPr>
          <w:highlight w:val="yellow"/>
        </w:rPr>
        <w:t xml:space="preserve">of variance.</w:t>
      </w:r>
      <w:r>
        <w:t xml:space="preserve"> </w:t>
      </w:r>
      <w:r>
        <w:t xml:space="preserve">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w:t>
      </w:r>
      <w:r>
        <w:t xml:space="preserve"> </w:t>
      </w:r>
      <w:r>
        <w:rPr>
          <w:strike/>
        </w:rPr>
        <w:t xml:space="preserve">Limitations): it</w:t>
      </w:r>
      <w:r>
        <w:t xml:space="preserve"> </w:t>
      </w:r>
      <w:r>
        <w:rPr>
          <w:highlight w:val="yellow"/>
        </w:rPr>
        <w:t xml:space="preserve">Limitations). It</w:t>
      </w:r>
      <w:r>
        <w:t xml:space="preserve"> </w:t>
      </w:r>
      <w:r>
        <w:t xml:space="preserve">may combine real unmodeled interactions with main effects aliased into two-factor</w:t>
      </w:r>
      <w:r>
        <w:t xml:space="preserve"> </w:t>
      </w:r>
      <w:r>
        <w:rPr>
          <w:strike/>
        </w:rPr>
        <w:t xml:space="preserve">interactions—so</w:t>
      </w:r>
      <w:r>
        <w:t xml:space="preserve"> </w:t>
      </w:r>
      <w:r>
        <w:rPr>
          <w:highlight w:val="yellow"/>
        </w:rPr>
        <w:t xml:space="preserve">interactions, so</w:t>
      </w:r>
      <w:r>
        <w:t xml:space="preserve"> </w:t>
      </w:r>
      <w:r>
        <w:t xml:space="preserve">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w:t>
      </w:r>
      <w:r>
        <w:t xml:space="preserve"> </w:t>
      </w:r>
      <w:r>
        <w:rPr>
          <w:strike/>
        </w:rPr>
        <w:t xml:space="preserve">is dependent on the modeling choice, but is low for all three</w:t>
      </w:r>
      <w:r>
        <w:t xml:space="preserve"> </w:t>
      </w:r>
      <w:r>
        <w:rPr>
          <w:highlight w:val="yellow"/>
        </w:rPr>
        <w:t xml:space="preserve">depends on the modeling choice but remains low across all three specifications</w:t>
      </w:r>
      <w:r>
        <w:t xml:space="preserve"> </w:t>
      </w:r>
      <w:r>
        <w:t xml:space="preserve">(</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w:t>
      </w:r>
      <w:r>
        <w:rPr>
          <w:strike/>
        </w:rPr>
        <w:t xml:space="preserve">of sample, confirming that individual-axis attribution is not identified and that the decomposition should</w:t>
      </w:r>
      <w:r>
        <w:rPr>
          <w:strike/>
        </w:rPr>
        <w:t xml:space="preserve"> </w:t>
      </w:r>
      <w:r>
        <w:rPr>
          <w:strike/>
        </w:rPr>
        <w:t xml:space="preserve">be read in a descriptive way.</w:t>
      </w:r>
      <w:r>
        <w:t xml:space="preserve"> </w:t>
      </w:r>
      <w:r>
        <w:rPr>
          <w:strike/>
        </w:rPr>
        <w:t xml:space="preserve">These results indicate that specification sensitivity is not concentrated in a single elicitation choice</w:t>
      </w:r>
      <w:r>
        <w:rPr>
          <w:strike/>
        </w:rPr>
        <w:t xml:space="preserve"> </w:t>
      </w:r>
      <w:r>
        <w:rPr>
          <w:strike/>
        </w:rPr>
        <w:t xml:space="preserve">that could be avoided by simply selecting a preferred prompt, format, or provider. Instead, the observed</w:t>
      </w:r>
      <w:r>
        <w:rPr>
          <w:strike/>
        </w:rPr>
        <w:t xml:space="preserve"> </w:t>
      </w:r>
      <w:r>
        <w:rPr>
          <w:strike/>
        </w:rPr>
        <w:t xml:space="preserve">instability is spread across the elicitation process.</w:t>
      </w:r>
      <w:r>
        <w:t xml:space="preserve"> </w:t>
      </w:r>
      <w:r>
        <w:rPr>
          <w:highlight w:val="yellow"/>
        </w:rPr>
        <w:t xml:space="preserve">of sample. Separately, the aliasing analysis in</w:t>
      </w:r>
      <w:r>
        <w:t xml:space="preserve"> </w:t>
      </w:r>
      <w:r>
        <w:t xml:space="preserve">Section 6.2</w:t>
      </w:r>
      <w:r>
        <w:t xml:space="preserve"> </w:t>
      </w:r>
      <w:r>
        <w:rPr>
          <w:highlight w:val="yellow"/>
        </w:rPr>
        <w:t xml:space="preserve">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w:t>
      </w:r>
      <w:r>
        <w:t xml:space="preserve"> </w:t>
      </w:r>
      <w:r>
        <w:rPr>
          <w:strike/>
        </w:rPr>
        <w:t xml:space="preserve">specs: specs</w:t>
      </w:r>
      <w:r>
        <w:t xml:space="preserve"> </w:t>
      </w:r>
      <w:r>
        <w:rPr>
          <w:highlight w:val="yellow"/>
        </w:rPr>
        <w:t xml:space="preserve">specs. Specs</w:t>
      </w:r>
      <w:r>
        <w:t xml:space="preserve"> </w:t>
      </w:r>
      <w:r>
        <w:t xml:space="preserve">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[Revised in revision 2] 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[Revised in revision 2] 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Revised in revision 2] 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[Revised in revision 2] 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Revised in revision 2] 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w:t>
      </w:r>
      <w:r>
        <w:t xml:space="preserve"> </w:t>
      </w:r>
      <w:r>
        <w:rPr>
          <w:strike/>
        </w:rPr>
        <w:t xml:space="preserve">honored:</w:t>
      </w:r>
      <w:r>
        <w:t xml:space="preserve"> </w:t>
      </w:r>
      <w:r>
        <w:rPr>
          <w:highlight w:val="yellow"/>
        </w:rPr>
        <w:t xml:space="preserve">honored, namely</w:t>
      </w:r>
      <w:r>
        <w:t xml:space="preserve"> </w:t>
      </w:r>
      <w:r>
        <w:t xml:space="preserve">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rPr>
          <w:strike/>
        </w:rPr>
        <w:t xml:space="preserve">notches; across</w:t>
      </w:r>
      <w:r>
        <w:t xml:space="preserve"> </w:t>
      </w:r>
      <w:r>
        <w:rPr>
          <w:highlight w:val="yellow"/>
        </w:rP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w:t>
      </w:r>
      <w:r>
        <w:t xml:space="preserve"> </w:t>
      </w:r>
      <w:r>
        <w:rPr>
          <w:strike/>
        </w:rPr>
        <w:t xml:space="preserve">choices; indeed,</w:t>
      </w:r>
      <w:r>
        <w:t xml:space="preserve"> </w:t>
      </w:r>
      <w:r>
        <w:rPr>
          <w:highlight w:val="yellow"/>
        </w:rPr>
        <w:t xml:space="preserve">choices. Indeed,</w:t>
      </w:r>
      <w:r>
        <w:t xml:space="preserve"> </w:t>
      </w:r>
      <w:r>
        <w:t xml:space="preserve">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rPr>
          <w:strike/>
        </w:rPr>
        <w:t xml:space="preserve">The small provider main effect might suggest that provider choice does not matter much.</w:t>
      </w:r>
      <w:r>
        <w:t xml:space="preserve"> </w:t>
      </w:r>
      <w:r>
        <w:rPr>
          <w:highlight w:val="yellow"/>
        </w:rPr>
        <w:t xml:space="preserve">Provider choice might be thought immaterial.</w:t>
      </w:r>
      <w:r>
        <w:t xml:space="preserve"> </w:t>
      </w:r>
      <w:r>
        <w:t xml:space="preserve">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w:t>
      </w:r>
      <w:r>
        <w:t xml:space="preserve"> </w:t>
      </w:r>
      <w:r>
        <w:rPr>
          <w:strike/>
        </w:rPr>
        <w:t xml:space="preserve">ratings; a</w:t>
      </w:r>
      <w:r>
        <w:t xml:space="preserve"> </w:t>
      </w:r>
      <w:r>
        <w:rPr>
          <w:highlight w:val="yellow"/>
        </w:rPr>
        <w:t xml:space="preserve">ratings. A</w:t>
      </w:r>
      <w:r>
        <w:t xml:space="preserve"> </w:t>
      </w:r>
      <w:r>
        <w:t xml:space="preserve">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w:t>
      </w:r>
      <w:r>
        <w:t xml:space="preserve"> </w:t>
      </w:r>
      <w:r>
        <w:rPr>
          <w:strike/>
        </w:rPr>
        <w:t xml:space="preserve">cross-specification agreement as we move from</w:t>
      </w:r>
      <w:r>
        <w:rPr>
          <w:strike/>
        </w:rPr>
        <w:t xml:space="preserve"> </w:t>
      </w:r>
      <w:r>
        <w:rPr>
          <w:strike/>
        </w:rPr>
        <w:t xml:space="preserve">the full 21-grade letter-rating scale to</w:t>
      </w:r>
      <w:r>
        <w:t xml:space="preserve"> </w:t>
      </w:r>
      <w:r>
        <w:rPr>
          <w:highlight w:val="yellow"/>
        </w:rPr>
        <w:t xml:space="preserve">agreement at four rating resolutions: the full 21-grade letter-rating scale,</w:t>
      </w:r>
      <w:r>
        <w:t xml:space="preserve"> </w:t>
      </w:r>
      <w:r>
        <w:t xml:space="preserve">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w:t>
      </w:r>
      <w:r>
        <w:t xml:space="preserve"> </w:t>
      </w:r>
      <w:r>
        <w:rPr>
          <w:strike/>
        </w:rPr>
        <w:t xml:space="preserve">cross-specification</w:t>
      </w:r>
      <w:r>
        <w:t xml:space="preserve"> </w:t>
      </w:r>
      <w:r>
        <w:rPr>
          <w:highlight w:val="yellow"/>
        </w:rPr>
        <w:t xml:space="preserve">matched-pair</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w:t>
      </w:r>
      <w:r>
        <w:t xml:space="preserve"> </w:t>
      </w:r>
      <w:r>
        <w:rPr>
          <w:strike/>
        </w:rPr>
        <w:t xml:space="preserve">scale:</w:t>
      </w:r>
      <w:r>
        <w:t xml:space="preserve"> </w:t>
      </w:r>
      <w:r>
        <w:rPr>
          <w:highlight w:val="yellow"/>
        </w:rPr>
        <w:t xml:space="preserve">scale.</w:t>
      </w:r>
      <w:r>
        <w:t xml:space="preserve"> </w:t>
      </w:r>
      <w:r>
        <w:t xml:space="preserve">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w:t>
      </w:r>
      <w:r>
        <w:t xml:space="preserve"> </w:t>
      </w:r>
      <w:r>
        <w:rPr>
          <w:strike/>
        </w:rPr>
        <w:t xml:space="preserve">boundary; the</w:t>
      </w:r>
      <w:r>
        <w:t xml:space="preserve"> </w:t>
      </w:r>
      <w:r>
        <w:rPr>
          <w:highlight w:val="yellow"/>
        </w:rPr>
        <w:t xml:space="preserve">boundary. The</w:t>
      </w:r>
      <w:r>
        <w:t xml:space="preserve"> </w:t>
      </w:r>
      <w:r>
        <w:t xml:space="preserve">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w:t>
      </w:r>
      <w:r>
        <w:t xml:space="preserve"> </w:t>
      </w:r>
      <w:r>
        <w:rPr>
          <w:strike/>
        </w:rPr>
        <w:t xml:space="preserve">firms: the</w:t>
      </w:r>
      <w:r>
        <w:t xml:space="preserve"> </w:t>
      </w:r>
      <w:r>
        <w:rPr>
          <w:highlight w:val="yellow"/>
        </w:rPr>
        <w:t xml:space="preserve">firms. The</w:t>
      </w:r>
      <w:r>
        <w:t xml:space="preserve"> </w:t>
      </w:r>
      <w:r>
        <w:t xml:space="preserve">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w:t>
      </w:r>
      <w:r>
        <w:t xml:space="preserve"> </w:t>
      </w:r>
      <w:r>
        <w:rPr>
          <w:strike/>
        </w:rPr>
        <w:t xml:space="preserve">near-boundary WATCH</w:t>
      </w:r>
      <w:r>
        <w:t xml:space="preserve"> </w:t>
      </w:r>
      <w:r>
        <w:rPr>
          <w:highlight w:val="yellow"/>
        </w:rPr>
        <w:t xml:space="preserve">benchmark-WATCH</w:t>
      </w:r>
      <w:r>
        <w:t xml:space="preserve"> </w:t>
      </w:r>
      <w:r>
        <w:t xml:space="preserve">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[Revised in revision 2] 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rPr>
          <w:highlight w:val="yellow"/>
        </w:rP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w:t>
      </w:r>
      <w:r>
        <w:t xml:space="preserve"> </w:t>
      </w:r>
      <w:r>
        <w:rPr>
          <w:strike/>
        </w:rPr>
        <w:t xml:space="preserve">an investment-grade/high-yield flip rate of 25.2% (95% CI 19.7–31.2%):</w:t>
      </w:r>
      <w:r>
        <w:t xml:space="preserve"> </w:t>
      </w:r>
      <w:r>
        <w:rPr>
          <w:highlight w:val="yellow"/>
        </w:rPr>
        <w:t xml:space="preserve">a total investment-grade/high-yield elicitation disagreement rate of 25.2</w:t>
      </w:r>
      <w:r>
        <w:t xml:space="preserve">%</w:t>
      </w:r>
      <w:r>
        <w:t xml:space="preserve"> </w:t>
      </w:r>
      <w:r>
        <w:rPr>
          <w:highlight w:val="yellow"/>
        </w:rPr>
        <w:t xml:space="preserve">(95</w:t>
      </w:r>
      <w:r>
        <w:t xml:space="preserve">%</w:t>
      </w:r>
      <w:r>
        <w:t xml:space="preserve"> </w:t>
      </w:r>
      <w:r>
        <w:rPr>
          <w:highlight w:val="yellow"/>
        </w:rPr>
        <w:t xml:space="preserve">CI 19.7–31.2</w:t>
      </w:r>
      <w:r>
        <w:t xml:space="preserve">%</w:t>
      </w:r>
      <w:r>
        <w:rPr>
          <w:highlight w:val="yellow"/>
        </w:rPr>
        <w:t xml:space="preserve">), in which the two draws may differ in specification, in seed, or in both.</w:t>
      </w:r>
      <w:r>
        <w:rPr>
          <w:highlight w:val="yellow"/>
        </w:rPr>
        <w:t xml:space="preserve"> </w:t>
      </w:r>
      <w:r>
        <w:rPr>
          <w:highlight w:val="yellow"/>
        </w:rPr>
        <w:t xml:space="preserve">For context, we report two complementary conditional measures: 24.3</w:t>
      </w:r>
      <w:r>
        <w:t xml:space="preserve">%</w:t>
      </w:r>
      <w:r>
        <w:t xml:space="preserve"> </w:t>
      </w:r>
      <w:r>
        <w:rPr>
          <w:highlight w:val="yellow"/>
        </w:rPr>
        <w:t xml:space="preserve">after collapsing repeated</w:t>
      </w:r>
      <w:r>
        <w:rPr>
          <w:highlight w:val="yellow"/>
        </w:rPr>
        <w:t xml:space="preserve"> </w:t>
      </w:r>
      <w:r>
        <w:rPr>
          <w:highlight w:val="yellow"/>
        </w:rPr>
        <w:t xml:space="preserve">seeds within specification, and 6.9</w:t>
      </w:r>
      <w:r>
        <w:t xml:space="preserve">%</w:t>
      </w:r>
      <w:r>
        <w:t xml:space="preserve"> </w:t>
      </w:r>
      <w:r>
        <w:rPr>
          <w:highlight w:val="yellow"/>
        </w:rPr>
        <w:t xml:space="preserve">when varying seed within an identical</w:t>
      </w:r>
      <w:r>
        <w:rPr>
          <w:highlight w:val="yellow"/>
        </w:rPr>
        <w:t xml:space="preserve"> </w:t>
      </w:r>
      <w:r>
        <w:rPr>
          <w:highlight w:val="yellow"/>
        </w:rPr>
        <w:t xml:space="preserve">profile</w:t>
      </w:r>
      <m:oMath>
        <m:r>
          <m:rPr>
            <m:sty m:val="p"/>
          </m:rPr>
          <m:t>×</m:t>
        </m:r>
      </m:oMath>
      <w:r>
        <w:rPr>
          <w:highlight w:val="yellow"/>
        </w:rPr>
        <w:t xml:space="preserve">specification cell. These quantities are not additive components of the 25.2</w:t>
      </w:r>
      <w:r>
        <w:t xml:space="preserve">%</w:t>
      </w:r>
      <w:r>
        <w:t xml:space="preserve"> </w:t>
      </w:r>
      <w:r>
        <w:rPr>
          <w:highlight w:val="yellow"/>
        </w:rPr>
        <w:t xml:space="preserve">total. Forming the per-specification modal outcome requires a tie rule, and we treat a cell with no</w:t>
      </w:r>
      <w:r>
        <w:rPr>
          <w:highlight w:val="yellow"/>
        </w:rPr>
        <w:t xml:space="preserve"> </w:t>
      </w:r>
      <w:r>
        <w:rPr>
          <w:highlight w:val="yellow"/>
        </w:rPr>
        <w:t xml:space="preserve">modal winner as dissenting; the rule never binds here, because all four two-observation cells are</w:t>
      </w:r>
      <w:r>
        <w:rPr>
          <w:highlight w:val="yellow"/>
        </w:rPr>
        <w:t xml:space="preserve"> </w:t>
      </w:r>
      <w:r>
        <w:rPr>
          <w:highlight w:val="yellow"/>
        </w:rPr>
        <w:t xml:space="preserve">unanimous and no three-observation cell lacks a modal winner. The headline figure is therefore</w:t>
      </w:r>
      <w:r>
        <w:rPr>
          <w:highlight w:val="yellow"/>
        </w:rPr>
        <w:t xml:space="preserve"> </w:t>
      </w:r>
      <w:r>
        <w:rPr>
          <w:highlight w:val="yellow"/>
        </w:rPr>
        <w:t xml:space="preserve">total elicitation instability and is not attributed to specification choices alone:</w:t>
      </w:r>
      <w:r>
        <w:t xml:space="preserve"> </w:t>
      </w:r>
      <w:r>
        <w:t xml:space="preserve">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rPr>
          <w:strike/>
        </w:rPr>
        <w:t xml:space="preserve">solely by the elicitation specification</w:t>
      </w:r>
      <w:r>
        <w:t xml:space="preserve"> </w:t>
      </w:r>
      <w:r>
        <w:rPr>
          <w:highlight w:val="yellow"/>
        </w:rPr>
        <w:t xml:space="preserve">by the elicitation process, with the fundamentals held fixed,</w:t>
      </w:r>
      <w:r>
        <w:t xml:space="preserve"> </w:t>
      </w:r>
      <w:r>
        <w:t xml:space="preserve">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w:t>
      </w:r>
      <w:r>
        <w:t xml:space="preserve"> </w:t>
      </w:r>
      <w:r>
        <w:rPr>
          <w:strike/>
        </w:rPr>
        <w:t xml:space="preserve">problem: an</w:t>
      </w:r>
      <w:r>
        <w:t xml:space="preserve"> </w:t>
      </w:r>
      <w:r>
        <w:rPr>
          <w:highlight w:val="yellow"/>
        </w:rPr>
        <w:t xml:space="preserve">problem. An</w:t>
      </w:r>
      <w:r>
        <w:t xml:space="preserve"> </w:t>
      </w:r>
      <w:r>
        <w:t xml:space="preserve">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w:t>
      </w:r>
      <w:r>
        <w:t xml:space="preserve"> </w:t>
      </w:r>
      <w:r>
        <w:rPr>
          <w:strike/>
        </w:rPr>
        <w:t xml:space="preserve">a descriptive external check.</w:t>
      </w:r>
      <w:r>
        <w:t xml:space="preserve"> </w:t>
      </w:r>
      <w:r>
        <w:rPr>
          <w:highlight w:val="yellow"/>
        </w:rPr>
        <w:t xml:space="preserve">an illustrative descriptive</w:t>
      </w:r>
      <w:r>
        <w:rPr>
          <w:highlight w:val="yellow"/>
        </w:rPr>
        <w:t xml:space="preserve"> </w:t>
      </w:r>
      <w:r>
        <w:rPr>
          <w:highlight w:val="yellow"/>
        </w:rPr>
        <w:t xml:space="preserve">check only, not as an external validation.</w:t>
      </w:r>
      <w:r>
        <w:t xml:space="preserve"> </w:t>
      </w:r>
      <w:r>
        <w:t xml:space="preserve">Section 3.7</w:t>
      </w:r>
      <w:r>
        <w:t xml:space="preserve"> </w:t>
      </w:r>
      <w:r>
        <w:rPr>
          <w:highlight w:val="yellow"/>
        </w:rPr>
        <w:t xml:space="preserve">reports two pre-registered</w:t>
      </w:r>
      <w:r>
        <w:rPr>
          <w:highlight w:val="yellow"/>
        </w:rPr>
        <w:t xml:space="preserve"> </w:t>
      </w:r>
      <w:r>
        <w:rPr>
          <w:highlight w:val="yellow"/>
        </w:rPr>
        <w:t xml:space="preserve">decontamination experiments whose combined result requires that restriction.</w:t>
      </w:r>
      <w:r>
        <w:t xml:space="preserve"> </w:t>
      </w:r>
      <w:r>
        <w:t xml:space="preserve">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rPr>
          <w:highlight w:val="yellow"/>
        </w:rPr>
        <w:t xml:space="preserve">,</w:t>
      </w:r>
      <w:r>
        <w:t xml:space="preserve"> </w:t>
      </w:r>
      <w:r>
        <w:t xml:space="preserve">Table 4), not statistically distinguishable from zero. We treat this arm as an</w:t>
      </w:r>
      <w:r>
        <w:t xml:space="preserve"> </w:t>
      </w:r>
      <w:r>
        <w:t xml:space="preserve">illustrative</w:t>
      </w:r>
      <w:r>
        <w:t xml:space="preserve"> </w:t>
      </w:r>
      <w:r>
        <w:rPr>
          <w:strike/>
        </w:rPr>
        <w:t xml:space="preserve">external-validity check, presented descriptively:</w:t>
      </w:r>
      <w:r>
        <w:t xml:space="preserve"> </w:t>
      </w:r>
      <w:r>
        <w:rPr>
          <w:highlight w:val="yellow"/>
        </w:rPr>
        <w:t xml:space="preserve">descriptive real-issuer check, and</w:t>
      </w:r>
      <w:r>
        <w:t xml:space="preserve"> </w:t>
      </w:r>
      <w:r>
        <w:t xml:space="preserve">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rPr>
          <w:highlight w:val="yellow"/>
        </w:rP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w:t>
      </w:r>
      <w:r>
        <w:t xml:space="preserve"> </w:t>
      </w:r>
      <w:r>
        <w:rPr>
          <w:strike/>
        </w:rPr>
        <w:t xml:space="preserve">show no association with per-issuer</w:t>
      </w:r>
      <w:r>
        <w:rPr>
          <w:strike/>
        </w:rPr>
        <w:t xml:space="preserve"> </w:t>
      </w:r>
      <w:r>
        <w:rPr>
          <w:strike/>
        </w:rPr>
        <w:t xml:space="preserve">instability or rating level (Spearman</w:t>
      </w:r>
      <w:r>
        <w:rPr>
          <w:strike/>
        </w:rPr>
        <w:t xml:space="preserve"> </w:t>
      </w:r>
      <m:oMath>
        <m:r>
          <m:rPr>
            <m:sty m:val="p"/>
          </m:rPr>
          <m:t>−</m:t>
        </m:r>
        <m:r>
          <m:t>0.035</m:t>
        </m:r>
      </m:oMath>
      <w:r>
        <w:rPr>
          <w:strike/>
        </w:rPr>
        <w:t xml:space="preserve">, permutation</w:t>
      </w:r>
      <w:r>
        <w:rPr>
          <w:strike/>
        </w:rPr>
        <w:t xml:space="preserve"> </w:t>
      </w:r>
      <m:oMath>
        <m:r>
          <m:t>p</m:t>
        </m:r>
        <m:r>
          <m:rPr>
            <m:sty m:val="p"/>
          </m:rPr>
          <m:t>=</m:t>
        </m:r>
        <m:r>
          <m:t>0.85</m:t>
        </m:r>
      </m:oMath>
      <w:r>
        <w:rPr>
          <w:strike/>
        </w:rPr>
        <w:t xml:space="preserve">); a single draw per issuer means</w:t>
      </w:r>
      <w:r>
        <w:rPr>
          <w:strike/>
        </w:rPr>
        <w:t xml:space="preserve"> </w:t>
      </w:r>
      <w:r>
        <w:rPr>
          <w:strike/>
        </w:rPr>
        <w:t xml:space="preserve">scale is confounded with issuer identity, so we read this as within-support evidence rather than a</w:t>
      </w:r>
      <w:r>
        <w:rPr>
          <w:strike/>
        </w:rPr>
        <w:t xml:space="preserve"> </w:t>
      </w:r>
      <w:r>
        <w:rPr>
          <w:strike/>
        </w:rPr>
        <w:t xml:space="preserve">scale-invariance proof.</w:t>
      </w:r>
      <w:r>
        <w:t xml:space="preserve"> </w:t>
      </w:r>
      <w:r>
        <w:rPr>
          <w:highlight w:val="yellow"/>
        </w:rPr>
        <w:t xml:space="preserve">are not analysed against per-issuer instability here, and because each issuer received a single scale draw, scale cannot be separated from issuer identity in this comparison;</w:t>
      </w:r>
      <w:r>
        <w:t xml:space="preserve"> </w:t>
      </w:r>
      <w:r>
        <w:t xml:space="preserve">Section 3.7</w:t>
      </w:r>
      <w:r>
        <w:t xml:space="preserve"> </w:t>
      </w:r>
      <w:r>
        <w:rPr>
          <w:highlight w:val="yellow"/>
        </w:rPr>
        <w:t xml:space="preserve">instead tests scale within issuer.</w:t>
      </w:r>
      <w:r>
        <w:t xml:space="preserve"> </w:t>
      </w:r>
      <w:r>
        <w:t xml:space="preserve">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w:t>
      </w:r>
      <w:r>
        <w:t xml:space="preserve"> </w:t>
      </w:r>
      <w:r>
        <w:rPr>
          <w:strike/>
        </w:rPr>
        <w:t xml:space="preserve">issuers;</w:t>
      </w:r>
      <w:r>
        <w:t xml:space="preserve"> </w:t>
      </w:r>
      <w:r>
        <w:rPr>
          <w:highlight w:val="yellow"/>
        </w:rPr>
        <w:t xml:space="preserve">issuers,</w:t>
      </w:r>
      <w:r>
        <w:t xml:space="preserve"> </w:t>
      </w:r>
      <w:r>
        <w:t xml:space="preserve">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w:t>
      </w:r>
      <w:r>
        <w:t xml:space="preserve"> </w:t>
      </w:r>
      <w:r>
        <w:rPr>
          <w:strike/>
        </w:rPr>
        <w:t xml:space="preserve">chance (</w:t>
      </w:r>
      <m:oMath>
        <m:r>
          <m:t>p</m:t>
        </m:r>
        <m:r>
          <m:rPr>
            <m:sty m:val="p"/>
          </m:rPr>
          <m:t>=</m:t>
        </m:r>
        <m:r>
          <m:t>0.021</m:t>
        </m:r>
      </m:oMath>
      <w:r>
        <w:rPr>
          <w:strike/>
        </w:rPr>
        <w:t xml:space="preserve">). Specification</w:t>
      </w:r>
      <w:r>
        <w:rPr>
          <w:strike/>
        </w:rPr>
        <w:t xml:space="preserve"> </w:t>
      </w:r>
      <w:r>
        <w:rPr>
          <w:strike/>
        </w:rPr>
        <w:t xml:space="preserve">sensitivity is therefore visible against a genuinely external benchmark, not only against the constructed</w:t>
      </w:r>
      <w:r>
        <w:rPr>
          <w:strike/>
        </w:rPr>
        <w:t xml:space="preserve"> </w:t>
      </w:r>
      <w:r>
        <w:rPr>
          <w:strike/>
        </w:rPr>
        <w:t xml:space="preserve">labels.</w:t>
      </w:r>
      <w:r>
        <w:t xml:space="preserve"> </w:t>
      </w:r>
      <w:r>
        <w:rPr>
          <w:highlight w:val="yellow"/>
        </w:rPr>
        <w:t xml:space="preserve">chance. Per-specification agreement with the external agency benchmark therefore varies across the evaluated specifications (</w:t>
      </w:r>
      <m:oMath>
        <m:r>
          <m:t>p</m:t>
        </m:r>
        <m:r>
          <m:rPr>
            <m:sty m:val="p"/>
          </m:rPr>
          <m:t>=</m:t>
        </m:r>
        <m:r>
          <m:t>0.021</m:t>
        </m:r>
      </m:oMath>
      <w:r>
        <w:rPr>
          <w:highlight w:val="yellow"/>
        </w:rPr>
        <w:t xml:space="preserve">). This is a within-issuer specification contrast and is not</w:t>
      </w:r>
      <w:r>
        <w:rPr>
          <w:highlight w:val="yellow"/>
        </w:rPr>
        <w:t xml:space="preserve"> </w:t>
      </w:r>
      <w:r>
        <w:rPr>
          <w:highlight w:val="yellow"/>
        </w:rPr>
        <w:t xml:space="preserve">interpreted as evidence of rating accuracy.</w:t>
      </w:r>
      <w:r>
        <w:t xml:space="preserve"> </w:t>
      </w:r>
      <w:r>
        <w:t xml:space="preserve">Machine-generated credit bands correspond to disclosed agency ratings</w:t>
      </w:r>
      <w:r>
        <w:t xml:space="preserve"> </w:t>
      </w:r>
      <w:r>
        <w:rPr>
          <w:strike/>
        </w:rPr>
        <w:t xml:space="preserve">about</w:t>
      </w:r>
      <w:r>
        <w:rPr>
          <w:strike/>
        </w:rPr>
        <w:t xml:space="preserve"> </w:t>
      </w:r>
      <m:oMath>
        <m:r>
          <m:t>54</m:t>
        </m:r>
        <m:r>
          <m:rPr>
            <m:sty m:val="p"/>
          </m:rPr>
          <m:t>%</m:t>
        </m:r>
      </m:oMath>
      <w:r>
        <w:rPr>
          <w:strike/>
        </w:rPr>
        <w:t xml:space="preserve"> </w:t>
      </w:r>
      <w:r>
        <w:rPr>
          <w:strike/>
        </w:rPr>
        <w:t xml:space="preserve">of the time, above the</w:t>
      </w:r>
      <w:r>
        <w:rPr>
          <w:strike/>
        </w:rPr>
        <w:t xml:space="preserve"> </w:t>
      </w:r>
      <m:oMath>
        <m:r>
          <m:rPr>
            <m:sty m:val="p"/>
          </m:rPr>
          <m:t>∼</m:t>
        </m:r>
      </m:oMath>
      <w:r>
        <w:rPr>
          <w:strike/>
        </w:rPr>
        <w:t xml:space="preserve">33% expected by chance on 3 bands but far from reliable</w:t>
      </w:r>
      <w:r>
        <w:rPr>
          <w:strike/>
        </w:rPr>
        <w:t xml:space="preserve"> </w:t>
      </w:r>
      <w:r>
        <w:rPr>
          <w:strike/>
        </w:rPr>
        <w:t xml:space="preserve">accord.</w:t>
      </w:r>
      <w:r>
        <w:t xml:space="preserve"> </w:t>
      </w:r>
      <m:oMath>
        <m:r>
          <m:t>53.7</m:t>
        </m:r>
        <m:r>
          <m:rPr>
            <m:sty m:val="p"/>
          </m:rPr>
          <m:t>%</m:t>
        </m:r>
      </m:oMath>
      <w:r>
        <w:t xml:space="preserve"> </w:t>
      </w:r>
      <w:r>
        <w:rPr>
          <w:highlight w:val="yellow"/>
        </w:rPr>
        <w:t xml:space="preserve">of the time. The correct reference for that figure is not the uniform three-class value of</w:t>
      </w:r>
      <w:r>
        <w:t xml:space="preserve"> </w:t>
      </w:r>
      <m:oMath>
        <m:r>
          <m:t>33.3</m:t>
        </m:r>
        <m:r>
          <m:rPr>
            <m:sty m:val="p"/>
          </m:rPr>
          <m:t>%</m:t>
        </m:r>
      </m:oMath>
      <w:r>
        <w:rPr>
          <w:highlight w:val="yellow"/>
        </w:rPr>
        <w:t xml:space="preserve">: both margins are concentrated in two bands. The machine assigns SAFE</w:t>
      </w:r>
      <w:r>
        <w:t xml:space="preserve"> </w:t>
      </w:r>
      <m:oMath>
        <m:r>
          <m:t>54.7</m:t>
        </m:r>
        <m:r>
          <m:rPr>
            <m:sty m:val="p"/>
          </m:rPr>
          <m:t>%</m:t>
        </m:r>
      </m:oMath>
      <w:r>
        <w:t xml:space="preserve"> </w:t>
      </w:r>
      <w:r>
        <w:rPr>
          <w:highlight w:val="yellow"/>
        </w:rPr>
        <w:t xml:space="preserve">and WATCH</w:t>
      </w:r>
      <w:r>
        <w:t xml:space="preserve"> </w:t>
      </w:r>
      <m:oMath>
        <m:r>
          <m:t>43.7</m:t>
        </m:r>
        <m:r>
          <m:rPr>
            <m:sty m:val="p"/>
          </m:rPr>
          <m:t>%</m:t>
        </m:r>
      </m:oMath>
      <w:r>
        <w:t xml:space="preserve"> </w:t>
      </w:r>
      <w:r>
        <w:rPr>
          <w:highlight w:val="yellow"/>
        </w:rPr>
        <w:t xml:space="preserve">of the time, the agency benchmark</w:t>
      </w:r>
      <w:r>
        <w:t xml:space="preserve"> </w:t>
      </w:r>
      <m:oMath>
        <m:r>
          <m:t>46.7</m:t>
        </m:r>
        <m:r>
          <m:rPr>
            <m:sty m:val="p"/>
          </m:rPr>
          <m:t>%</m:t>
        </m:r>
      </m:oMath>
      <w:r>
        <w:t xml:space="preserve"> </w:t>
      </w:r>
      <w:r>
        <w:rPr>
          <w:highlight w:val="yellow"/>
        </w:rPr>
        <w:t xml:space="preserve">and</w:t>
      </w:r>
      <w:r>
        <w:t xml:space="preserve"> </w:t>
      </w:r>
      <m:oMath>
        <m:r>
          <m:t>53.3</m:t>
        </m:r>
        <m:r>
          <m:rPr>
            <m:sty m:val="p"/>
          </m:rPr>
          <m:t>%</m:t>
        </m:r>
      </m:oMath>
      <w:r>
        <w:rPr>
          <w:highlight w:val="yellow"/>
        </w:rPr>
        <w:t xml:space="preserve">, so the agreement expected from</w:t>
      </w:r>
      <w:r>
        <w:rPr>
          <w:highlight w:val="yellow"/>
        </w:rPr>
        <w:t xml:space="preserve"> </w:t>
      </w:r>
      <w:r>
        <w:rPr>
          <w:highlight w:val="yellow"/>
        </w:rP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rPr>
          <w:highlight w:val="yellow"/>
        </w:rPr>
        <w:t xml:space="preserve">.</w:t>
      </w:r>
      <w:r>
        <w:rPr>
          <w:highlight w:val="yellow"/>
        </w:rPr>
        <w:t xml:space="preserve"> </w:t>
      </w:r>
      <w:r>
        <w:rPr>
          <w:highlight w:val="yellow"/>
        </w:rPr>
        <w:t xml:space="preserve">Measured against that baseline the excess is</w:t>
      </w:r>
      <w:r>
        <w:t xml:space="preserve"> </w:t>
      </w:r>
      <m:oMath>
        <m:r>
          <m:rPr>
            <m:sty m:val="p"/>
          </m:rPr>
          <m:t>+</m:t>
        </m:r>
        <m:r>
          <m:t>4.9</m:t>
        </m:r>
      </m:oMath>
      <w:r>
        <w:t xml:space="preserve"> </w:t>
      </w:r>
      <w:r>
        <w:rPr>
          <w:highlight w:val="yellow"/>
        </w:rPr>
        <w:t xml:space="preserve">percentage points with an issuer-clustered</w:t>
      </w:r>
      <w:r>
        <w:rPr>
          <w:highlight w:val="yellow"/>
        </w:rPr>
        <w:t xml:space="preserve"> </w:t>
      </w:r>
      <w:r>
        <w:rPr>
          <w:highlight w:val="yellow"/>
        </w:rPr>
        <w:t xml:space="preserve">95</w:t>
      </w:r>
      <w:r>
        <w:t xml:space="preserve">%</w:t>
      </w:r>
      <w:r>
        <w:t xml:space="preserve"> </w:t>
      </w:r>
      <w:r>
        <w:rPr>
          <w:highlight w:val="yellow"/>
        </w:rPr>
        <w:t xml:space="preserve">interval of</w:t>
      </w:r>
      <w:r>
        <w:t xml:space="preserve"> </w:t>
      </w:r>
      <m:oMath>
        <m:r>
          <m:rPr>
            <m:sty m:val="p"/>
          </m:rPr>
          <m:t>(</m:t>
        </m:r>
        <m:r>
          <m:rPr>
            <m:sty m:val="p"/>
          </m:rPr>
          <m:t>−</m:t>
        </m:r>
        <m:r>
          <m:t>7.9</m:t>
        </m:r>
        <m:r>
          <m:rPr>
            <m:sty m:val="p"/>
          </m:rPr>
          <m:t>,</m:t>
        </m:r>
        <m:r>
          <m:t> </m:t>
        </m:r>
        <m:r>
          <m:rPr>
            <m:sty m:val="p"/>
          </m:rPr>
          <m:t>+</m:t>
        </m:r>
        <m:r>
          <m:t>17.1</m:t>
        </m:r>
        <m:r>
          <m:rPr>
            <m:sty m:val="p"/>
          </m:rPr>
          <m:t>)</m:t>
        </m:r>
      </m:oMath>
      <w:r>
        <w:rPr>
          <w:highlight w:val="yellow"/>
        </w:rPr>
        <w:t xml:space="preserve">, and Cohen’s</w:t>
      </w:r>
      <w:r>
        <w:t xml:space="preserve"> </w:t>
      </w:r>
      <m:oMath>
        <m:r>
          <m:t>κ</m:t>
        </m:r>
      </m:oMath>
      <w:r>
        <w:t xml:space="preserve"> </w:t>
      </w:r>
      <w:r>
        <w:rPr>
          <w:highlight w:val="yellow"/>
        </w:rPr>
        <w:t xml:space="preserve">is</w:t>
      </w:r>
      <w:r>
        <w:t xml:space="preserve"> </w:t>
      </w:r>
      <m:oMath>
        <m:r>
          <m:t>0.095</m:t>
        </m:r>
      </m:oMath>
      <w:r>
        <w:rPr>
          <w:highlight w:val="yellow"/>
        </w:rP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rPr>
          <w:highlight w:val="yellow"/>
        </w:rPr>
        <w:t xml:space="preserve">, and we draw no accuracy claim from this comparison. What the real-firm</w:t>
      </w:r>
      <w:r>
        <w:rPr>
          <w:highlight w:val="yellow"/>
        </w:rPr>
        <w:t xml:space="preserve"> </w:t>
      </w:r>
      <w:r>
        <w:rPr>
          <w:highlight w:val="yellow"/>
        </w:rPr>
        <w:t xml:space="preserve">arm is used for is the</w:t>
      </w:r>
      <w:r>
        <w:t xml:space="preserve"> </w:t>
      </w:r>
      <w:r>
        <w:rPr>
          <w:i/>
          <w:iCs/>
        </w:rPr>
        <w:t xml:space="preserve">specification spread</w:t>
      </w:r>
      <w:r>
        <w:t xml:space="preserve"> </w:t>
      </w:r>
      <w:r>
        <w:rPr>
          <w:highlight w:val="yellow"/>
        </w:rPr>
        <w:t xml:space="preserve">reported above, which is a within-issuer</w:t>
      </w:r>
      <w:r>
        <w:rPr>
          <w:highlight w:val="yellow"/>
        </w:rPr>
        <w:t xml:space="preserve"> </w:t>
      </w:r>
      <w:r>
        <w:rPr>
          <w:highlight w:val="yellow"/>
        </w:rPr>
        <w:t xml:space="preserve">contrast and does not depend on the level of agreement.</w:t>
      </w:r>
    </w:p>
    <w:bookmarkStart w:id="40" w:name="tab:realarm"/>
    <w:p>
      <w:pPr>
        <w:pStyle w:val="TableCaption"/>
      </w:pPr>
      <w:r>
        <w:t xml:space="preserve">[Revised in revision 2] 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vised in revision 2] 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[New in revision 2] 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New in revision 2] 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rPr>
          <w:strike/>
        </w:rPr>
        <w:t xml:space="preserve">points;</w:t>
      </w:r>
      <w:r>
        <w:t xml:space="preserve"> </w:t>
      </w:r>
      <w:r>
        <w:rPr>
          <w:highlight w:val="yellow"/>
        </w:rPr>
        <w:t xml:space="preserve">points,</w:t>
      </w:r>
      <w:r>
        <w:t xml:space="preserve"> </w:t>
      </w:r>
      <w:r>
        <w:t xml:space="preserve">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w:t>
      </w:r>
      <w:r>
        <w:t xml:space="preserve"> </w:t>
      </w:r>
      <w:r>
        <w:rPr>
          <w:strike/>
        </w:rPr>
        <w:t xml:space="preserve">We do not detect attenuation of specification sensitivity at the</w:t>
      </w:r>
      <w:r>
        <w:rPr>
          <w:strike/>
        </w:rPr>
        <w:t xml:space="preserve"> </w:t>
      </w:r>
      <w:r>
        <w:rPr>
          <w:strike/>
        </w:rPr>
        <w:t xml:space="preserve">flagship tier: the paired difference is small and statistically indistinguishable from zero, with a wide</w:t>
      </w:r>
      <w:r>
        <w:rPr>
          <w:strike/>
        </w:rPr>
        <w:t xml:space="preserve"> </w:t>
      </w:r>
      <w:r>
        <w:rPr>
          <w:strike/>
        </w:rPr>
        <w:t xml:space="preserve">interval (</w:t>
      </w:r>
      <m:oMath>
        <m:r>
          <m:rPr>
            <m:sty m:val="p"/>
          </m:rPr>
          <m:t>−</m:t>
        </m:r>
        <m:r>
          <m:t>1.1</m:t>
        </m:r>
      </m:oMath>
      <w:r>
        <w:rPr>
          <w:strike/>
        </w:rPr>
        <w:t xml:space="preserve"> </w:t>
      </w:r>
      <w:r>
        <w:rPr>
          <w:strike/>
        </w:rPr>
        <w:t xml:space="preserve">pp, 95% CI</w:t>
      </w:r>
      <w:r>
        <w:rPr>
          <w:strike/>
        </w:rPr>
        <w:t xml:space="preserve"> </w:t>
      </w:r>
      <m:oMath>
        <m:r>
          <m:rPr>
            <m:sty m:val="p"/>
          </m:rPr>
          <m:t>−</m:t>
        </m:r>
        <m:r>
          <m:t>7.6</m:t>
        </m:r>
      </m:oMath>
      <w:r>
        <w:rPr>
          <w:strike/>
        </w:rPr>
        <w:t xml:space="preserve"> </w:t>
      </w:r>
      <w:r>
        <w:rPr>
          <w:strike/>
        </w:rPr>
        <w:t xml:space="preserve">to</w:t>
      </w:r>
      <w:r>
        <w:rPr>
          <w:strike/>
        </w:rPr>
        <w:t xml:space="preserve"> </w:t>
      </w:r>
      <m:oMath>
        <m:r>
          <m:rPr>
            <m:sty m:val="p"/>
          </m:rPr>
          <m:t>+</m:t>
        </m:r>
        <m:r>
          <m:t>6.0</m:t>
        </m:r>
      </m:oMath>
      <w:r>
        <w:rPr>
          <w:strike/>
        </w:rPr>
        <w:t xml:space="preserve">). This is an absence-of-evidence result, not evidence of</w:t>
      </w:r>
      <w:r>
        <w:rPr>
          <w:strike/>
        </w:rPr>
        <w:t xml:space="preserve"> </w:t>
      </w:r>
      <w:r>
        <w:rPr>
          <w:strike/>
        </w:rPr>
        <w:t xml:space="preserve">absence, and is consistent with the instability being a property of how the categorical judgment is</w:t>
      </w:r>
      <w:r>
        <w:rPr>
          <w:strike/>
        </w:rPr>
        <w:t xml:space="preserve"> </w:t>
      </w:r>
      <w:r>
        <w:rPr>
          <w:strike/>
        </w:rPr>
        <w:t xml:space="preserve">elicited rather than of model scale.</w:t>
      </w:r>
      <w:r>
        <w:t xml:space="preserve"> </w:t>
      </w:r>
      <w:r>
        <w:rPr>
          <w:highlight w:val="yellow"/>
        </w:rPr>
        <w:t xml:space="preserve">The comparison finds no detectable attenuation of specification sensitivity, although the wide</w:t>
      </w:r>
      <w:r>
        <w:rPr>
          <w:highlight w:val="yellow"/>
        </w:rPr>
        <w:t xml:space="preserve"> </w:t>
      </w:r>
      <w:r>
        <w:rPr>
          <w:highlight w:val="yellow"/>
        </w:rPr>
        <w:t xml:space="preserve">confidence interval does not establish equivalence.</w:t>
      </w:r>
    </w:p>
    <w:p>
      <w:pPr>
        <w:pStyle w:val="BodyText"/>
      </w:pPr>
      <w:r>
        <w:t xml:space="preserve">Two caveats attach to this comparison. First, the pooled figure masks provider</w:t>
      </w:r>
      <w:r>
        <w:t xml:space="preserve"> </w:t>
      </w:r>
      <w:r>
        <w:rPr>
          <w:strike/>
        </w:rPr>
        <w:t xml:space="preserve">heterogeneity: the</w:t>
      </w:r>
      <w:r>
        <w:t xml:space="preserve"> </w:t>
      </w:r>
      <w:r>
        <w:rPr>
          <w:highlight w:val="yellow"/>
        </w:rPr>
        <w:t xml:space="preserve">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[Revised in revision 2] 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Revised in revision 2] 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w:t>
      </w:r>
      <w:r>
        <w:t xml:space="preserve"> </w:t>
      </w:r>
      <w:r>
        <w:rPr>
          <w:strike/>
        </w:rPr>
        <w:t xml:space="preserve">API;</w:t>
      </w:r>
      <w:r>
        <w:t xml:space="preserve"> </w:t>
      </w:r>
      <w:r>
        <w:rPr>
          <w:highlight w:val="yellow"/>
        </w:rPr>
        <w:t xml:space="preserve">API,</w:t>
      </w:r>
      <w:r>
        <w:t xml:space="preserve"> </w:t>
      </w:r>
      <w:r>
        <w:t xml:space="preserve">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rPr>
          <w:strike/>
        </w:rPr>
        <w:t xml:space="preserve">like-for-like: the</w:t>
      </w:r>
      <w:r>
        <w:t xml:space="preserve"> </w:t>
      </w:r>
      <w:r>
        <w:rPr>
          <w:highlight w:val="yellow"/>
        </w:rPr>
        <w:t xml:space="preserve">like-for-like. The</w:t>
      </w:r>
      <w:r>
        <w:t xml:space="preserve"> </w:t>
      </w:r>
      <w:r>
        <w:t xml:space="preserve">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[Revised in revision 2] 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vised in revision 2] 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w:t>
      </w:r>
      <w:r>
        <w:t xml:space="preserve"> </w:t>
      </w:r>
      <w:r>
        <w:rPr>
          <w:strike/>
        </w:rPr>
        <w:t xml:space="preserve">self-consistency: instead</w:t>
      </w:r>
      <w:r>
        <w:t xml:space="preserve"> </w:t>
      </w:r>
      <w:r>
        <w:rPr>
          <w:highlight w:val="yellow"/>
        </w:rPr>
        <w:t xml:space="preserve">self-consistency. Instead</w:t>
      </w:r>
      <w:r>
        <w:t xml:space="preserve"> </w:t>
      </w:r>
      <w:r>
        <w:t xml:space="preserve">of acting on a single elicitation,</w:t>
      </w:r>
      <w:r>
        <w:t xml:space="preserve"> </w:t>
      </w:r>
      <w:r>
        <w:rPr>
          <w:strike/>
        </w:rPr>
        <w:t xml:space="preserve">query the model under</w:t>
      </w:r>
      <w:r>
        <w:rPr>
          <w:strike/>
        </w:rPr>
        <w:t xml:space="preserve"> </w:t>
      </w:r>
      <m:oMath>
        <m:r>
          <m:t>k</m:t>
        </m:r>
      </m:oMath>
      <w:r>
        <w:rPr>
          <w:strike/>
        </w:rPr>
        <w:t xml:space="preserve"> </w:t>
      </w:r>
      <w:r>
        <w:rPr>
          <w:strike/>
        </w:rPr>
        <w:t xml:space="preserve">defensible specifications</w:t>
      </w:r>
      <w:r>
        <w:t xml:space="preserve"> </w:t>
      </w:r>
      <w:r>
        <w:rPr>
          <w:highlight w:val="yellow"/>
        </w:rPr>
        <w:t xml:space="preserve">aggregate</w:t>
      </w:r>
      <w:r>
        <w:t xml:space="preserve"> </w:t>
      </w:r>
      <m:oMath>
        <m:r>
          <m:t>k</m:t>
        </m:r>
      </m:oMath>
      <w:r>
        <w:t xml:space="preserve"> </w:t>
      </w:r>
      <w:r>
        <w:rPr>
          <w:highlight w:val="yellow"/>
        </w:rPr>
        <w:t xml:space="preserve">elicitation observations</w:t>
      </w:r>
      <w:r>
        <w:t xml:space="preserve"> </w:t>
      </w:r>
      <w:r>
        <w:t xml:space="preserve">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w:t>
      </w:r>
      <w:r>
        <w:t xml:space="preserve"> </w:t>
      </w:r>
      <w:r>
        <w:rPr>
          <w:strike/>
        </w:rPr>
        <w:t xml:space="preserve">instability: the</w:t>
      </w:r>
      <w:r>
        <w:t xml:space="preserve"> </w:t>
      </w:r>
      <w:r>
        <w:rPr>
          <w:highlight w:val="yellow"/>
        </w:rPr>
        <w:t xml:space="preserve">instability. The</w:t>
      </w:r>
      <w:r>
        <w:t xml:space="preserve"> </w:t>
      </w:r>
      <w:r>
        <w:t xml:space="preserve">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rPr>
          <w:strike/>
        </w:rPr>
        <w:t xml:space="preserve">; it</w:t>
      </w:r>
      <w:r>
        <w:t xml:space="preserve"> </w:t>
      </w:r>
      <w:r>
        <w:rPr>
          <w:highlight w:val="yellow"/>
        </w:rP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rPr>
          <w:highlight w:val="yellow"/>
        </w:rP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w:t>
      </w:r>
      <w:r>
        <w:t xml:space="preserve"> </w:t>
      </w:r>
      <w:r>
        <w:rPr>
          <w:strike/>
        </w:rPr>
        <w:t xml:space="preserve">rating,</w:t>
      </w:r>
      <w:r>
        <w:rPr>
          <w:strike/>
        </w:rPr>
        <w:t xml:space="preserve"> </w:t>
      </w:r>
      <w:r>
        <w:rPr>
          <w:strike/>
        </w:rPr>
        <w:t xml:space="preserve">turning the specification curve from a research diagnostic into an operational model-risk control. This</w:t>
      </w:r>
      <w:r>
        <w:rPr>
          <w:strike/>
        </w:rPr>
        <w:t xml:space="preserve"> </w:t>
      </w:r>
      <w:r>
        <w:rPr>
          <w:strike/>
        </w:rPr>
        <w:t xml:space="preserve">section defines the control, validates that it predicts held-out instability, and specifies its</w:t>
      </w:r>
      <w:r>
        <w:rPr>
          <w:strike/>
        </w:rPr>
        <w:t xml:space="preserve"> </w:t>
      </w:r>
      <w:r>
        <w:rPr>
          <w:strike/>
        </w:rPr>
        <w:t xml:space="preserve">deployment cost and governance use.</w:t>
      </w:r>
      <w:r>
        <w:t xml:space="preserve"> </w:t>
      </w:r>
      <w:r>
        <w:rPr>
          <w:highlight w:val="yellow"/>
        </w:rPr>
        <w:t xml:space="preserve">rating. This section defines a</w:t>
      </w:r>
      <w:r>
        <w:rPr>
          <w:highlight w:val="yellow"/>
        </w:rPr>
        <w:t xml:space="preserve"> </w:t>
      </w:r>
      <w:r>
        <w:rPr>
          <w:highlight w:val="yellow"/>
        </w:rPr>
        <w:t xml:space="preserve">descriptive dispersion index, benchmarks it against simpler measures of disagreement, and specifies</w:t>
      </w:r>
      <w:r>
        <w:rPr>
          <w:highlight w:val="yellow"/>
        </w:rPr>
        <w:t xml:space="preserve"> </w:t>
      </w:r>
      <w:r>
        <w:rPr>
          <w:highlight w:val="yellow"/>
        </w:rPr>
        <w:t xml:space="preserve">the cost and governance use of a review rule based on disagreement. It does not validate an</w:t>
      </w:r>
      <w:r>
        <w:rPr>
          <w:highlight w:val="yellow"/>
        </w:rPr>
        <w:t xml:space="preserve"> </w:t>
      </w:r>
      <w:r>
        <w:rPr>
          <w:highlight w:val="yellow"/>
        </w:rPr>
        <w:t xml:space="preserve">operational control, and</w:t>
      </w:r>
      <w:r>
        <w:t xml:space="preserve"> </w:t>
      </w:r>
      <w:r>
        <w:t xml:space="preserve">Section 4.3</w:t>
      </w:r>
      <w:r>
        <w:t xml:space="preserve"> </w:t>
      </w:r>
      <w:r>
        <w:rPr>
          <w:highlight w:val="yellow"/>
        </w:rPr>
        <w:t xml:space="preserve">shows the index carries no incremental</w:t>
      </w:r>
      <w:r>
        <w:rPr>
          <w:highlight w:val="yellow"/>
        </w:rPr>
        <w:t xml:space="preserve"> </w:t>
      </w:r>
      <w:r>
        <w:rPr>
          <w:highlight w:val="yellow"/>
        </w:rP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w:t>
      </w:r>
      <w:r>
        <w:t xml:space="preserve"> </w:t>
      </w:r>
      <w:r>
        <w:rPr>
          <w:strike/>
        </w:rPr>
        <w:t xml:space="preserve">small set</w:t>
      </w:r>
      <w:r>
        <w:rPr>
          <w:strike/>
        </w:rPr>
        <w:t xml:space="preserve"> </w:t>
      </w:r>
      <m:oMath>
        <m:r>
          <m:t>S</m:t>
        </m:r>
      </m:oMath>
      <w:r>
        <w:rPr>
          <w:strike/>
        </w:rPr>
        <w:t xml:space="preserve"> </w:t>
      </w:r>
      <w:r>
        <w:rPr>
          <w:strike/>
        </w:rPr>
        <w:t xml:space="preserve">of</w:t>
      </w:r>
      <w:r>
        <w:rPr>
          <w:strike/>
        </w:rPr>
        <w:t xml:space="preserve"> </w:t>
      </w:r>
      <m:oMath>
        <m:r>
          <m:t>k</m:t>
        </m:r>
      </m:oMath>
      <w:r>
        <w:rPr>
          <w:strike/>
        </w:rPr>
        <w:t xml:space="preserve"> </w:t>
      </w:r>
      <w:r>
        <w:rPr>
          <w:strike/>
        </w:rPr>
        <w:t xml:space="preserve">defensible elicitation specifications</w:t>
      </w:r>
      <w:r>
        <w:t xml:space="preserve"> </w:t>
      </w:r>
      <w:r>
        <w:rPr>
          <w:highlight w:val="yellow"/>
        </w:rPr>
        <w:t xml:space="preserve">plan of</w:t>
      </w:r>
      <w:r>
        <w:t xml:space="preserve"> </w:t>
      </w:r>
      <m:oMath>
        <m:r>
          <m:t>k</m:t>
        </m:r>
      </m:oMath>
      <w:r>
        <w:t xml:space="preserve"> </w:t>
      </w:r>
      <w:r>
        <w:rPr>
          <w:highlight w:val="yellow"/>
        </w:rPr>
        <w:t xml:space="preserve">elicitation observations drawn from defensible specifications,</w:t>
      </w:r>
      <w:r>
        <w:t xml:space="preserve"> </w:t>
      </w:r>
      <w:r>
        <w:t xml:space="preserve">and a decision</w:t>
      </w:r>
      <w:r>
        <w:t xml:space="preserve"> </w:t>
      </w:r>
      <w:r>
        <w:t xml:space="preserve">resolution</w:t>
      </w:r>
      <w:r>
        <w:t xml:space="preserve"> </w:t>
      </w:r>
      <m:oMath>
        <m:r>
          <m:t>g</m:t>
        </m:r>
      </m:oMath>
      <w:r>
        <w:t xml:space="preserve"> </w:t>
      </w:r>
      <w:r>
        <w:t xml:space="preserve">(for example, the map from letter grade to the IG/HY class).</w:t>
      </w:r>
      <w:r>
        <w:t xml:space="preserve"> </w:t>
      </w:r>
      <w:r>
        <w:rPr>
          <w:strike/>
        </w:rPr>
        <w:t xml:space="preserve">Query the model once per</w:t>
      </w:r>
      <w:r>
        <w:rPr>
          <w:strike/>
        </w:rPr>
        <w:t xml:space="preserve"> </w:t>
      </w:r>
      <w:r>
        <w:rPr>
          <w:strike/>
        </w:rPr>
        <w:t xml:space="preserve">specification, map each rating to its</w:t>
      </w:r>
      <w:r>
        <w:t xml:space="preserve"> </w:t>
      </w:r>
      <w:r>
        <w:rPr>
          <w:highlight w:val="yellow"/>
        </w:rPr>
        <w:t xml:space="preserve">For each of the</w:t>
      </w:r>
      <w:r>
        <w:t xml:space="preserve"> </w:t>
      </w:r>
      <m:oMath>
        <m:r>
          <m:t>k</m:t>
        </m:r>
      </m:oMath>
      <w:r>
        <w:t xml:space="preserve"> </w:t>
      </w:r>
      <w:r>
        <w:rPr>
          <w:highlight w:val="yellow"/>
        </w:rPr>
        <w:t xml:space="preserve">planned elicitation</w:t>
      </w:r>
      <w:r>
        <w:rPr>
          <w:highlight w:val="yellow"/>
        </w:rPr>
        <w:t xml:space="preserve"> </w:t>
      </w:r>
      <w:r>
        <w:rPr>
          <w:highlight w:val="yellow"/>
        </w:rP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rPr>
          <w:strike/>
        </w:rPr>
        <w:t xml:space="preserve">be the fraction of the</w:t>
      </w:r>
      <w:r>
        <w:rPr>
          <w:strike/>
        </w:rPr>
        <w:t xml:space="preserve"> </w:t>
      </w:r>
      <m:oMath>
        <m:r>
          <m:t>k</m:t>
        </m:r>
      </m:oMath>
      <w:r>
        <w:rPr>
          <w:strike/>
        </w:rPr>
        <w:t xml:space="preserve"> </w:t>
      </w:r>
      <w:r>
        <w:rPr>
          <w:strike/>
        </w:rPr>
        <w:t xml:space="preserve">elicitations that fall in class</w:t>
      </w:r>
      <w:r>
        <w:rPr>
          <w:strike/>
        </w:rPr>
        <w:t xml:space="preserve"> </w:t>
      </w:r>
      <m:oMath>
        <m:r>
          <m:t>c</m:t>
        </m:r>
      </m:oMath>
      <w:r>
        <w:rPr>
          <w:strike/>
        </w:rPr>
        <w:t xml:space="preserve">.</w:t>
      </w:r>
      <w:r>
        <w:t xml:space="preserve"> </w:t>
      </w:r>
      <w:r>
        <w:rPr>
          <w:highlight w:val="yellow"/>
        </w:rPr>
        <w:t xml:space="preserve">denote the resulting class proportion.</w:t>
      </w:r>
      <w:r>
        <w:t xml:space="preserve"> </w:t>
      </w:r>
      <w:r>
        <w:t xml:space="preserve">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w:t>
      </w:r>
      <w:r>
        <w:t xml:space="preserve"> </w:t>
      </w:r>
      <w:r>
        <w:rPr>
          <w:strike/>
        </w:rPr>
        <w:t xml:space="preserve">a perfectly</w:t>
      </w:r>
      <w:r>
        <w:rPr>
          <w:strike/>
        </w:rPr>
        <w:t xml:space="preserve"> </w:t>
      </w:r>
      <w:r>
        <w:rPr>
          <w:strike/>
        </w:rPr>
        <w:t xml:space="preserve">stable, specification-invariant rating; higher values flag issuers whose rating is substantially an</w:t>
      </w:r>
      <w:r>
        <w:rPr>
          <w:strike/>
        </w:rPr>
        <w:t xml:space="preserve"> </w:t>
      </w:r>
      <w:r>
        <w:rPr>
          <w:strike/>
        </w:rPr>
        <w:t xml:space="preserve">artifact of how the question was asked</w:t>
      </w:r>
      <w:r>
        <w:t xml:space="preserve"> </w:t>
      </w:r>
      <w:r>
        <w:rPr>
          <w:highlight w:val="yellow"/>
        </w:rPr>
        <w:t xml:space="preserve">an invariant decision class at the chosen resolution across the evaluated elicitations. Higher values indicate greater sensitivity of the decision class to elicitation choices</w:t>
      </w:r>
      <w:r>
        <w:t xml:space="preserve"> </w:t>
      </w:r>
      <w:r>
        <w:t xml:space="preserve">(the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w:t>
      </w:r>
      <w:r>
        <w:t xml:space="preserve"> </w:t>
      </w:r>
      <w:r>
        <w:rPr>
          <w:strike/>
        </w:rPr>
        <w:t xml:space="preserve">index; the</w:t>
      </w:r>
      <w:r>
        <w:t xml:space="preserve"> </w:t>
      </w:r>
      <w:r>
        <w:rPr>
          <w:highlight w:val="yellow"/>
        </w:rPr>
        <w:t xml:space="preserve">index. The</w:t>
      </w:r>
      <w:r>
        <w:t xml:space="preserve"> </w:t>
      </w:r>
      <w:r>
        <w:t xml:space="preserve">contribution here is not a new mathematical</w:t>
      </w:r>
      <w:r>
        <w:t xml:space="preserve"> </w:t>
      </w:r>
      <w:r>
        <w:rPr>
          <w:strike/>
        </w:rPr>
        <w:t xml:space="preserve">index but its use as a candidate operational credit-model-risk control,</w:t>
      </w:r>
      <w:r>
        <w:rPr>
          <w:strike/>
        </w:rPr>
        <w:t xml:space="preserve"> </w:t>
      </w:r>
      <w:r>
        <w:rPr>
          <w:strike/>
        </w:rPr>
        <w:t xml:space="preserve">its validation on held-out specifications, its governance trigger, and its cost model.</w:t>
      </w:r>
      <w:r>
        <w:t xml:space="preserve"> </w:t>
      </w:r>
      <w:r>
        <w:rPr>
          <w:highlight w:val="yellow"/>
        </w:rPr>
        <w:t xml:space="preserve">index.</w:t>
      </w:r>
      <w:r>
        <w:t xml:space="preserve"> </w:t>
      </w:r>
      <w:r>
        <w:t xml:space="preserve">Section 4.3</w:t>
      </w:r>
      <w:r>
        <w:t xml:space="preserve"> </w:t>
      </w:r>
      <w:r>
        <w:rPr>
          <w:highlight w:val="yellow"/>
        </w:rPr>
        <w:t xml:space="preserve">shows that the index is ordinally equivalent to counting dissents at the binary IG/HY gate and provides no incremental discrimination at the three-band resolution in the present analyses, despite the measures not being exactly rank-equivalent. What the section offers is the</w:t>
      </w:r>
      <w:r>
        <w:rPr>
          <w:highlight w:val="yellow"/>
        </w:rPr>
        <w:t xml:space="preserve"> </w:t>
      </w:r>
      <w:r>
        <w:rPr>
          <w:highlight w:val="yellow"/>
        </w:rPr>
        <w:t xml:space="preserve">held-out-specification evidence that early disagreement predicts later disagreement, a governance</w:t>
      </w:r>
      <w:r>
        <w:rPr>
          <w:highlight w:val="yellow"/>
        </w:rPr>
        <w:t xml:space="preserve"> </w:t>
      </w:r>
      <w:r>
        <w:rPr>
          <w:highlight w:val="yellow"/>
        </w:rP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[Revised in revision 2] 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w:t>
      </w:r>
      <w:r>
        <w:t xml:space="preserve"> </w:t>
      </w:r>
      <w:r>
        <w:rPr>
          <w:strike/>
        </w:rPr>
        <w:t xml:space="preserve">A control is only useful if it predicts</w:t>
      </w:r>
      <w:r>
        <w:rPr>
          <w:strike/>
        </w:rPr>
        <w:t xml:space="preserve"> </w:t>
      </w:r>
      <w:r>
        <w:rPr>
          <w:strike/>
        </w:rPr>
        <w:t xml:space="preserve">instability it has not seen, so</w:t>
      </w:r>
      <w:r>
        <w:t xml:space="preserve"> </w:t>
      </w:r>
      <w:r>
        <w:rPr>
          <w:highlight w:val="yellow"/>
        </w:rPr>
        <w:t xml:space="preserve">To test whether early disagreement is informative about later disagreement,</w:t>
      </w:r>
      <w:r>
        <w:t xml:space="preserve"> </w:t>
      </w:r>
      <w:r>
        <w:t xml:space="preserve">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w:t>
      </w:r>
      <w:r>
        <w:t xml:space="preserve"> </w:t>
      </w:r>
      <w:r>
        <w:rPr>
          <w:strike/>
        </w:rPr>
        <w:t xml:space="preserve">splits: the</w:t>
      </w:r>
      <w:r>
        <w:t xml:space="preserve"> </w:t>
      </w:r>
      <w:r>
        <w:rPr>
          <w:highlight w:val="yellow"/>
        </w:rPr>
        <w:t xml:space="preserve">splits. The</w:t>
      </w:r>
      <w:r>
        <w:t xml:space="preserve"> </w:t>
      </w:r>
      <w:r>
        <w:t xml:space="preserve">median AUC is</w:t>
      </w:r>
      <w:r>
        <w:t xml:space="preserve"> </w:t>
      </w:r>
      <m:oMath>
        <m:r>
          <m:t>0.88</m:t>
        </m:r>
      </m:oMath>
      <w:r>
        <w:t xml:space="preserve"> </w:t>
      </w:r>
      <w:r>
        <w:t xml:space="preserve">(interquartile range</w:t>
      </w:r>
      <w:r>
        <w:t xml:space="preserve"> </w:t>
      </w:r>
      <m:oMath>
        <m:r>
          <m:t>0.86</m:t>
        </m:r>
      </m:oMath>
      <w:r>
        <w:t xml:space="preserve">–</w:t>
      </w:r>
      <m:oMath>
        <m:r>
          <m:t>0.91</m:t>
        </m:r>
      </m:oMath>
      <w:r>
        <w:rPr>
          <w:highlight w:val="yellow"/>
        </w:rPr>
        <w:t xml:space="preserve">,</w:t>
      </w:r>
      <w:r>
        <w:t xml:space="preserve"> </w:t>
      </w:r>
      <w:r>
        <w:t xml:space="preserve">full range</w:t>
      </w:r>
      <w:r>
        <w:t xml:space="preserve"> </w:t>
      </w:r>
      <m:oMath>
        <m:r>
          <m:t>0.73</m:t>
        </m:r>
      </m:oMath>
      <w:r>
        <w:t xml:space="preserve">–</w:t>
      </w:r>
      <m:oMath>
        <m:r>
          <m:t>0.98</m:t>
        </m:r>
      </m:oMath>
      <w:r>
        <w:t xml:space="preserve">).</w:t>
      </w:r>
      <w:r>
        <w:t xml:space="preserve"> </w:t>
      </w:r>
      <w:r>
        <w:rPr>
          <w:strike/>
        </w:rPr>
        <w:t xml:space="preserve">The score therefore identifies, from a</w:t>
      </w:r>
      <w:r>
        <w:rPr>
          <w:strike/>
        </w:rPr>
        <w:t xml:space="preserve"> </w:t>
      </w:r>
      <w:r>
        <w:rPr>
          <w:strike/>
        </w:rPr>
        <w:t xml:space="preserve">handful of elicitations, the issuers whose ratings will prove unstable under specifications not yet</w:t>
      </w:r>
      <w:r>
        <w:rPr>
          <w:strike/>
        </w:rPr>
        <w:t xml:space="preserve"> </w:t>
      </w:r>
      <w:r>
        <w:rPr>
          <w:strike/>
        </w:rPr>
        <w:t xml:space="preserve">tried; these results support the score as a candidate operational screening control for the evaluated model/specification setting.</w:t>
      </w:r>
      <w:r>
        <w:t xml:space="preserve"> </w:t>
      </w:r>
      <w:r>
        <w:rPr>
          <w:strike/>
        </w:rPr>
        <w:t xml:space="preserve">We also check whether this generalizes beyond the synthetic battery by repeating the validation on the</w:t>
      </w:r>
      <w:r>
        <w:rPr>
          <w:strike/>
        </w:rPr>
        <w:t xml:space="preserve"> </w:t>
      </w:r>
      <w:r>
        <w:rPr>
          <w:strike/>
        </w:rPr>
        <w:t xml:space="preserve">31 perturbed and fingerprint-screened</w:t>
      </w:r>
      <w:r>
        <w:rPr>
          <w:strike/>
        </w:rPr>
        <w:t xml:space="preserve"> </w:t>
      </w:r>
      <w:r>
        <w:rPr>
          <w:i/>
          <w:iCs/>
          <w:strike/>
        </w:rPr>
        <w:t xml:space="preserve">real</w:t>
      </w:r>
      <w:r>
        <w:rPr>
          <w:strike/>
        </w:rPr>
        <w:t xml:space="preserve"> </w:t>
      </w:r>
      <w:r>
        <w:rPr>
          <w:strike/>
        </w:rPr>
        <w:t xml:space="preserve">issuers</w:t>
      </w:r>
      <w:r>
        <w:t xml:space="preserve"> </w:t>
      </w:r>
      <w:r>
        <w:rPr>
          <w:highlight w:val="yellow"/>
        </w:rPr>
        <w:t xml:space="preserve">Calibration-set disagreement therefore identifies profiles that are also unstable on held-out specifications, under specifications not yet</w:t>
      </w:r>
      <w:r>
        <w:rPr>
          <w:highlight w:val="yellow"/>
        </w:rPr>
        <w:t xml:space="preserve"> </w:t>
      </w:r>
      <w:r>
        <w:rPr>
          <w:highlight w:val="yellow"/>
        </w:rPr>
        <w:t xml:space="preserve">tried.</w:t>
      </w:r>
      <w:r>
        <w:t xml:space="preserve"> </w:t>
      </w:r>
      <w:r>
        <w:t xml:space="preserve">Section 4.3</w:t>
      </w:r>
      <w:r>
        <w:t xml:space="preserve"> </w:t>
      </w:r>
      <w:r>
        <w:rPr>
          <w:highlight w:val="yellow"/>
        </w:rPr>
        <w:t xml:space="preserve">shows that this discrimination is not attributable to the</w:t>
      </w:r>
      <w:r>
        <w:rPr>
          <w:highlight w:val="yellow"/>
        </w:rPr>
        <w:t xml:space="preserve"> </w:t>
      </w:r>
      <w:r>
        <w:rPr>
          <w:highlight w:val="yellow"/>
        </w:rPr>
        <w:t xml:space="preserve">index itself, because counting dissenting elicitations does as well, so the result is reported as evidence</w:t>
      </w:r>
      <w:r>
        <w:rPr>
          <w:highlight w:val="yellow"/>
        </w:rPr>
        <w:t xml:space="preserve"> </w:t>
      </w:r>
      <w:r>
        <w:rPr>
          <w:highlight w:val="yellow"/>
        </w:rPr>
        <w:t xml:space="preserve">that</w:t>
      </w:r>
      <w:r>
        <w:t xml:space="preserve"> </w:t>
      </w:r>
      <w:r>
        <w:rPr>
          <w:i/>
          <w:iCs/>
        </w:rPr>
        <w:t xml:space="preserve">disagreement observed on one subset of specifications predicts disagreement on a disjoint subset</w:t>
      </w:r>
      <w:r>
        <w:rPr>
          <w:highlight w:val="yellow"/>
        </w:rPr>
        <w:t xml:space="preserve">, not as validation of a new instrument.</w:t>
      </w:r>
    </w:p>
    <w:p>
      <w:pPr>
        <w:pStyle w:val="BodyText"/>
      </w:pPr>
      <w:r>
        <w:rPr>
          <w:highlight w:val="yellow"/>
        </w:rPr>
        <w:t xml:space="preserve">We also repeat the calculation on the 31 perturbed real issuers as an illustrative descriptive real-issuer check only</w:t>
      </w:r>
      <w:r>
        <w:t xml:space="preserve"> </w:t>
      </w:r>
      <w:r>
        <w:t xml:space="preserve">(Section 3.6), for which the same 12-specification</w:t>
      </w:r>
      <w:r>
        <w:t xml:space="preserve"> </w:t>
      </w:r>
      <w:r>
        <w:t xml:space="preserve">grid was collected. Splitting those specifications 6/6, the calibration-set score</w:t>
      </w:r>
      <w:r>
        <w:t xml:space="preserve"> </w:t>
      </w:r>
      <w:r>
        <w:rPr>
          <w:strike/>
        </w:rPr>
        <w:t xml:space="preserve">remains predictive of</w:t>
      </w:r>
      <w:r>
        <w:rPr>
          <w:strike/>
        </w:rPr>
        <w:t xml:space="preserve"> </w:t>
      </w:r>
      <w:r>
        <w:rPr>
          <w:strike/>
        </w:rPr>
        <w:t xml:space="preserve">held-out-specification instability on real firms (ROC-AUC 0.70, issuer-clustered bootstrap 95% CI</w:t>
      </w:r>
      <w:r>
        <w:rPr>
          <w:strike/>
        </w:rPr>
        <w:t xml:space="preserve"> </w:t>
      </w:r>
      <w:r>
        <w:rPr>
          <w:strike/>
        </w:rPr>
        <w:t xml:space="preserve">0.51–0.87; Spearman</w:t>
      </w:r>
      <w:r>
        <w:rPr>
          <w:strike/>
        </w:rPr>
        <w:t xml:space="preserve"> </w:t>
      </w:r>
      <m:oMath>
        <m:r>
          <m:t>ρ</m:t>
        </m:r>
        <m:r>
          <m:rPr>
            <m:sty m:val="p"/>
          </m:rPr>
          <m:t>=</m:t>
        </m:r>
        <m:r>
          <m:t>0.41</m:t>
        </m:r>
      </m:oMath>
      <w:r>
        <w:rPr>
          <w:strike/>
        </w:rPr>
        <w:t xml:space="preserve">; base rate 0.61).</w:t>
      </w:r>
      <w:r>
        <w:t xml:space="preserve"> </w:t>
      </w:r>
      <w:r>
        <w:rPr>
          <w:highlight w:val="yellow"/>
        </w:rPr>
        <w:t xml:space="preserve">gives ROC-AUC 0.70 (issuer-clustered bootstrap 95</w:t>
      </w:r>
      <w:r>
        <w:t xml:space="preserve">%</w:t>
      </w:r>
      <w:r>
        <w:t xml:space="preserve"> </w:t>
      </w:r>
      <w:r>
        <w:rPr>
          <w:highlight w:val="yellow"/>
        </w:rPr>
        <w:t xml:space="preserve">CI 0.51–0.87, Spearman</w:t>
      </w:r>
      <w:r>
        <w:t xml:space="preserve"> </w:t>
      </w:r>
      <m:oMath>
        <m:r>
          <m:t>ρ</m:t>
        </m:r>
        <m:r>
          <m:rPr>
            <m:sty m:val="p"/>
          </m:rPr>
          <m:t>=</m:t>
        </m:r>
        <m:r>
          <m:t>0.41</m:t>
        </m:r>
      </m:oMath>
      <w:r>
        <w:rPr>
          <w:highlight w:val="yellow"/>
        </w:rPr>
        <w:t xml:space="preserve">, base rate 0.61). This is descriptive only and is not evidence of generalization to real issuers, because residual ratio-pattern identification remains in this arm</w:t>
      </w:r>
      <w:r>
        <w:t xml:space="preserve"> </w:t>
      </w:r>
      <w:r>
        <w:t xml:space="preserve">(Section 3.7</w:t>
      </w:r>
      <w:r>
        <w:rPr>
          <w:highlight w:val="yellow"/>
        </w:rPr>
        <w:t xml:space="preserve">).</w:t>
      </w:r>
      <w:r>
        <w:t xml:space="preserve"> </w:t>
      </w:r>
      <w:r>
        <w:t xml:space="preserve">Discrimination is weaker than on the synthetic battery</w:t>
      </w:r>
      <w:r>
        <w:t xml:space="preserve"> </w:t>
      </w:r>
      <w:r>
        <w:t xml:space="preserve">and the interval is wide, expected given only 31 issuers and a coarser six-specification</w:t>
      </w:r>
      <w:r>
        <w:rPr>
          <w:strike/>
        </w:rPr>
        <w:t xml:space="preserve">calibration, but</w:t>
      </w:r>
      <w:r>
        <w:rPr>
          <w:strike/>
        </w:rPr>
        <w:t xml:space="preserve"> </w:t>
      </w:r>
      <w:r>
        <w:rPr>
          <w:strike/>
        </w:rPr>
        <w:t xml:space="preserve">the score carries a genuine, same-direction signal on real issuers, not only on the constructed profiles.</w:t>
      </w:r>
      <w:r>
        <w:rPr>
          <w:strike/>
        </w:rPr>
        <w:t xml:space="preserve"> </w:t>
      </w:r>
      <w:r>
        <w:rPr>
          <w:strike/>
        </w:rPr>
        <w:t xml:space="preserve">We nonetheless emphasize that</w:t>
      </w:r>
      <w:r>
        <w:rPr>
          <w:strike/>
        </w:rPr>
        <w:t xml:space="preserve"> </w:t>
      </w:r>
      <w:r>
        <w:rPr>
          <w:strike/>
        </w:rPr>
        <w:t xml:space="preserve">“external”</w:t>
      </w:r>
      <w:r>
        <w:rPr>
          <w:strike/>
        </w:rPr>
        <w:t xml:space="preserve"> </w:t>
      </w:r>
      <w:r>
        <w:rPr>
          <w:strike/>
        </w:rPr>
        <w:t xml:space="preserve">here means external</w:t>
      </w:r>
      <w:r>
        <w:rPr>
          <w:strike/>
        </w:rPr>
        <w:t xml:space="preserve"> </w:t>
      </w:r>
      <w:r>
        <w:rPr>
          <w:i/>
          <w:iCs/>
          <w:strike/>
        </w:rPr>
        <w:t xml:space="preserve">issuers</w:t>
      </w:r>
      <w:r>
        <w:rPr>
          <w:strike/>
        </w:rPr>
        <w:t xml:space="preserve">, not external</w:t>
      </w:r>
      <w:r>
        <w:rPr>
          <w:strike/>
        </w:rPr>
        <w:t xml:space="preserve"> </w:t>
      </w:r>
      <w:r>
        <w:rPr>
          <w:strike/>
        </w:rPr>
        <w:t xml:space="preserve">specifications; a fully out-of-sample external issuer</w:t>
      </w:r>
      <w:r>
        <w:rPr>
          <w:strike/>
        </w:rPr>
        <w:t xml:space="preserve"> </w:t>
      </w:r>
      <w:r>
        <w:rPr>
          <w:i/>
          <w:iCs/>
          <w:strike/>
        </w:rPr>
        <w:t xml:space="preserve">population</w:t>
      </w:r>
      <w:r>
        <w:rPr>
          <w:strike/>
        </w:rPr>
        <w:t xml:space="preserve"> </w:t>
      </w:r>
      <w:r>
        <w:rPr>
          <w:strike/>
        </w:rPr>
        <w:t xml:space="preserve">remains future work.</w:t>
      </w:r>
      <w:r>
        <w:t xml:space="preserve"> </w:t>
      </w:r>
      <w:r>
        <w:rPr>
          <w:highlight w:val="yellow"/>
        </w:rP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w:t>
      </w:r>
      <w:r>
        <w:t xml:space="preserve"> </w:t>
      </w:r>
      <w:r>
        <w:rPr>
          <w:strike/>
        </w:rPr>
        <w:t xml:space="preserve">families;</w:t>
      </w:r>
      <w:r>
        <w:t xml:space="preserve"> </w:t>
      </w:r>
      <w:r>
        <w:rPr>
          <w:highlight w:val="yellow"/>
        </w:rPr>
        <w:t xml:space="preserve">families,</w:t>
      </w:r>
      <w:r>
        <w:t xml:space="preserve"> </w:t>
      </w:r>
      <w:r>
        <w:t xml:space="preserve">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rPr>
          <w:highlight w:val="yellow"/>
        </w:rPr>
        <w:t xml:space="preserve">We state the operating rule in terms of the integer dissent count</w:t>
      </w:r>
      <w:r>
        <w:t xml:space="preserve"> </w:t>
      </w:r>
      <m:oMath>
        <m:r>
          <m:t>d</m:t>
        </m:r>
      </m:oMath>
      <w:r>
        <w:t xml:space="preserve"> </w:t>
      </w:r>
      <w:r>
        <w:rPr>
          <w:highlight w:val="yellow"/>
        </w:rPr>
        <w:t xml:space="preserve">rather than a cutoff on the</w:t>
      </w:r>
      <w:r>
        <w:rPr>
          <w:highlight w:val="yellow"/>
        </w:rPr>
        <w:t xml:space="preserve"> </w:t>
      </w:r>
      <w:r>
        <w:rPr>
          <w:highlight w:val="yellow"/>
        </w:rPr>
        <w:t xml:space="preserve">continuous index, since</w:t>
      </w:r>
      <w:r>
        <w:t xml:space="preserve"> </w:t>
      </w:r>
      <w:r>
        <w:t xml:space="preserve">Section 4.3</w:t>
      </w:r>
      <w:r>
        <w:t xml:space="preserve"> </w:t>
      </w:r>
      <w:r>
        <w:rPr>
          <w:highlight w:val="yellow"/>
        </w:rPr>
        <w:t xml:space="preserve">shows that the index is a monotonic transformation of</w:t>
      </w:r>
      <w:r>
        <w:t xml:space="preserve"> </w:t>
      </w:r>
      <m:oMath>
        <m:r>
          <m:t>d</m:t>
        </m:r>
      </m:oMath>
      <w:r>
        <w:t xml:space="preserve"> </w:t>
      </w:r>
      <w:r>
        <w:rPr>
          <w:highlight w:val="yellow"/>
        </w:rPr>
        <w:t xml:space="preserve">at the binary IG/HY gate and provides no incremental discrimination over</w:t>
      </w:r>
      <w:r>
        <w:t xml:space="preserve"> </w:t>
      </w:r>
      <m:oMath>
        <m:r>
          <m:t>d</m:t>
        </m:r>
      </m:oMath>
      <w:r>
        <w:t xml:space="preserve"> </w:t>
      </w:r>
      <w:r>
        <w:rPr>
          <w:highlight w:val="yellow"/>
        </w:rP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rPr>
          <w:highlight w:val="yellow"/>
        </w:rPr>
        <w:t xml:space="preserve">, with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chosen</w:t>
      </w:r>
      <w:r>
        <w:rPr>
          <w:highlight w:val="yellow"/>
        </w:rPr>
        <w:t xml:space="preserve"> </w:t>
      </w:r>
      <w:r>
        <w:rPr>
          <w:highlight w:val="yellow"/>
        </w:rPr>
        <w:t xml:space="preserve">according to referral cost and capacity.</w:t>
      </w:r>
      <w:r>
        <w:rPr>
          <w:highlight w:val="yellow"/>
        </w:rPr>
        <w:t xml:space="preserve"> </w:t>
      </w:r>
      <w:r>
        <w:rPr>
          <w:highlight w:val="yellow"/>
        </w:rPr>
        <w:t xml:space="preserve">“Refer on any disagreement”</w:t>
      </w:r>
      <w:r>
        <w:rPr>
          <w:highlight w:val="yellow"/>
        </w:rPr>
        <w:t xml:space="preserve"> </w:t>
      </w:r>
      <w:r>
        <w:rPr>
          <w:highlight w:val="yellow"/>
        </w:rPr>
        <w:t xml:space="preserve">is the special case</w:t>
      </w:r>
      <w:r>
        <w:t xml:space="preserve"> </w:t>
      </w:r>
      <m:oMath>
        <m:sSub>
          <m:e>
            <m:r>
              <m:t>c</m:t>
            </m:r>
          </m:e>
          <m:sub>
            <m:r>
              <m:rPr>
                <m:sty m:val="p"/>
              </m:rPr>
              <m:t>r</m:t>
            </m:r>
            <m:r>
              <m:rPr>
                <m:sty m:val="p"/>
              </m:rPr>
              <m:t>e</m:t>
            </m:r>
            <m:r>
              <m:rPr>
                <m:sty m:val="p"/>
              </m:rPr>
              <m:t>f</m:t>
            </m:r>
          </m:sub>
        </m:sSub>
        <m:r>
          <m:rPr>
            <m:sty m:val="p"/>
          </m:rPr>
          <m:t>=</m:t>
        </m:r>
        <m:r>
          <m:t>1</m:t>
        </m:r>
      </m:oMath>
      <w:r>
        <w:rPr>
          <w:highlight w:val="yellow"/>
        </w:rPr>
        <w:t xml:space="preserve">,</w:t>
      </w:r>
      <w:r>
        <w:rPr>
          <w:highlight w:val="yellow"/>
        </w:rPr>
        <w:t xml:space="preserve"> </w:t>
      </w:r>
      <w:r>
        <w:rPr>
          <w:highlight w:val="yellow"/>
        </w:rP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refers 88.9</w:t>
      </w:r>
      <w:r>
        <w:t xml:space="preserve">%</w:t>
      </w:r>
      <w:r>
        <w:t xml:space="preserve"> </w:t>
      </w:r>
      <w:r>
        <w:rPr>
          <w:highlight w:val="yellow"/>
        </w:rPr>
        <w:t xml:space="preserve">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refers 66.7</w:t>
      </w:r>
      <w:r>
        <w:t xml:space="preserve">%</w:t>
      </w:r>
      <w:r>
        <w:t xml:space="preserve"> </w:t>
      </w:r>
      <w:r>
        <w:rPr>
          <w:highlight w:val="yellow"/>
        </w:rPr>
        <w:t xml:space="preserve">at precision 1.000 and recall 0.882. At</w:t>
      </w:r>
      <w:r>
        <w:t xml:space="preserve"> </w:t>
      </w:r>
      <m:oMath>
        <m:sSub>
          <m:e>
            <m:r>
              <m:t>p</m:t>
            </m:r>
          </m:e>
          <m:sub>
            <m:r>
              <m:t>t</m:t>
            </m:r>
          </m:sub>
        </m:sSub>
        <m:r>
          <m:rPr>
            <m:sty m:val="p"/>
          </m:rPr>
          <m:t>=</m:t>
        </m:r>
        <m:r>
          <m:t>0.60</m:t>
        </m:r>
      </m:oMath>
      <w:r>
        <w:rPr>
          <w:highlight w:val="yellow"/>
        </w:rP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rPr>
          <w:highlight w:val="yellow"/>
        </w:rP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w:t>
      </w:r>
      <w:r>
        <w:rPr>
          <w:highlight w:val="yellow"/>
        </w:rPr>
        <w:t xml:space="preserve">).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is constant across threshold probabilities because this rule produces no false positives in the evaluated sample. These are</w:t>
      </w:r>
      <w:r>
        <w:rPr>
          <w:highlight w:val="yellow"/>
        </w:rPr>
        <w:t xml:space="preserve"> </w:t>
      </w:r>
      <w:r>
        <w:rPr>
          <w:highlight w:val="yellow"/>
        </w:rPr>
        <w:t xml:space="preserve">descriptive operating points on a split that also selected the operating point, not evidence of a</w:t>
      </w:r>
      <w:r>
        <w:rPr>
          <w:highlight w:val="yellow"/>
        </w:rPr>
        <w:t xml:space="preserve"> </w:t>
      </w:r>
      <w:r>
        <w:rPr>
          <w:highlight w:val="yellow"/>
        </w:rPr>
        <w:t xml:space="preserve">validated instrument.</w:t>
      </w:r>
    </w:p>
    <w:p>
      <w:pPr>
        <w:pStyle w:val="BodyText"/>
      </w:pPr>
      <w:r>
        <w:rPr>
          <w:highlight w:val="yellow"/>
        </w:rPr>
        <w:t xml:space="preserve">The number of observations matters for how any threshold reads, and</w:t>
      </w:r>
      <w:r>
        <w:t xml:space="preserve"> </w:t>
      </w:r>
      <m:oMath>
        <m:r>
          <m:t>k</m:t>
        </m:r>
      </m:oMath>
      <w:r>
        <w:t xml:space="preserve"> </w:t>
      </w:r>
      <w:r>
        <w:rPr>
          <w:highlight w:val="yellow"/>
        </w:rPr>
        <w:t xml:space="preserve">counts elicitation</w:t>
      </w:r>
      <w:r>
        <w:rPr>
          <w:highlight w:val="yellow"/>
        </w:rPr>
        <w:t xml:space="preserve"> </w:t>
      </w:r>
      <w:r>
        <w:rPr>
          <w:highlight w:val="yellow"/>
        </w:rPr>
        <w:t xml:space="preserve">observations rather than distinct specifications. The retrospective validation retains three seeds</w:t>
      </w:r>
      <w:r>
        <w:rPr>
          <w:highlight w:val="yellow"/>
        </w:rPr>
        <w:t xml:space="preserve"> </w:t>
      </w:r>
      <w:r>
        <w:rPr>
          <w:highlight w:val="yellow"/>
        </w:rPr>
        <w:t xml:space="preserve">per specification, so its calibration set has</w:t>
      </w:r>
      <w:r>
        <w:t xml:space="preserve"> </w:t>
      </w:r>
      <m:oMath>
        <m:r>
          <m:t>k</m:t>
        </m:r>
        <m:r>
          <m:rPr>
            <m:sty m:val="p"/>
          </m:rPr>
          <m:t>=</m:t>
        </m:r>
        <m:r>
          <m:t>16</m:t>
        </m:r>
        <m:r>
          <m:rPr>
            <m:sty m:val="p"/>
          </m:rPr>
          <m:t>×</m:t>
        </m:r>
        <m:r>
          <m:t>3</m:t>
        </m:r>
        <m:r>
          <m:rPr>
            <m:sty m:val="p"/>
          </m:rPr>
          <m:t>=</m:t>
        </m:r>
        <m:r>
          <m:t>48</m:t>
        </m:r>
      </m:oMath>
      <w:r>
        <w:rPr>
          <w:highlight w:val="yellow"/>
        </w:rPr>
        <w:t xml:space="preserve">, whereas a practical</w:t>
      </w:r>
      <w:r>
        <w:rPr>
          <w:highlight w:val="yellow"/>
        </w:rPr>
        <w:t xml:space="preserve"> </w:t>
      </w:r>
      <w:r>
        <w:rPr>
          <w:highlight w:val="yellow"/>
        </w:rPr>
        <w:t xml:space="preserve">one-call-per-specification workflow has</w:t>
      </w:r>
      <w:r>
        <w:t xml:space="preserve"> </w:t>
      </w:r>
      <m:oMath>
        <m:r>
          <m:t>k</m:t>
        </m:r>
        <m:r>
          <m:rPr>
            <m:sty m:val="p"/>
          </m:rPr>
          <m:t>=</m:t>
        </m:r>
        <m:r>
          <m:rPr>
            <m:sty m:val="p"/>
          </m:rPr>
          <m:t>|</m:t>
        </m:r>
        <m:r>
          <m:t>S</m:t>
        </m:r>
        <m:r>
          <m:rPr>
            <m:sty m:val="p"/>
          </m:rPr>
          <m:t>|</m:t>
        </m:r>
      </m:oMath>
      <w:r>
        <w:rPr>
          <w:highlight w:val="yellow"/>
        </w:rPr>
        <w:t xml:space="preserve">. Thresholds on the continuous index are therefore</w:t>
      </w:r>
      <w:r>
        <w:t xml:space="preserve"> </w:t>
      </w:r>
      <m:oMath>
        <m:r>
          <m:t>k</m:t>
        </m:r>
      </m:oMath>
      <w:r>
        <w:rPr>
          <w:highlight w:val="yellow"/>
        </w:rP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is not, which is the second reason for preferring the count.</w:t>
      </w:r>
    </w:p>
    <w:p>
      <w:pPr>
        <w:pStyle w:val="BodyText"/>
      </w:pPr>
      <w:r>
        <w:rPr>
          <w:highlight w:val="yellow"/>
        </w:rPr>
        <w:t xml:space="preserve">Proximity to the boundary is reported as a severity indicator rather than a mandatory conjunct.</w:t>
      </w:r>
      <w:r>
        <w:rPr>
          <w:highlight w:val="yellow"/>
        </w:rPr>
        <w:t xml:space="preserve"> </w:t>
      </w:r>
      <w:r>
        <w:rPr>
          <w:highlight w:val="yellow"/>
        </w:rPr>
        <w:t xml:space="preserve">Instability is not confined to the boundary region, and requiring both conditions would cut recall</w:t>
      </w:r>
      <w:r>
        <w:rPr>
          <w:highlight w:val="yellow"/>
        </w:rPr>
        <w:t xml:space="preserve"> </w:t>
      </w:r>
      <w:r>
        <w:rPr>
          <w:highlight w:val="yellow"/>
        </w:rPr>
        <w:t xml:space="preserve">to 0.176 while referring only 13.3</w:t>
      </w:r>
      <w:r>
        <w:t xml:space="preserve">%</w:t>
      </w:r>
      <w:r>
        <w:t xml:space="preserve"> </w:t>
      </w:r>
      <w:r>
        <w:rPr>
          <w:highlight w:val="yellow"/>
        </w:rPr>
        <w:t xml:space="preserve">of profiles, trading referral volume against missed</w:t>
      </w:r>
      <w:r>
        <w:rPr>
          <w:highlight w:val="yellow"/>
        </w:rPr>
        <w:t xml:space="preserve"> </w:t>
      </w:r>
      <w:r>
        <w:rPr>
          <w:highlight w:val="yellow"/>
        </w:rPr>
        <w:t xml:space="preserve">instability. Disagreement therefore determines whether a rating is referred, and proximity to the</w:t>
      </w:r>
      <w:r>
        <w:rPr>
          <w:highlight w:val="yellow"/>
        </w:rPr>
        <w:t xml:space="preserve"> </w:t>
      </w:r>
      <w:r>
        <w:rPr>
          <w:highlight w:val="yellow"/>
        </w:rPr>
        <w:t xml:space="preserve">BBB</w:t>
      </w:r>
      <m:oMath>
        <m:r>
          <m:rPr>
            <m:sty m:val="p"/>
          </m:rPr>
          <m:t>−</m:t>
        </m:r>
      </m:oMath>
      <w:r>
        <w:rPr>
          <w:highlight w:val="yellow"/>
        </w:rPr>
        <w:t xml:space="preserve">/BB</w:t>
      </w:r>
      <m:oMath>
        <m:r>
          <m:rPr>
            <m:sty m:val="p"/>
          </m:rPr>
          <m:t>+</m:t>
        </m:r>
      </m:oMath>
      <w:r>
        <w:t xml:space="preserve"> </w:t>
      </w:r>
      <w:r>
        <w:rPr>
          <w:highlight w:val="yellow"/>
        </w:rPr>
        <w:t xml:space="preserve">cut determines how urgently. The ROC-AUC of</w:t>
      </w:r>
      <w:r>
        <w:t xml:space="preserve"> </w:t>
      </w:r>
      <m:oMath>
        <m:r>
          <m:t>0.94</m:t>
        </m:r>
      </m:oMath>
      <w:r>
        <w:t xml:space="preserve"> </w:t>
      </w:r>
      <w:r>
        <w:rPr>
          <w:highlight w:val="yellow"/>
        </w:rPr>
        <w:t xml:space="preserve">is computed at the IG/HY</w:t>
      </w:r>
      <w:r>
        <w:rPr>
          <w:highlight w:val="yellow"/>
        </w:rPr>
        <w:t xml:space="preserve"> </w:t>
      </w:r>
      <w:r>
        <w:rPr>
          <w:highlight w:val="yellow"/>
        </w:rPr>
        <w:t xml:space="preserve">resolution, where the index ranks issuers identically to the dissent count</w:t>
      </w:r>
      <w:r>
        <w:t xml:space="preserve"> </w:t>
      </w:r>
      <w:r>
        <w:t xml:space="preserve">(Section 4.3</w:t>
      </w:r>
      <w:r>
        <w:rPr>
          <w:highlight w:val="yellow"/>
        </w:rPr>
        <w:t xml:space="preserve">). That figure describes the retrospective</w:t>
      </w:r>
      <w:r>
        <w:t xml:space="preserve"> </w:t>
      </w:r>
      <m:oMath>
        <m:r>
          <m:t>k</m:t>
        </m:r>
        <m:r>
          <m:rPr>
            <m:sty m:val="p"/>
          </m:rPr>
          <m:t>=</m:t>
        </m:r>
        <m:r>
          <m:t>48</m:t>
        </m:r>
      </m:oMath>
      <w:r>
        <w:t xml:space="preserve"> </w:t>
      </w:r>
      <w:r>
        <w:rPr>
          <w:highlight w:val="yellow"/>
        </w:rPr>
        <w:t xml:space="preserve">construction and is not evidence about the</w:t>
      </w:r>
      <w:r>
        <w:t xml:space="preserve"> </w:t>
      </w:r>
      <m:oMath>
        <m:r>
          <m:t>k</m:t>
        </m:r>
        <m:r>
          <m:rPr>
            <m:sty m:val="p"/>
          </m:rPr>
          <m:t>≈</m:t>
        </m:r>
        <m:r>
          <m:t>9</m:t>
        </m:r>
      </m:oMath>
      <w:r>
        <w:t xml:space="preserve"> </w:t>
      </w:r>
      <w:r>
        <w:rPr>
          <w:highlight w:val="yellow"/>
        </w:rPr>
        <w:t xml:space="preserve">aggregation level, which comes from the separate cost analysis of</w:t>
      </w:r>
      <w:r>
        <w:t xml:space="preserve"> </w:t>
      </w:r>
      <w:r>
        <w:t xml:space="preserve">Section 4.4</w:t>
      </w:r>
      <w:r>
        <w:rPr>
          <w:highlight w:val="yellow"/>
        </w:rPr>
        <w:t xml:space="preserve">.</w:t>
      </w:r>
    </w:p>
    <w:bookmarkEnd w:id="56"/>
    <w:bookmarkStart w:id="60" w:name="sec:sis-baselines"/>
    <w:p>
      <w:pPr>
        <w:pStyle w:val="Heading2"/>
      </w:pPr>
      <w:r>
        <w:rPr>
          <w:rStyle w:val="SectionNumber"/>
        </w:rPr>
        <w:t xml:space="preserve">4.3</w:t>
      </w:r>
      <w:r>
        <w:tab/>
      </w:r>
      <w:r>
        <w:rPr>
          <w:highlight w:val="yellow"/>
        </w:rPr>
        <w:t xml:space="preserve">Benchmark against simple baselines</w:t>
      </w:r>
    </w:p>
    <w:p>
      <w:pPr>
        <w:pStyle w:val="FirstParagraph"/>
      </w:pPr>
      <w:r>
        <w:rPr>
          <w:highlight w:val="yellow"/>
        </w:rPr>
        <w:t xml:space="preserve">To assess whether the dispersion index adds information beyond simpler alternatives, we benchmark</w:t>
      </w:r>
      <w:r>
        <w:rPr>
          <w:highlight w:val="yellow"/>
        </w:rPr>
        <w:t xml:space="preserve"> </w:t>
      </w:r>
      <w:r>
        <w:rPr>
          <w:highlight w:val="yellow"/>
        </w:rPr>
        <w:t xml:space="preserve">it against three baselines computable from the same</w:t>
      </w:r>
      <w:r>
        <w:t xml:space="preserve"> </w:t>
      </w:r>
      <m:oMath>
        <m:r>
          <m:t>k</m:t>
        </m:r>
      </m:oMath>
      <w:r>
        <w:t xml:space="preserve"> </w:t>
      </w:r>
      <w:r>
        <w:rPr>
          <w:highlight w:val="yellow"/>
        </w:rPr>
        <w:t xml:space="preserve">observations: the number of dissenting</w:t>
      </w:r>
      <w:r>
        <w:rPr>
          <w:highlight w:val="yellow"/>
        </w:rPr>
        <w:t xml:space="preserve"> </w:t>
      </w:r>
      <w:r>
        <w:rPr>
          <w:highlight w:val="yellow"/>
        </w:rPr>
        <w:t xml:space="preserve">elicitations, the self-consistency vote margin, and the modal letter rating’s distance to the</w:t>
      </w:r>
      <w:r>
        <w:rPr>
          <w:highlight w:val="yellow"/>
        </w:rPr>
        <w:t xml:space="preserve"> </w:t>
      </w:r>
      <w:r>
        <w:rPr>
          <w:highlight w:val="yellow"/>
        </w:rPr>
        <w:t xml:space="preserve">investment-grade/high-yield boundary. Two further candidates are semantic entropy and token-level confidence. We compute the first and explain why the second cannot be computed.</w:t>
      </w:r>
      <w:r>
        <w:t xml:space="preserve"> </w:t>
      </w:r>
      <w:r>
        <w:t xml:space="preserve">Farquhar, Kossen, Kuhn and Gal (2024)</w:t>
      </w:r>
      <w:r>
        <w:t xml:space="preserve"> </w:t>
      </w:r>
      <w:r>
        <w:rPr>
          <w:highlight w:val="yellow"/>
        </w:rPr>
        <w:t xml:space="preserve">give a</w:t>
      </w:r>
      <w:r>
        <w:t xml:space="preserve"> </w:t>
      </w:r>
      <w:r>
        <w:rPr>
          <w:i/>
          <w:iCs/>
        </w:rPr>
        <w:t xml:space="preserve">discrete</w:t>
      </w:r>
      <w:r>
        <w:t xml:space="preserve"> </w:t>
      </w:r>
      <w:r>
        <w:rPr>
          <w:highlight w:val="yellow"/>
        </w:rPr>
        <w:t xml:space="preserve">semantic</w:t>
      </w:r>
      <w:r>
        <w:rPr>
          <w:highlight w:val="yellow"/>
        </w:rPr>
        <w:t xml:space="preserve"> </w:t>
      </w:r>
      <w:r>
        <w:rPr>
          <w:highlight w:val="yellow"/>
        </w:rPr>
        <w:t xml:space="preserve">entropy estimator that approximates the probability of each semantic cluster from the number of</w:t>
      </w:r>
      <w:r>
        <w:rPr>
          <w:highlight w:val="yellow"/>
        </w:rPr>
        <w:t xml:space="preserve"> </w:t>
      </w:r>
      <w:r>
        <w:rPr>
          <w:highlight w:val="yellow"/>
        </w:rPr>
        <w:t xml:space="preserve">generations falling in it, disregarding token probabilities, and recommend it precisely for models</w:t>
      </w:r>
      <w:r>
        <w:rPr>
          <w:highlight w:val="yellow"/>
        </w:rPr>
        <w:t xml:space="preserve"> </w:t>
      </w:r>
      <w:r>
        <w:rPr>
          <w:highlight w:val="yellow"/>
        </w:rPr>
        <w:t xml:space="preserve">that do not expose probabilities. Our outputs are categorical ratings on a fixed ordinal scale, so</w:t>
      </w:r>
      <w:r>
        <w:rPr>
          <w:highlight w:val="yellow"/>
        </w:rPr>
        <w:t xml:space="preserve"> </w:t>
      </w:r>
      <w:r>
        <w:rPr>
          <w:highlight w:val="yellow"/>
        </w:rPr>
        <w:t xml:space="preserve">the semantic-equivalence clustering those authors obtain by bidirectional entailment over free text</w:t>
      </w:r>
      <w:r>
        <w:rPr>
          <w:highlight w:val="yellow"/>
        </w:rPr>
        <w:t xml:space="preserve"> </w:t>
      </w:r>
      <w:r>
        <w:rPr>
          <w:highlight w:val="yellow"/>
        </w:rPr>
        <w:t xml:space="preserve">is given here by construction, because two elicitations share a cluster exactly when they share a rating at</w:t>
      </w:r>
      <w:r>
        <w:rPr>
          <w:highlight w:val="yellow"/>
        </w:rPr>
        <w:t xml:space="preserve"> </w:t>
      </w:r>
      <w:r>
        <w:rPr>
          <w:highlight w:val="yellow"/>
        </w:rP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rPr>
          <w:highlight w:val="yellow"/>
        </w:rPr>
        <w:t xml:space="preserve">of the rating distribution, which the frozen corpus does support, and we</w:t>
      </w:r>
      <w:r>
        <w:rPr>
          <w:highlight w:val="yellow"/>
        </w:rPr>
        <w:t xml:space="preserve"> </w:t>
      </w:r>
      <w:r>
        <w:rPr>
          <w:highlight w:val="yellow"/>
        </w:rPr>
        <w:t xml:space="preserve">report it as a fifth predictor. Two scope limits must be stated. First,</w:t>
      </w:r>
      <w:r>
        <w:t xml:space="preserve"> </w:t>
      </w:r>
      <w:r>
        <w:t xml:space="preserve">Farquhar et al. (2024)</w:t>
      </w:r>
      <w:r>
        <w:t xml:space="preserve"> </w:t>
      </w:r>
      <w:r>
        <w:rPr>
          <w:highlight w:val="yellow"/>
        </w:rPr>
        <w:t xml:space="preserve">draw repeated generations under a</w:t>
      </w:r>
      <w:r>
        <w:t xml:space="preserve"> </w:t>
      </w:r>
      <w:r>
        <w:rPr>
          <w:i/>
          <w:iCs/>
        </w:rPr>
        <w:t xml:space="preserve">fixed</w:t>
      </w:r>
      <w:r>
        <w:t xml:space="preserve"> </w:t>
      </w:r>
      <w:r>
        <w:rPr>
          <w:highlight w:val="yellow"/>
        </w:rPr>
        <w:t xml:space="preserve">prompt to detect</w:t>
      </w:r>
      <w:r>
        <w:rPr>
          <w:highlight w:val="yellow"/>
        </w:rPr>
        <w:t xml:space="preserve"> </w:t>
      </w:r>
      <w:r>
        <w:rPr>
          <w:highlight w:val="yellow"/>
        </w:rPr>
        <w:t xml:space="preserve">confabulation, whereas our ensemble deliberately varies the elicitation specification. What we</w:t>
      </w:r>
      <w:r>
        <w:rPr>
          <w:highlight w:val="yellow"/>
        </w:rPr>
        <w:t xml:space="preserve"> </w:t>
      </w:r>
      <w:r>
        <w:rPr>
          <w:highlight w:val="yellow"/>
        </w:rPr>
        <w:t xml:space="preserve">compute is therefore a specification-level analogue of their estimator applied to a categorical</w:t>
      </w:r>
      <w:r>
        <w:rPr>
          <w:highlight w:val="yellow"/>
        </w:rPr>
        <w:t xml:space="preserve"> </w:t>
      </w:r>
      <w:r>
        <w:rPr>
          <w:highlight w:val="yellow"/>
        </w:rPr>
        <w:t xml:space="preserve">outcome, not a replication of their hallucination-detection task. Second, token-level confidence</w:t>
      </w:r>
      <w:r>
        <w:rPr>
          <w:highlight w:val="yellow"/>
        </w:rPr>
        <w:t xml:space="preserve"> </w:t>
      </w:r>
      <w:r>
        <w:rPr>
          <w:highlight w:val="yellow"/>
        </w:rPr>
        <w:t xml:space="preserve">genuinely</w:t>
      </w:r>
      <w:r>
        <w:t xml:space="preserve"> </w:t>
      </w:r>
      <w:r>
        <w:rPr>
          <w:i/>
          <w:iCs/>
        </w:rPr>
        <w:t xml:space="preserve">cannot</w:t>
      </w:r>
      <w:r>
        <w:t xml:space="preserve"> </w:t>
      </w:r>
      <w:r>
        <w:rPr>
          <w:highlight w:val="yellow"/>
        </w:rPr>
        <w:t xml:space="preserve">be computed, because the corpus retains parsed text and no log-probabilities, and</w:t>
      </w:r>
      <w:r>
        <w:rPr>
          <w:highlight w:val="yellow"/>
        </w:rPr>
        <w:t xml:space="preserve"> </w:t>
      </w:r>
      <w:r>
        <w:rPr>
          <w:highlight w:val="yellow"/>
        </w:rPr>
        <w:t xml:space="preserve">obtaining them would require re-elicitation with log-probabilities enabled, which is not uniformly</w:t>
      </w:r>
      <w:r>
        <w:rPr>
          <w:highlight w:val="yellow"/>
        </w:rPr>
        <w:t xml:space="preserve"> </w:t>
      </w:r>
      <w:r>
        <w:rPr>
          <w:highlight w:val="yellow"/>
        </w:rPr>
        <w:t xml:space="preserve">available across the providers evaluated.</w:t>
      </w:r>
    </w:p>
    <w:p>
      <w:pPr>
        <w:pStyle w:val="BodyText"/>
      </w:pPr>
      <w:r>
        <w:rPr>
          <w:highlight w:val="yellow"/>
        </w:rPr>
        <w:t xml:space="preserve">We run the comparison in both the held-out-specification setting and a profile-split subsampling analysis, and report them separately in</w:t>
      </w:r>
      <w:r>
        <w:t xml:space="preserve"> </w:t>
      </w:r>
      <w:r>
        <w:t xml:space="preserve">Table 8</w:t>
      </w:r>
      <w:r>
        <w:t xml:space="preserve"> </w:t>
      </w:r>
      <w:r>
        <w:rPr>
          <w:highlight w:val="yellow"/>
        </w:rPr>
        <w:t xml:space="preserve">rather than merging</w:t>
      </w:r>
      <w:r>
        <w:rPr>
          <w:highlight w:val="yellow"/>
        </w:rPr>
        <w:t xml:space="preserve"> </w:t>
      </w:r>
      <w:r>
        <w:rPr>
          <w:highlight w:val="yellow"/>
        </w:rPr>
        <w:t xml:space="preserve">them. The profile-split analysis splits the 45 credit-health profiles at random into</w:t>
      </w:r>
      <w:r>
        <w:rPr>
          <w:highlight w:val="yellow"/>
        </w:rPr>
        <w:t xml:space="preserve"> </w:t>
      </w:r>
      <w:r>
        <w:rPr>
          <w:highlight w:val="yellow"/>
        </w:rPr>
        <w:t xml:space="preserve">halves over 300 draws and evaluates discrimination only on the held-out half. The conclusion is identical, with mean AUC</w:t>
      </w:r>
      <w:r>
        <w:rPr>
          <w:highlight w:val="yellow"/>
        </w:rPr>
        <w:t xml:space="preserve"> </w:t>
      </w:r>
      <w:r>
        <w:rPr>
          <w:highlight w:val="yellow"/>
        </w:rPr>
        <w:t xml:space="preserve">0.936 at the gate and 0.950 at three bands and an index-minus-dissent-count difference of exactly</w:t>
      </w:r>
      <w:r>
        <w:rPr>
          <w:highlight w:val="yellow"/>
        </w:rPr>
        <w:t xml:space="preserve"> </w:t>
      </w:r>
      <w:r>
        <w:rPr>
          <w:highlight w:val="yellow"/>
        </w:rPr>
        <w:t xml:space="preserve">zero on every split. At the binary gate this is expected rather than reassuring, because the equivalence there is</w:t>
      </w:r>
      <w:r>
        <w:rPr>
          <w:highlight w:val="yellow"/>
        </w:rPr>
        <w:t xml:space="preserve"> </w:t>
      </w:r>
      <w:r>
        <w:rPr>
          <w:highlight w:val="yellow"/>
        </w:rPr>
        <w:t xml:space="preserve">algebraic and so cannot depend on which profiles are evaluated. At three bands the measures are not</w:t>
      </w:r>
      <w:r>
        <w:rPr>
          <w:highlight w:val="yellow"/>
        </w:rPr>
        <w:t xml:space="preserve"> </w:t>
      </w:r>
      <w:r>
        <w:rPr>
          <w:highlight w:val="yellow"/>
        </w:rPr>
        <w:t xml:space="preserve">rank-identical and the agreement in AUC is an empirical finding of these data rather than an</w:t>
      </w:r>
      <w:r>
        <w:rPr>
          <w:highlight w:val="yellow"/>
        </w:rPr>
        <w:t xml:space="preserve"> </w:t>
      </w:r>
      <w:r>
        <w:rPr>
          <w:highlight w:val="yellow"/>
        </w:rPr>
        <w:t xml:space="preserve">identity.</w:t>
      </w:r>
    </w:p>
    <w:p>
      <w:pPr>
        <w:pStyle w:val="BodyText"/>
      </w:pPr>
      <w:r>
        <w:rPr>
          <w:highlight w:val="yellow"/>
        </w:rPr>
        <w:t xml:space="preserve">At a binary resolution with</w:t>
      </w:r>
      <w:r>
        <w:t xml:space="preserve"> </w:t>
      </w:r>
      <m:oMath>
        <m:r>
          <m:t>k</m:t>
        </m:r>
      </m:oMath>
      <w:r>
        <w:t xml:space="preserve"> </w:t>
      </w:r>
      <w:r>
        <w:rPr>
          <w:highlight w:val="yellow"/>
        </w:rPr>
        <w:t xml:space="preserve">elicitations and minority count</w:t>
      </w:r>
      <w:r>
        <w:t xml:space="preserve"> </w:t>
      </w:r>
      <m:oMath>
        <m:r>
          <m:t>m</m:t>
        </m:r>
      </m:oMath>
      <w:r>
        <w:rPr>
          <w:highlight w:val="yellow"/>
        </w:rP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rPr>
          <w:highlight w:val="yellow"/>
        </w:rPr>
        <w:t xml:space="preserve">, which is strictly increasing in</w:t>
      </w:r>
      <w:r>
        <w:t xml:space="preserve"> </w:t>
      </w:r>
      <m:oMath>
        <m:r>
          <m:t>m</m:t>
        </m:r>
      </m:oMath>
      <w:r>
        <w:t xml:space="preserve"> </w:t>
      </w:r>
      <w:r>
        <w:rPr>
          <w:highlight w:val="yellow"/>
        </w:rPr>
        <w:t xml:space="preserve">for</w:t>
      </w:r>
      <w:r>
        <w:t xml:space="preserve"> </w:t>
      </w:r>
      <m:oMath>
        <m:r>
          <m:t>m</m:t>
        </m:r>
        <m:r>
          <m:rPr>
            <m:sty m:val="p"/>
          </m:rPr>
          <m:t>&lt;</m:t>
        </m:r>
        <m:r>
          <m:t>k</m:t>
        </m:r>
        <m:r>
          <m:rPr>
            <m:sty m:val="p"/>
          </m:rPr>
          <m:t>/</m:t>
        </m:r>
        <m:r>
          <m:t>2</m:t>
        </m:r>
      </m:oMath>
      <w:r>
        <w:rPr>
          <w:highlight w:val="yellow"/>
        </w:rPr>
        <w:t xml:space="preserve">. The</w:t>
      </w:r>
      <w:r>
        <w:rPr>
          <w:highlight w:val="yellow"/>
        </w:rPr>
        <w:t xml:space="preserve"> </w:t>
      </w:r>
      <w:r>
        <w:rPr>
          <w:highlight w:val="yellow"/>
        </w:rPr>
        <w:t xml:space="preserve">score is therefore an order-isomorphic transform of the dissent count at the binary gate, and any</w:t>
      </w:r>
      <w:r>
        <w:rPr>
          <w:highlight w:val="yellow"/>
        </w:rPr>
        <w:t xml:space="preserve"> </w:t>
      </w:r>
      <w:r>
        <w:rPr>
          <w:highlight w:val="yellow"/>
        </w:rPr>
        <w:t xml:space="preserve">rank-based discrimination measure must give the two identical values there. The same argument covers</w:t>
      </w:r>
      <w:r>
        <w:rPr>
          <w:highlight w:val="yellow"/>
        </w:rPr>
        <w:t xml:space="preserve"> </w:t>
      </w:r>
      <w:r>
        <w:rPr>
          <w:highlight w:val="yellow"/>
        </w:rP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rPr>
          <w:highlight w:val="yellow"/>
        </w:rPr>
        <w:t xml:space="preserve">is also strictly increasing</w:t>
      </w:r>
      <w:r>
        <w:rPr>
          <w:highlight w:val="yellow"/>
        </w:rPr>
        <w:t xml:space="preserve"> </w:t>
      </w:r>
      <w:r>
        <w:rPr>
          <w:highlight w:val="yellow"/>
        </w:rPr>
        <w:t xml:space="preserve">on</w:t>
      </w:r>
      <w:r>
        <w:t xml:space="preserve"> </w:t>
      </w:r>
      <m:oMath>
        <m:r>
          <m:t>m</m:t>
        </m:r>
        <m:r>
          <m:rPr>
            <m:sty m:val="p"/>
          </m:rPr>
          <m:t>&lt;</m:t>
        </m:r>
        <m:r>
          <m:t>k</m:t>
        </m:r>
        <m:r>
          <m:rPr>
            <m:sty m:val="p"/>
          </m:rPr>
          <m:t>/</m:t>
        </m:r>
        <m:r>
          <m:t>2</m:t>
        </m:r>
      </m:oMath>
      <w:r>
        <w:rPr>
          <w:highlight w:val="yellow"/>
        </w:rPr>
        <w:t xml:space="preserve">, so at the decision gate the dispersion measure one chooses is immaterial. The scope of</w:t>
      </w:r>
      <w:r>
        <w:rPr>
          <w:highlight w:val="yellow"/>
        </w:rPr>
        <w:t xml:space="preserve"> </w:t>
      </w:r>
      <w:r>
        <w:rPr>
          <w:highlight w:val="yellow"/>
        </w:rPr>
        <w:t xml:space="preserve">this statement matters. At the binary gate the equivalence is algebraic. At three bands the measures</w:t>
      </w:r>
      <w:r>
        <w:rPr>
          <w:highlight w:val="yellow"/>
        </w:rPr>
        <w:t xml:space="preserve"> </w:t>
      </w:r>
      <w:r>
        <w:rPr>
          <w:highlight w:val="yellow"/>
        </w:rPr>
        <w:t xml:space="preserve">are</w:t>
      </w:r>
      <w:r>
        <w:t xml:space="preserve"> </w:t>
      </w:r>
      <w:r>
        <w:rPr>
          <w:i/>
          <w:iCs/>
        </w:rPr>
        <w:t xml:space="preserve">not</w:t>
      </w:r>
      <w:r>
        <w:t xml:space="preserve"> </w:t>
      </w:r>
      <w:r>
        <w:rPr>
          <w:highlight w:val="yellow"/>
        </w:rPr>
        <w:t xml:space="preserve">rank-identical, with a Spearman correlation of</w:t>
      </w:r>
      <w:r>
        <w:t xml:space="preserve"> </w:t>
      </w:r>
      <m:oMath>
        <m:r>
          <m:t>0.971</m:t>
        </m:r>
      </m:oMath>
      <w:r>
        <w:t xml:space="preserve"> </w:t>
      </w:r>
      <w:r>
        <w:rPr>
          <w:highlight w:val="yellow"/>
        </w:rPr>
        <w:t xml:space="preserve">between the index and the</w:t>
      </w:r>
      <w:r>
        <w:rPr>
          <w:highlight w:val="yellow"/>
        </w:rPr>
        <w:t xml:space="preserve"> </w:t>
      </w:r>
      <w:r>
        <w:rPr>
          <w:highlight w:val="yellow"/>
        </w:rPr>
        <w:t xml:space="preserve">dissent count, yet they yield the same AUC in the present specification-split and profile-split</w:t>
      </w:r>
      <w:r>
        <w:rPr>
          <w:highlight w:val="yellow"/>
        </w:rPr>
        <w:t xml:space="preserve"> </w:t>
      </w:r>
      <w:r>
        <w:rPr>
          <w:highlight w:val="yellow"/>
        </w:rPr>
        <w:t xml:space="preserve">analyses.</w:t>
      </w:r>
      <w:r>
        <w:t xml:space="preserve"> </w:t>
      </w:r>
      <w:r>
        <w:t xml:space="preserve">Table 8</w:t>
      </w:r>
      <w:r>
        <w:t xml:space="preserve"> </w:t>
      </w:r>
      <w:r>
        <w:rPr>
          <w:highlight w:val="yellow"/>
        </w:rPr>
        <w:t xml:space="preserve">confirms this</w:t>
      </w:r>
      <w:r>
        <w:rPr>
          <w:highlight w:val="yellow"/>
        </w:rPr>
        <w:t xml:space="preserve"> </w:t>
      </w:r>
      <w:r>
        <w:rPr>
          <w:highlight w:val="yellow"/>
        </w:rPr>
        <w:t xml:space="preserve">numerically and extends it: at the three-band resolution the two agree to within numerical</w:t>
      </w:r>
      <w:r>
        <w:rPr>
          <w:highlight w:val="yellow"/>
        </w:rPr>
        <w:t xml:space="preserve"> </w:t>
      </w:r>
      <w:r>
        <w:rPr>
          <w:highlight w:val="yellow"/>
        </w:rPr>
        <w:t xml:space="preserve">precision as well, and at the full letter resolution the exercise is vacuous because every item</w:t>
      </w:r>
      <w:r>
        <w:rPr>
          <w:highlight w:val="yellow"/>
        </w:rPr>
        <w:t xml:space="preserve"> </w:t>
      </w:r>
      <w:r>
        <w:rPr>
          <w:highlight w:val="yellow"/>
        </w:rPr>
        <w:t xml:space="preserve">changes letter on some held-out specification, so the event to be predicted has a base rate of one.</w:t>
      </w:r>
    </w:p>
    <w:bookmarkStart w:id="57" w:name="tab:sisbase"/>
    <w:p>
      <w:pPr>
        <w:pStyle w:val="TableCaption"/>
      </w:pPr>
      <w:r>
        <w:t xml:space="preserve">[New in revision 2] 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New in revision 2] 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rPr>
                <w:highlight w:val="yellow"/>
              </w:rPr>
              <w:t xml:space="preserve">Predictor</w:t>
            </w:r>
          </w:p>
        </w:tc>
        <w:tc>
          <w:tcPr/>
          <w:p>
            <w:pPr>
              <w:pStyle w:val="Compact"/>
              <w:jc w:val="center"/>
            </w:pPr>
            <w:r>
              <w:rPr>
                <w:highlight w:val="yellow"/>
              </w:rPr>
              <w:t xml:space="preserve">IG/HY</w:t>
            </w:r>
          </w:p>
        </w:tc>
        <w:tc>
          <w:tcPr/>
          <w:p>
            <w:pPr>
              <w:pStyle w:val="Compact"/>
              <w:jc w:val="center"/>
            </w:pPr>
            <w:r>
              <w:rPr>
                <w:highlight w:val="yellow"/>
              </w:rPr>
              <w:t xml:space="preserve">3 bands</w:t>
            </w:r>
          </w:p>
        </w:tc>
        <w:tc>
          <w:tcPr/>
          <w:p>
            <w:pPr>
              <w:pStyle w:val="Compact"/>
              <w:jc w:val="center"/>
            </w:pPr>
            <w:r>
              <w:rPr>
                <w:highlight w:val="yellow"/>
              </w:rP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rPr>
          <w:highlight w:val="yellow"/>
        </w:rPr>
        <w:t xml:space="preserve">Two conclusions follow. First, the index adds no discrimination over counting dissents, so the</w:t>
      </w:r>
      <w:r>
        <w:rPr>
          <w:highlight w:val="yellow"/>
        </w:rPr>
        <w:t xml:space="preserve"> </w:t>
      </w:r>
      <w:r>
        <w:rPr>
          <w:highlight w:val="yellow"/>
        </w:rP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rPr>
          <w:highlight w:val="yellow"/>
        </w:rP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rPr>
          <w:highlight w:val="yellow"/>
        </w:rP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once review is costly. The continuous score contributes</w:t>
      </w:r>
      <w:r>
        <w:rPr>
          <w:highlight w:val="yellow"/>
        </w:rPr>
        <w:t xml:space="preserve"> </w:t>
      </w:r>
      <w:r>
        <w:rPr>
          <w:highlight w:val="yellow"/>
        </w:rPr>
        <w:t xml:space="preserve">nothing beyond the count at the decision resolutions a credit gate actually uses. Second, distance</w:t>
      </w:r>
      <w:r>
        <w:rPr>
          <w:highlight w:val="yellow"/>
        </w:rPr>
        <w:t xml:space="preserve"> </w:t>
      </w:r>
      <w:r>
        <w:rPr>
          <w:highlight w:val="yellow"/>
        </w:rPr>
        <w:t xml:space="preserve">to the boundary is a genuinely</w:t>
      </w:r>
      <w:r>
        <w:t xml:space="preserve"> </w:t>
      </w:r>
      <w:r>
        <w:rPr>
          <w:i/>
          <w:iCs/>
        </w:rPr>
        <w:t xml:space="preserve">different</w:t>
      </w:r>
      <w:r>
        <w:t xml:space="preserve"> </w:t>
      </w:r>
      <w:r>
        <w:rPr>
          <w:highlight w:val="yellow"/>
        </w:rPr>
        <w:t xml:space="preserve">and weaker signal (AUC</w:t>
      </w:r>
      <w:r>
        <w:t xml:space="preserve"> </w:t>
      </w:r>
      <m:oMath>
        <m:r>
          <m:t>0.763</m:t>
        </m:r>
      </m:oMath>
      <w:r>
        <w:t xml:space="preserve"> </w:t>
      </w:r>
      <w:r>
        <w:rPr>
          <w:highlight w:val="yellow"/>
        </w:rPr>
        <w:t xml:space="preserve">and</w:t>
      </w:r>
      <w:r>
        <w:t xml:space="preserve"> </w:t>
      </w:r>
      <m:oMath>
        <m:r>
          <m:t>0.655</m:t>
        </m:r>
      </m:oMath>
      <w:r>
        <w:rPr>
          <w:highlight w:val="yellow"/>
        </w:rPr>
        <w:t xml:space="preserve">), so it is</w:t>
      </w:r>
      <w:r>
        <w:rPr>
          <w:highlight w:val="yellow"/>
        </w:rPr>
        <w:t xml:space="preserve"> </w:t>
      </w:r>
      <w:r>
        <w:rPr>
          <w:highlight w:val="yellow"/>
        </w:rPr>
        <w:t xml:space="preserve">not a substitute for the dissent count. The two measure different things, which is why</w:t>
      </w:r>
      <w:r>
        <w:t xml:space="preserve"> </w:t>
      </w:r>
      <w:r>
        <w:t xml:space="preserve">Algorithm 1 (Fig. 5</w:t>
      </w:r>
      <w:r>
        <w:rPr>
          <w:highlight w:val="yellow"/>
        </w:rPr>
        <w:t xml:space="preserve">) uses dissent to determine referral and boundary proximity to determine priority.</w:t>
      </w:r>
    </w:p>
    <w:bookmarkStart w:id="59" w:name="net-benefit-for-triage."/>
    <w:p>
      <w:pPr>
        <w:pStyle w:val="Heading4"/>
      </w:pPr>
      <w:r>
        <w:rPr>
          <w:rStyle w:val="SectionNumber"/>
        </w:rPr>
        <w:t xml:space="preserve">4.3.0.1</w:t>
      </w:r>
      <w:r>
        <w:tab/>
      </w:r>
      <w:r>
        <w:rPr>
          <w:highlight w:val="yellow"/>
        </w:rPr>
        <w:t xml:space="preserve">Net benefit for triage.</w:t>
      </w:r>
    </w:p>
    <w:p>
      <w:pPr>
        <w:pStyle w:val="FirstParagraph"/>
      </w:pPr>
      <w:r>
        <w:rPr>
          <w:highlight w:val="yellow"/>
        </w:rPr>
        <w:t xml:space="preserve">Discrimination is not the quantity a referral desk optimizes, so we also report the decision-curve</w:t>
      </w:r>
      <w:r>
        <w:rPr>
          <w:highlight w:val="yellow"/>
        </w:rPr>
        <w:t xml:space="preserve"> </w:t>
      </w:r>
      <w:r>
        <w:rPr>
          <w:highlight w:val="yellow"/>
        </w:rPr>
        <w:t xml:space="preserve">net benefit of</w:t>
      </w:r>
      <w:r>
        <w:t xml:space="preserve"> </w:t>
      </w:r>
      <w:r>
        <w:t xml:space="preserve">Vickers and Elkin (2006)</w:t>
      </w:r>
      <w:r>
        <w:rPr>
          <w:highlight w:val="yellow"/>
        </w:rPr>
        <w:t xml:space="preserv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rPr>
          <w:highlight w:val="yellow"/>
        </w:rPr>
        <w:t xml:space="preserve">, where</w:t>
      </w:r>
      <w:r>
        <w:t xml:space="preserve"> </w:t>
      </w:r>
      <m:oMath>
        <m:sSub>
          <m:e>
            <m:r>
              <m:t>p</m:t>
            </m:r>
          </m:e>
          <m:sub>
            <m:r>
              <m:t>t</m:t>
            </m:r>
          </m:sub>
        </m:sSub>
      </m:oMath>
      <w:r>
        <w:t xml:space="preserve"> </w:t>
      </w:r>
      <w:r>
        <w:rPr>
          <w:highlight w:val="yellow"/>
        </w:rPr>
        <w:t xml:space="preserve">is the</w:t>
      </w:r>
      <w:r>
        <w:rPr>
          <w:highlight w:val="yellow"/>
        </w:rPr>
        <w:t xml:space="preserve"> </w:t>
      </w:r>
      <w:r>
        <w:rPr>
          <w:highlight w:val="yellow"/>
        </w:rPr>
        <w:t xml:space="preserve">threshold probability at which a reviewer is indifferent between referring and not referring. Each</w:t>
      </w:r>
      <w:r>
        <w:rPr>
          <w:highlight w:val="yellow"/>
        </w:rPr>
        <w:t xml:space="preserve"> </w:t>
      </w:r>
      <w:r>
        <w:rPr>
          <w:highlight w:val="yellow"/>
        </w:rPr>
        <w:t xml:space="preserve">continuous predictor is credited with the best net benefit attainable over its</w:t>
      </w:r>
      <w:r>
        <w:t xml:space="preserve"> </w:t>
      </w:r>
      <w:r>
        <w:rPr>
          <w:i/>
          <w:iCs/>
        </w:rPr>
        <w:t xml:space="preserve">own</w:t>
      </w:r>
      <w:r>
        <w:t xml:space="preserve"> </w:t>
      </w:r>
      <w:r>
        <w:rPr>
          <w:highlight w:val="yellow"/>
        </w:rPr>
        <w:t xml:space="preserve">thresholds, which is the most favourable reading available to it.</w:t>
      </w:r>
      <w:r>
        <w:t xml:space="preserve"> </w:t>
      </w:r>
      <w:r>
        <w:t xml:space="preserve">Table 9</w:t>
      </w:r>
      <w:r>
        <w:t xml:space="preserve"> </w:t>
      </w:r>
      <w:r>
        <w:rPr>
          <w:highlight w:val="yellow"/>
        </w:rPr>
        <w:t xml:space="preserve">gives the</w:t>
      </w:r>
      <w:r>
        <w:rPr>
          <w:highlight w:val="yellow"/>
        </w:rPr>
        <w:t xml:space="preserve"> </w:t>
      </w:r>
      <w:r>
        <w:rPr>
          <w:highlight w:val="yellow"/>
        </w:rPr>
        <w:t xml:space="preserve">curves. Three results follow, and the first two are null.</w:t>
      </w:r>
    </w:p>
    <w:p>
      <w:pPr>
        <w:pStyle w:val="BodyText"/>
      </w:pPr>
      <w:r>
        <w:rPr>
          <w:highlight w:val="yellow"/>
        </w:rPr>
        <w:t xml:space="preserve">The index and the dissent count have</w:t>
      </w:r>
      <w:r>
        <w:t xml:space="preserve"> </w:t>
      </w:r>
      <w:r>
        <w:rPr>
          <w:i/>
          <w:iCs/>
        </w:rPr>
        <w:t xml:space="preserve">identical</w:t>
      </w:r>
      <w:r>
        <w:t xml:space="preserve"> </w:t>
      </w:r>
      <w:r>
        <w:rPr>
          <w:highlight w:val="yellow"/>
        </w:rPr>
        <w:t xml:space="preserve">net-benefit curves at every threshold</w:t>
      </w:r>
      <w:r>
        <w:rPr>
          <w:highlight w:val="yellow"/>
        </w:rPr>
        <w:t xml:space="preserve"> </w:t>
      </w:r>
      <w:r>
        <w:rPr>
          <w:highlight w:val="yellow"/>
        </w:rPr>
        <w:t xml:space="preserve">probability, to machine precision, at both resolutions where the event is non-degenerate. The</w:t>
      </w:r>
      <w:r>
        <w:rPr>
          <w:highlight w:val="yellow"/>
        </w:rPr>
        <w:t xml:space="preserve"> </w:t>
      </w:r>
      <w:r>
        <w:rPr>
          <w:highlight w:val="yellow"/>
        </w:rPr>
        <w:t xml:space="preserve">largest absolute gap is exactly</w:t>
      </w:r>
      <w:r>
        <w:t xml:space="preserve"> </w:t>
      </w:r>
      <m:oMath>
        <m:r>
          <m:t>0</m:t>
        </m:r>
      </m:oMath>
      <w:r>
        <w:rPr>
          <w:highlight w:val="yellow"/>
        </w:rPr>
        <w:t xml:space="preserve">. This is the order-isomorphism again, now in the decision metric. The two predictors’ threshold families generate the same flag sets, so no triage policy can</w:t>
      </w:r>
      <w:r>
        <w:rPr>
          <w:highlight w:val="yellow"/>
        </w:rPr>
        <w:t xml:space="preserve"> </w:t>
      </w:r>
      <w:r>
        <w:rPr>
          <w:highlight w:val="yellow"/>
        </w:rPr>
        <w:t xml:space="preserve">distinguish them. The self-consistency vote margin coincides with them as well. Distance to the</w:t>
      </w:r>
      <w:r>
        <w:rPr>
          <w:highlight w:val="yellow"/>
        </w:rPr>
        <w:t xml:space="preserve"> </w:t>
      </w:r>
      <w:r>
        <w:rPr>
          <w:highlight w:val="yellow"/>
        </w:rPr>
        <w:t xml:space="preserve">boundary is dominated, by up to</w:t>
      </w:r>
      <w:r>
        <w:t xml:space="preserve"> </w:t>
      </w:r>
      <m:oMath>
        <m:r>
          <m:t>0.156</m:t>
        </m:r>
      </m:oMath>
      <w:r>
        <w:t xml:space="preserve"> </w:t>
      </w:r>
      <w:r>
        <w:rPr>
          <w:highlight w:val="yellow"/>
        </w:rPr>
        <w:t xml:space="preserve">in net benefit. The index therefore yields no triage gain</w:t>
      </w:r>
      <w:r>
        <w:rPr>
          <w:highlight w:val="yellow"/>
        </w:rPr>
        <w:t xml:space="preserve"> </w:t>
      </w:r>
      <w:r>
        <w:rPr>
          <w:highlight w:val="yellow"/>
        </w:rPr>
        <w:t xml:space="preserve">over counting dissents, and we report this null as the answer to the question.</w:t>
      </w:r>
    </w:p>
    <w:p>
      <w:pPr>
        <w:pStyle w:val="BodyText"/>
      </w:pPr>
      <w:r>
        <w:rPr>
          <w:highlight w:val="yellow"/>
        </w:rPr>
        <w:t xml:space="preserve">Dispersion-based referral does, however, beat the two reference policies once referral is costly</w:t>
      </w:r>
      <w:r>
        <w:rPr>
          <w:highlight w:val="yellow"/>
        </w:rPr>
        <w:t xml:space="preserve"> </w:t>
      </w:r>
      <w:r>
        <w:rPr>
          <w:highlight w:val="yellow"/>
        </w:rPr>
        <w:t xml:space="preserve">enough. Because the event base rate is high (</w:t>
      </w:r>
      <m:oMath>
        <m:r>
          <m:t>0.76</m:t>
        </m:r>
      </m:oMath>
      <w:r>
        <w:t xml:space="preserve"> </w:t>
      </w:r>
      <w:r>
        <w:rPr>
          <w:highlight w:val="yellow"/>
        </w:rPr>
        <w:t xml:space="preserve">at the binary gate), referring every issuer is</w:t>
      </w:r>
      <w:r>
        <w:rPr>
          <w:highlight w:val="yellow"/>
        </w:rPr>
        <w:t xml:space="preserve"> </w:t>
      </w:r>
      <w:r>
        <w:rPr>
          <w:highlight w:val="yellow"/>
        </w:rPr>
        <w:t xml:space="preserve">already near-optimal for</w:t>
      </w:r>
      <w:r>
        <w:t xml:space="preserve"> </w:t>
      </w:r>
      <m:oMath>
        <m:sSub>
          <m:e>
            <m:r>
              <m:t>p</m:t>
            </m:r>
          </m:e>
          <m:sub>
            <m:r>
              <m:t>t</m:t>
            </m:r>
          </m:sub>
        </m:sSub>
        <m:r>
          <m:rPr>
            <m:sty m:val="p"/>
          </m:rPr>
          <m:t>≤</m:t>
        </m:r>
        <m:r>
          <m:t>0.20</m:t>
        </m:r>
      </m:oMath>
      <w:r>
        <w:rPr>
          <w:highlight w:val="yellow"/>
        </w:rPr>
        <w:t xml:space="preserve">, where the gain from any predictor is</w:t>
      </w:r>
      <w:r>
        <w:t xml:space="preserve"> </w:t>
      </w:r>
      <m:oMath>
        <m:r>
          <m:t>0</m:t>
        </m:r>
      </m:oMath>
      <w:r>
        <w:rPr>
          <w:highlight w:val="yellow"/>
        </w:rPr>
        <w:t xml:space="preserve">. From</w:t>
      </w:r>
      <w:r>
        <w:t xml:space="preserve"> </w:t>
      </w:r>
      <m:oMath>
        <m:sSub>
          <m:e>
            <m:r>
              <m:t>p</m:t>
            </m:r>
          </m:e>
          <m:sub>
            <m:r>
              <m:t>t</m:t>
            </m:r>
          </m:sub>
        </m:sSub>
        <m:r>
          <m:rPr>
            <m:sty m:val="p"/>
          </m:rPr>
          <m:t>=</m:t>
        </m:r>
        <m:r>
          <m:t>0.25</m:t>
        </m:r>
      </m:oMath>
      <w:r>
        <w:t xml:space="preserve"> </w:t>
      </w:r>
      <w:r>
        <w:rPr>
          <w:highlight w:val="yellow"/>
        </w:rPr>
        <w:t xml:space="preserve">the</w:t>
      </w:r>
      <w:r>
        <w:rPr>
          <w:highlight w:val="yellow"/>
        </w:rPr>
        <w:t xml:space="preserve"> </w:t>
      </w:r>
      <w:r>
        <w:rPr>
          <w:highlight w:val="yellow"/>
        </w:rPr>
        <w:t xml:space="preserve">dispersion predictors separate, reaching</w:t>
      </w:r>
      <w:r>
        <w:t xml:space="preserve"> </w:t>
      </w:r>
      <m:oMath>
        <m:r>
          <m:rPr>
            <m:sty m:val="p"/>
          </m:rPr>
          <m:t>+</m:t>
        </m:r>
        <m:r>
          <m:t>0.278</m:t>
        </m:r>
      </m:oMath>
      <w:r>
        <w:t xml:space="preserve"> </w:t>
      </w:r>
      <w:r>
        <w:rPr>
          <w:highlight w:val="yellow"/>
        </w:rPr>
        <w:t xml:space="preserve">over refer-all at</w:t>
      </w:r>
      <w:r>
        <w:t xml:space="preserve"> </w:t>
      </w:r>
      <m:oMath>
        <m:sSub>
          <m:e>
            <m:r>
              <m:t>p</m:t>
            </m:r>
          </m:e>
          <m:sub>
            <m:r>
              <m:t>t</m:t>
            </m:r>
          </m:sub>
        </m:sSub>
        <m:r>
          <m:rPr>
            <m:sty m:val="p"/>
          </m:rPr>
          <m:t>=</m:t>
        </m:r>
        <m:r>
          <m:t>0.60</m:t>
        </m:r>
      </m:oMath>
      <w:r>
        <w:rPr>
          <w:highlight w:val="yellow"/>
        </w:rPr>
        <w:t xml:space="preserve">. The useful knob there</w:t>
      </w:r>
      <w:r>
        <w:rPr>
          <w:highlight w:val="yellow"/>
        </w:rPr>
        <w:t xml:space="preserve"> </w:t>
      </w:r>
      <w:r>
        <w:rPr>
          <w:highlight w:val="yellow"/>
        </w:rPr>
        <w:t xml:space="preserve">is the</w:t>
      </w:r>
      <w:r>
        <w:t xml:space="preserve"> </w:t>
      </w:r>
      <w:r>
        <w:rPr>
          <w:i/>
          <w:iCs/>
        </w:rPr>
        <w:t xml:space="preserve">number</w:t>
      </w:r>
      <w:r>
        <w:t xml:space="preserve"> </w:t>
      </w:r>
      <w:r>
        <w:rPr>
          <w:highlight w:val="yellow"/>
        </w:rPr>
        <w:t xml:space="preserve">of dissenting elicitations rather than the continuous score. The fixed</w:t>
      </w:r>
      <w:r>
        <w:rPr>
          <w:highlight w:val="yellow"/>
        </w:rPr>
        <w:t xml:space="preserve"> </w:t>
      </w:r>
      <w:r>
        <w:rPr>
          <w:highlight w:val="yellow"/>
        </w:rPr>
        <w:t xml:space="preserve">“refer on</w:t>
      </w:r>
      <w:r>
        <w:rPr>
          <w:highlight w:val="yellow"/>
        </w:rPr>
        <w:t xml:space="preserve"> </w:t>
      </w:r>
      <w:r>
        <w:rPr>
          <w:highlight w:val="yellow"/>
        </w:rPr>
        <w:t xml:space="preserve">any disagreement”</w:t>
      </w:r>
      <w:r>
        <w:rPr>
          <w:highlight w:val="yellow"/>
        </w:rPr>
        <w:t xml:space="preserve"> </w:t>
      </w:r>
      <w:r>
        <w:rPr>
          <w:highlight w:val="yellow"/>
        </w:rPr>
        <w:t xml:space="preserve">rule falls short of the attainable envelope by up to</w:t>
      </w:r>
      <w:r>
        <w:t xml:space="preserve"> </w:t>
      </w:r>
      <m:oMath>
        <m:r>
          <m:t>0.167</m:t>
        </m:r>
      </m:oMath>
      <w:r>
        <w:rPr>
          <w:highlight w:val="yellow"/>
        </w:rPr>
        <w:t xml:space="preserve">, because for</w:t>
      </w:r>
      <w:r>
        <w:t xml:space="preserve"> </w:t>
      </w:r>
      <m:oMath>
        <m:sSub>
          <m:e>
            <m:r>
              <m:t>p</m:t>
            </m:r>
          </m:e>
          <m:sub>
            <m:r>
              <m:t>t</m:t>
            </m:r>
          </m:sub>
        </m:sSub>
        <m:r>
          <m:rPr>
            <m:sty m:val="p"/>
          </m:rPr>
          <m:t>&gt;</m:t>
        </m:r>
        <m:r>
          <m:t>0.30</m:t>
        </m:r>
      </m:oMath>
      <w:r>
        <w:t xml:space="preserve"> </w:t>
      </w:r>
      <w:r>
        <w:rPr>
          <w:highlight w:val="yellow"/>
        </w:rP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rPr>
          <w:highlight w:val="yellow"/>
        </w:rPr>
        <w:t xml:space="preserve">, chosen according to review cost and capacity, rather than a cutoff on the continuous</w:t>
      </w:r>
      <w:r>
        <w:t xml:space="preserve"> </w:t>
      </w:r>
      <m:oMath>
        <m:r>
          <m:rPr>
            <m:sty m:val="p"/>
          </m:rPr>
          <m:t>S</m:t>
        </m:r>
        <m:r>
          <m:rPr>
            <m:sty m:val="p"/>
          </m:rPr>
          <m:t>I</m:t>
        </m:r>
        <m:r>
          <m:rPr>
            <m:sty m:val="p"/>
          </m:rPr>
          <m:t>S</m:t>
        </m:r>
      </m:oMath>
      <w:r>
        <w:rPr>
          <w:highlight w:val="yellow"/>
        </w:rPr>
        <w:t xml:space="preserve">.</w:t>
      </w:r>
    </w:p>
    <w:bookmarkStart w:id="58" w:name="tab:sisdca"/>
    <w:p>
      <w:pPr>
        <w:pStyle w:val="TableCaption"/>
      </w:pPr>
      <w:r>
        <w:t xml:space="preserve">[New in revision 2] 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New in revision 2] 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rPr>
                <w:highlight w:val="yellow"/>
              </w:rPr>
              <w:t xml:space="preserve">Strategy (IG/HY resolution)</w:t>
            </w:r>
          </w:p>
        </w:tc>
        <w:tc>
          <w:tcPr/>
          <w:p>
            <w:pPr>
              <w:pStyle w:val="Compact"/>
              <w:jc w:val="center"/>
            </w:pPr>
            <w:r>
              <w:rPr>
                <w:highlight w:val="yellow"/>
              </w:rPr>
              <w:t xml:space="preserve">0.10</w:t>
            </w:r>
          </w:p>
        </w:tc>
        <w:tc>
          <w:tcPr/>
          <w:p>
            <w:pPr>
              <w:pStyle w:val="Compact"/>
              <w:jc w:val="center"/>
            </w:pPr>
            <w:r>
              <w:rPr>
                <w:highlight w:val="yellow"/>
              </w:rPr>
              <w:t xml:space="preserve">0.20</w:t>
            </w:r>
          </w:p>
        </w:tc>
        <w:tc>
          <w:tcPr/>
          <w:p>
            <w:pPr>
              <w:pStyle w:val="Compact"/>
              <w:jc w:val="center"/>
            </w:pPr>
            <w:r>
              <w:rPr>
                <w:highlight w:val="yellow"/>
              </w:rPr>
              <w:t xml:space="preserve">0.30</w:t>
            </w:r>
          </w:p>
        </w:tc>
        <w:tc>
          <w:tcPr/>
          <w:p>
            <w:pPr>
              <w:pStyle w:val="Compact"/>
              <w:jc w:val="center"/>
            </w:pPr>
            <w:r>
              <w:rPr>
                <w:highlight w:val="yellow"/>
              </w:rPr>
              <w:t xml:space="preserve">0.45</w:t>
            </w:r>
          </w:p>
        </w:tc>
        <w:tc>
          <w:tcPr/>
          <w:p>
            <w:pPr>
              <w:pStyle w:val="Compact"/>
              <w:jc w:val="center"/>
            </w:pPr>
            <w:r>
              <w:rPr>
                <w:highlight w:val="yellow"/>
              </w:rP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rPr>
          <w:highlight w:val="yellow"/>
        </w:rP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w:t>
      </w:r>
      <w:r>
        <w:t xml:space="preserve"> </w:t>
      </w:r>
      <w:r>
        <w:rPr>
          <w:strike/>
        </w:rPr>
        <w:t xml:space="preserve">returns: the</w:t>
      </w:r>
      <w:r>
        <w:t xml:space="preserve"> </w:t>
      </w:r>
      <w:r>
        <w:rPr>
          <w:highlight w:val="yellow"/>
        </w:rPr>
        <w:t xml:space="preserve">returns. The</w:t>
      </w:r>
      <w:r>
        <w:t xml:space="preserve"> </w:t>
      </w:r>
      <w:r>
        <w:t xml:space="preserve">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[Revised in revision 2] 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Revised in revision 2] 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w:t>
      </w:r>
      <w:r>
        <w:t xml:space="preserve"> </w:t>
      </w:r>
      <w:r>
        <w:rPr>
          <w:strike/>
        </w:rPr>
        <w:t xml:space="preserve">means; dollar</w:t>
      </w:r>
      <w:r>
        <w:t xml:space="preserve"> </w:t>
      </w:r>
      <w:r>
        <w:rPr>
          <w:highlight w:val="yellow"/>
        </w:rPr>
        <w:t xml:space="preserve">means. Dollar</w:t>
      </w:r>
      <w:r>
        <w:t xml:space="preserve"> </w:t>
      </w:r>
      <w:r>
        <w:t xml:space="preserve">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rPr>
          <w:strike/>
        </w:rPr>
        <w:t xml:space="preserve">times; the modal rating and its score are recorded; issuers whose modal rating</w:t>
      </w:r>
      <w:r>
        <w:rPr>
          <w:strike/>
        </w:rPr>
        <w:t xml:space="preserve"> </w:t>
      </w:r>
      <w:r>
        <w:rPr>
          <w:strike/>
        </w:rPr>
        <w:t xml:space="preserve">sits near a consequential boundary (such as IG/HY)</w:t>
      </w:r>
      <w:r>
        <w:rPr>
          <w:strike/>
        </w:rPr>
        <w:t xml:space="preserve"> </w:t>
      </w:r>
      <w:r>
        <w:rPr>
          <w:i/>
          <w:iCs/>
          <w:strike/>
        </w:rPr>
        <w:t xml:space="preserve">and</w:t>
      </w:r>
      <w:r>
        <w:rPr>
          <w:strike/>
        </w:rPr>
        <w:t xml:space="preserve"> </w:t>
      </w:r>
      <w:r>
        <w:rPr>
          <w:strike/>
        </w:rPr>
        <w:t xml:space="preserve">whose score exceeds a pre-set tolerance are</w:t>
      </w:r>
      <w:r>
        <w:rPr>
          <w:strike/>
        </w:rPr>
        <w:t xml:space="preserve"> </w:t>
      </w:r>
      <w:r>
        <w:rPr>
          <w:strike/>
        </w:rPr>
        <w:t xml:space="preserve">routed to human review, while stable issuers</w:t>
      </w:r>
      <w:r>
        <w:t xml:space="preserve"> </w:t>
      </w:r>
      <w:r>
        <w:rPr>
          <w:highlight w:val="yellow"/>
        </w:rPr>
        <w:t xml:space="preserve">times, and the modal rating and dissent count are recorded. Issuers</w:t>
      </w:r>
      <w:r>
        <w:rPr>
          <w:highlight w:val="yellow"/>
        </w:rPr>
        <w:t xml:space="preserve"> </w:t>
      </w:r>
      <w:r>
        <w:rPr>
          <w:highlight w:val="yellow"/>
        </w:rP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are routed to human review,</w:t>
      </w:r>
      <w:r>
        <w:rPr>
          <w:highlight w:val="yellow"/>
        </w:rPr>
        <w:t xml:space="preserve"> </w:t>
      </w:r>
      <w:r>
        <w:rPr>
          <w:highlight w:val="yellow"/>
        </w:rPr>
        <w:t xml:space="preserve">prioritized by proximity of the modal letter rating to the BBB</w:t>
      </w:r>
      <m:oMath>
        <m:r>
          <m:rPr>
            <m:sty m:val="p"/>
          </m:rPr>
          <m:t>−</m:t>
        </m:r>
      </m:oMath>
      <w:r>
        <w:rPr>
          <w:highlight w:val="yellow"/>
        </w:rPr>
        <w:t xml:space="preserve">/BB</w:t>
      </w:r>
      <m:oMath>
        <m:r>
          <m:rPr>
            <m:sty m:val="p"/>
          </m:rPr>
          <m:t>+</m:t>
        </m:r>
      </m:oMath>
      <w:r>
        <w:t xml:space="preserve"> </w:t>
      </w:r>
      <w:r>
        <w:rPr>
          <w:highlight w:val="yellow"/>
        </w:rPr>
        <w:t xml:space="preserve">cut. Issuers below the</w:t>
      </w:r>
      <w:r>
        <w:rPr>
          <w:highlight w:val="yellow"/>
        </w:rPr>
        <w:t xml:space="preserve"> </w:t>
      </w:r>
      <w:r>
        <w:rPr>
          <w:highlight w:val="yellow"/>
        </w:rPr>
        <w:t xml:space="preserve">dissent threshold</w:t>
      </w:r>
      <w:r>
        <w:t xml:space="preserve"> </w:t>
      </w:r>
      <w:r>
        <w:t xml:space="preserve">pass through. This yields an</w:t>
      </w:r>
      <w:r>
        <w:t xml:space="preserve"> </w:t>
      </w:r>
      <w:r>
        <w:rPr>
          <w:strike/>
        </w:rPr>
        <w:t xml:space="preserve">auditable, ground-truth-free</w:t>
      </w:r>
      <w:r>
        <w:rPr>
          <w:strike/>
        </w:rPr>
        <w:t xml:space="preserve"> </w:t>
      </w:r>
      <w:r>
        <w:rPr>
          <w:strike/>
        </w:rPr>
        <w:t xml:space="preserve">control</w:t>
      </w:r>
      <w:r>
        <w:t xml:space="preserve"> </w:t>
      </w:r>
      <w:r>
        <w:rPr>
          <w:highlight w:val="yellow"/>
        </w:rPr>
        <w:t xml:space="preserve">auditable review rule, a</w:t>
      </w:r>
      <w:r>
        <w:rPr>
          <w:highlight w:val="yellow"/>
        </w:rPr>
        <w:t xml:space="preserve"> </w:t>
      </w:r>
      <w:r>
        <w:rPr>
          <w:highlight w:val="yellow"/>
        </w:rPr>
        <w:t xml:space="preserve">governance trigger</w:t>
      </w:r>
      <w:r>
        <w:t xml:space="preserve"> </w:t>
      </w:r>
      <w:r>
        <w:t xml:space="preserve">that scales with the rating pipeline and</w:t>
      </w:r>
      <w:r>
        <w:t xml:space="preserve"> </w:t>
      </w:r>
      <w:r>
        <w:rPr>
          <w:strike/>
        </w:rPr>
        <w:t xml:space="preserve">directly answers</w:t>
      </w:r>
      <w:r>
        <w:t xml:space="preserve"> </w:t>
      </w:r>
      <w:r>
        <w:rPr>
          <w:highlight w:val="yellow"/>
        </w:rPr>
        <w:t xml:space="preserve">speaks to</w:t>
      </w:r>
      <w:r>
        <w:t xml:space="preserve"> </w:t>
      </w:r>
      <w:r>
        <w:t xml:space="preserve">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[Revised in revision 2] 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rPr>
          <w:strike/>
        </w:rPr>
        <w:t xml:space="preserve">No single controllable design choice explains more than</w:t>
      </w:r>
      <w:r>
        <w:rPr>
          <w:strike/>
        </w:rPr>
        <w:t xml:space="preserve"> </w:t>
      </w:r>
      <m:oMath>
        <m:r>
          <m:rPr>
            <m:sty m:val="p"/>
          </m:rPr>
          <m:t>∼</m:t>
        </m:r>
      </m:oMath>
      <w:r>
        <w:rPr>
          <w:strike/>
        </w:rPr>
        <w:t xml:space="preserve">5% of rating variance. Of the</w:t>
      </w:r>
      <w:r>
        <w:rPr>
          <w:strike/>
        </w:rPr>
        <w:t xml:space="preserve"> </w:t>
      </w:r>
      <m:oMath>
        <m:r>
          <m:rPr>
            <m:sty m:val="p"/>
          </m:rPr>
          <m:t>∼</m:t>
        </m:r>
      </m:oMath>
      <w:r>
        <w:rPr>
          <w:strike/>
        </w:rPr>
        <w:t xml:space="preserve">25%</w:t>
      </w:r>
      <w:r>
        <w:t xml:space="preserve"> </w:t>
      </w:r>
      <w:r>
        <w:rPr>
          <w:highlight w:val="yellow"/>
        </w:rPr>
        <w:t xml:space="preserve">Under the fitted models the elicitation axes jointly explain</w:t>
      </w:r>
      <w:r>
        <w:t xml:space="preserve"> </w:t>
      </w:r>
      <m:oMath>
        <m:sSup>
          <m:e>
            <m:r>
              <m:t>R</m:t>
            </m:r>
          </m:e>
          <m:sup>
            <m:r>
              <m:t>2</m:t>
            </m:r>
          </m:sup>
        </m:sSup>
        <m:r>
          <m:rPr>
            <m:sty m:val="p"/>
          </m:rPr>
          <m:t>=</m:t>
        </m:r>
        <m:r>
          <m:t>0.083</m:t>
        </m:r>
      </m:oMath>
      <w:r>
        <w:rPr>
          <w:highlight w:val="yellow"/>
        </w:rPr>
        <w:t xml:space="preserve">–</w:t>
      </w:r>
      <m:oMath>
        <m:r>
          <m:t>0.119</m:t>
        </m:r>
      </m:oMath>
      <w:r>
        <w:t xml:space="preserve"> </w:t>
      </w:r>
      <w:r>
        <w:rPr>
          <w:highlight w:val="yellow"/>
        </w:rPr>
        <w:t xml:space="preserve">of rating</w:t>
      </w:r>
      <w:r>
        <w:rPr>
          <w:highlight w:val="yellow"/>
        </w:rPr>
        <w:t xml:space="preserve"> </w:t>
      </w:r>
      <w:r>
        <w:rPr>
          <w:highlight w:val="yellow"/>
        </w:rPr>
        <w:t xml:space="preserve">variation, and the design does not identify how that share should be attributed to individual axes.</w:t>
      </w:r>
      <w:r>
        <w:rPr>
          <w:highlight w:val="yellow"/>
        </w:rPr>
        <w:t xml:space="preserve"> </w:t>
      </w:r>
      <w:r>
        <w:rPr>
          <w:highlight w:val="yellow"/>
        </w:rPr>
        <w:t xml:space="preserve">Of the</w:t>
      </w:r>
      <w:r>
        <w:t xml:space="preserve"> </w:t>
      </w:r>
      <m:oMath>
        <m:r>
          <m:rPr>
            <m:sty m:val="p"/>
          </m:rPr>
          <m:t>∼</m:t>
        </m:r>
      </m:oMath>
      <w:r>
        <w:rPr>
          <w:highlight w:val="yellow"/>
        </w:rPr>
        <w:t xml:space="preserve">25</w:t>
      </w:r>
      <w:r>
        <w:t xml:space="preserve">% OLS residual, only about 8% is pure run-to-run seed</w:t>
      </w:r>
      <w:r>
        <w:t xml:space="preserve"> </w:t>
      </w:r>
      <w:r>
        <w:rPr>
          <w:strike/>
        </w:rPr>
        <w:t xml:space="preserve">variation; the rest is not identified as to</w:t>
      </w:r>
      <w:r>
        <w:t xml:space="preserve"> </w:t>
      </w:r>
      <w:r>
        <w:rPr>
          <w:highlight w:val="yellow"/>
        </w:rPr>
        <w:t xml:space="preserve">variation, and the rest is</w:t>
      </w:r>
      <w:r>
        <w:rPr>
          <w:highlight w:val="yellow"/>
        </w:rPr>
        <w:t xml:space="preserve"> </w:t>
      </w:r>
      <w:r>
        <w:rPr>
          <w:highlight w:val="yellow"/>
        </w:rPr>
        <w:t xml:space="preserve">not identified as to</w:t>
      </w:r>
      <w:r>
        <w:t xml:space="preserve"> </w:t>
      </w:r>
      <w:r>
        <w:t xml:space="preserve">source under this resolution-limited design and is reported descriptively. The headline stability conclusions do not depend on this decomposition.</w:t>
      </w:r>
      <w:r>
        <w:rPr>
          <w:strike/>
        </w:rPr>
        <w:t xml:space="preserve">Under the descriptive main-effects decomposition no</w:t>
      </w:r>
      <w:r>
        <w:rPr>
          <w:strike/>
        </w:rPr>
        <w:t xml:space="preserve"> </w:t>
      </w:r>
      <w:r>
        <w:rPr>
          <w:strike/>
        </w:rPr>
        <w:t xml:space="preserve">measured main-effect share dominates; because interactions are not separately identified, this should not</w:t>
      </w:r>
      <w:r>
        <w:rPr>
          <w:strike/>
        </w:rPr>
        <w:t xml:space="preserve"> </w:t>
      </w:r>
      <w:r>
        <w:rPr>
          <w:strike/>
        </w:rPr>
        <w:t xml:space="preserve">be read as establishing that no individual design choice or interaction can have a larger causal effect.</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w:t>
      </w:r>
      <w:r>
        <w:t xml:space="preserve"> </w:t>
      </w:r>
      <w:r>
        <w:rPr>
          <w:strike/>
        </w:rPr>
        <w:t xml:space="preserve">designed: under the descriptive main-effects decomposition no individual</w:t>
      </w:r>
      <w:r>
        <w:rPr>
          <w:strike/>
        </w:rPr>
        <w:t xml:space="preserve"> </w:t>
      </w:r>
      <w:r>
        <w:rPr>
          <w:strike/>
        </w:rPr>
        <w:t xml:space="preserve">design axis accounts for more than about 5% of variance (these shares are not identified causal effects) and the</w:t>
      </w:r>
      <w:r>
        <w:rPr>
          <w:strike/>
        </w:rPr>
        <w:t xml:space="preserve"> </w:t>
      </w:r>
      <w:r>
        <w:rPr>
          <w:strike/>
        </w:rPr>
        <w:t xml:space="preserve">provider</w:t>
      </w:r>
      <m:oMath>
        <m:r>
          <m:rPr>
            <m:sty m:val="p"/>
          </m:rPr>
          <m:t>×</m:t>
        </m:r>
      </m:oMath>
      <w:r>
        <w:rPr>
          <w:strike/>
        </w:rPr>
        <w:t xml:space="preserve">item interaction is non-negligible, so the chosen configuration selects a point on the</w:t>
      </w:r>
      <w:r>
        <w:rPr>
          <w:strike/>
        </w:rPr>
        <w:t xml:space="preserve"> </w:t>
      </w:r>
      <w:r>
        <w:rPr>
          <w:strike/>
        </w:rPr>
        <w:t xml:space="preserve">specification curve that need</w:t>
      </w:r>
      <w:r>
        <w:t xml:space="preserve"> </w:t>
      </w:r>
      <w:r>
        <w:rPr>
          <w:highlight w:val="yellow"/>
        </w:rPr>
        <w:t xml:space="preserve">designed. A fixed configuration selects one point on the specification</w:t>
      </w:r>
      <w:r>
        <w:rPr>
          <w:highlight w:val="yellow"/>
        </w:rPr>
        <w:t xml:space="preserve"> </w:t>
      </w:r>
      <w:r>
        <w:rPr>
          <w:highlight w:val="yellow"/>
        </w:rPr>
        <w:t xml:space="preserve">curve and may</w:t>
      </w:r>
      <w:r>
        <w:t xml:space="preserve"> </w:t>
      </w:r>
      <w:r>
        <w:t xml:space="preserve">not generalize to other defensible</w:t>
      </w:r>
      <w:r>
        <w:t xml:space="preserve"> </w:t>
      </w:r>
      <w:r>
        <w:rPr>
          <w:strike/>
        </w:rPr>
        <w:t xml:space="preserve">configurations.</w:t>
      </w:r>
      <w:r>
        <w:t xml:space="preserve"> </w:t>
      </w:r>
      <w:r>
        <w:rPr>
          <w:highlight w:val="yellow"/>
        </w:rPr>
        <w:t xml:space="preserve">configurations</w:t>
      </w:r>
      <w:r>
        <w:t xml:space="preserve"> </w:t>
      </w:r>
      <w:r>
        <w:t xml:space="preserve">(Section 6.2</w:t>
      </w:r>
      <w:r>
        <w:rPr>
          <w:highlight w:val="yellow"/>
        </w:rPr>
        <w:t xml:space="preserve">).</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rPr>
          <w:strike/>
        </w:rPr>
        <w:t xml:space="preserve">clean:</w:t>
      </w:r>
      <w:r>
        <w:t xml:space="preserve"> </w:t>
      </w:r>
      <w:r>
        <w:rPr>
          <w:highlight w:val="yellow"/>
        </w:rPr>
        <w:t xml:space="preserve">clean, because</w:t>
      </w:r>
      <w:r>
        <w:t xml:space="preserve"> </w:t>
      </w:r>
      <w:r>
        <w:t xml:space="preserve">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w:t>
      </w:r>
      <w:r>
        <w:t xml:space="preserve"> </w:t>
      </w:r>
      <w:r>
        <w:rPr>
          <w:strike/>
        </w:rPr>
        <w:t xml:space="preserve">check; its</w:t>
      </w:r>
      <w:r>
        <w:t xml:space="preserve"> </w:t>
      </w:r>
      <w:r>
        <w:rPr>
          <w:highlight w:val="yellow"/>
        </w:rPr>
        <w:t xml:space="preserve">check. Its</w:t>
      </w:r>
      <w:r>
        <w:t xml:space="preserve"> </w:t>
      </w:r>
      <w:r>
        <w:t xml:space="preserve">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w:t>
      </w:r>
      <w:r>
        <w:t xml:space="preserve"> </w:t>
      </w:r>
      <w:r>
        <w:rPr>
          <w:strike/>
        </w:rPr>
        <w:t xml:space="preserve">is a practical way to mitigate this risk when evaluating</w:t>
      </w:r>
      <w:r>
        <w:rPr>
          <w:strike/>
        </w:rPr>
        <w:t xml:space="preserve"> </w:t>
      </w:r>
      <w:r>
        <w:rPr>
          <w:strike/>
        </w:rPr>
        <w:t xml:space="preserve">LLMs on public financial entities.</w:t>
      </w:r>
      <w:r>
        <w:t xml:space="preserve"> </w:t>
      </w:r>
      <w:r>
        <w:rPr>
          <w:highlight w:val="yellow"/>
        </w:rPr>
        <w:t xml:space="preserve">can reduce exact-figure recognition,</w:t>
      </w:r>
      <w:r>
        <w:rPr>
          <w:highlight w:val="yellow"/>
        </w:rPr>
        <w:t xml:space="preserve"> </w:t>
      </w:r>
      <w:r>
        <w:rPr>
          <w:highlight w:val="yellow"/>
        </w:rPr>
        <w:t xml:space="preserve">but</w:t>
      </w:r>
      <w:r>
        <w:t xml:space="preserve"> </w:t>
      </w:r>
      <w:r>
        <w:t xml:space="preserve">Section 3.7</w:t>
      </w:r>
      <w:r>
        <w:t xml:space="preserve"> </w:t>
      </w:r>
      <w:r>
        <w:rPr>
          <w:highlight w:val="yellow"/>
        </w:rPr>
        <w:t xml:space="preserve">shows it is not sufficient to establish decontamination. A</w:t>
      </w:r>
      <w:r>
        <w:rPr>
          <w:highlight w:val="yellow"/>
        </w:rPr>
        <w:t xml:space="preserve"> </w:t>
      </w:r>
      <w:r>
        <w:rPr>
          <w:highlight w:val="yellow"/>
        </w:rPr>
        <w:t xml:space="preserve">ratio-preserving perturbation leaves the ratio pattern intact, and ratio-pattern identification must</w:t>
      </w:r>
      <w:r>
        <w:rPr>
          <w:highlight w:val="yellow"/>
        </w:rPr>
        <w:t xml:space="preserve"> </w:t>
      </w:r>
      <w:r>
        <w:rPr>
          <w:highlight w:val="yellow"/>
        </w:rPr>
        <w:t xml:space="preserve">therefore be assessed separately before an evaluation on public financial entities is treated as</w:t>
      </w:r>
      <w:r>
        <w:rPr>
          <w:highlight w:val="yellow"/>
        </w:rPr>
        <w:t xml:space="preserve"> </w:t>
      </w:r>
      <w:r>
        <w:rPr>
          <w:highlight w:val="yellow"/>
        </w:rP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w:t>
      </w:r>
      <w:r>
        <w:rPr>
          <w:strike/>
        </w:rPr>
        <w:t xml:space="preserve">); the</w:t>
      </w:r>
      <w:r>
        <w:t xml:space="preserve"> </w:t>
      </w:r>
      <w:r>
        <w:rPr>
          <w:highlight w:val="yellow"/>
        </w:rPr>
        <w:t xml:space="preserve">). The</w:t>
      </w:r>
      <w:r>
        <w:t xml:space="preserve"> </w:t>
      </w:r>
      <w:r>
        <w:t xml:space="preserve">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w:t>
      </w:r>
      <w:r>
        <w:t xml:space="preserve"> </w:t>
      </w:r>
      <w:r>
        <w:rPr>
          <w:strike/>
        </w:rPr>
        <w:t xml:space="preserve">matter; the</w:t>
      </w:r>
      <w:r>
        <w:t xml:space="preserve"> </w:t>
      </w:r>
      <w:r>
        <w:rPr>
          <w:highlight w:val="yellow"/>
        </w:rPr>
        <w:t xml:space="preserve">matter. The</w:t>
      </w:r>
      <w:r>
        <w:t xml:space="preserve"> </w:t>
      </w:r>
      <w:r>
        <w:t xml:space="preserve">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w:t>
      </w:r>
      <w:r>
        <w:t xml:space="preserve"> </w:t>
      </w:r>
      <w:r>
        <w:rPr>
          <w:strike/>
        </w:rPr>
        <w:t xml:space="preserve">considered; we</w:t>
      </w:r>
      <w:r>
        <w:t xml:space="preserve"> </w:t>
      </w:r>
      <w:r>
        <w:rPr>
          <w:highlight w:val="yellow"/>
        </w:rPr>
        <w:t xml:space="preserve">considered. We</w:t>
      </w:r>
      <w:r>
        <w:t xml:space="preserve"> </w:t>
      </w:r>
      <w:r>
        <w:t xml:space="preserve">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w:t>
      </w:r>
      <w:r>
        <w:t xml:space="preserve"> </w:t>
      </w:r>
      <w:r>
        <w:rPr>
          <w:strike/>
        </w:rPr>
        <w:t xml:space="preserve">explores external validity descriptively but</w:t>
      </w:r>
      <w:r>
        <w:t xml:space="preserve"> </w:t>
      </w:r>
      <w:r>
        <w:rPr>
          <w:highlight w:val="yellow"/>
        </w:rPr>
        <w:t xml:space="preserve">is an illustrative descriptive real-issuer check and</w:t>
      </w:r>
      <w:r>
        <w:t xml:space="preserve"> </w:t>
      </w:r>
      <w:r>
        <w:t xml:space="preserve">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w:t>
      </w:r>
      <w:r>
        <w:t xml:space="preserve"> </w:t>
      </w:r>
      <w:r>
        <w:rPr>
          <w:strike/>
        </w:rPr>
        <w:t xml:space="preserve">reference;</w:t>
      </w:r>
      <w:r>
        <w:rPr>
          <w:strike/>
        </w:rPr>
        <w:t xml:space="preserve"> </w:t>
      </w:r>
      <w:r>
        <w:rPr>
          <w:strike/>
        </w:rPr>
        <w:t xml:space="preserve">neither</w:t>
      </w:r>
      <w:r>
        <w:t xml:space="preserve"> </w:t>
      </w:r>
      <w:r>
        <w:rPr>
          <w:highlight w:val="yellow"/>
        </w:rPr>
        <w:t xml:space="preserve">reference.</w:t>
      </w:r>
      <w:r>
        <w:rPr>
          <w:highlight w:val="yellow"/>
        </w:rPr>
        <w:t xml:space="preserve"> </w:t>
      </w:r>
      <w:r>
        <w:rPr>
          <w:highlight w:val="yellow"/>
        </w:rPr>
        <w:t xml:space="preserve">Neither</w:t>
      </w:r>
      <w:r>
        <w:t xml:space="preserve"> </w:t>
      </w:r>
      <w:r>
        <w:t xml:space="preserve">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rPr>
          <w:strike/>
        </w:rPr>
        <w:t xml:space="preserve">partially aliased with two-factor interactions. We therefore read the</w:t>
      </w:r>
      <w:r>
        <w:t xml:space="preserve"> </w:t>
      </w:r>
      <w:r>
        <w:rPr>
          <w:highlight w:val="yellow"/>
        </w:rPr>
        <w:t xml:space="preserve">aliased with two-factor interactions. The overlap is substantial and precisely characterised: the</w:t>
      </w:r>
      <w:r>
        <w:rPr>
          <w:highlight w:val="yellow"/>
        </w:rPr>
        <w:t xml:space="preserve"> </w:t>
      </w:r>
      <w:r>
        <w:rPr>
          <w:highlight w:val="yellow"/>
        </w:rPr>
        <w:t xml:space="preserve">main-effect and two-factor-interaction subspaces have a four-dimensional exact intersection, so some</w:t>
      </w:r>
      <w:r>
        <w:rPr>
          <w:highlight w:val="yellow"/>
        </w:rPr>
        <w:t xml:space="preserve"> </w:t>
      </w:r>
      <w:r>
        <w:rPr>
          <w:highlight w:val="yellow"/>
        </w:rPr>
        <w:t xml:space="preserve">linear combination of main effects coincides exactly with a combination of interactions, while no</w:t>
      </w:r>
      <w:r>
        <w:rPr>
          <w:highlight w:val="yellow"/>
        </w:rPr>
        <w:t xml:space="preserve"> </w:t>
      </w:r>
      <w:r>
        <w:rPr>
          <w:highlight w:val="yellow"/>
        </w:rPr>
        <w:t xml:space="preserve">individual axis contrast is itself exactly confounded, each lying in the interaction span with</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t xml:space="preserve"> </w:t>
      </w:r>
      <w:r>
        <w:t xml:space="preserve">(Section 6.2</w:t>
      </w:r>
      <w:r>
        <w:rPr>
          <w:highlight w:val="yellow"/>
        </w:rPr>
        <w:t xml:space="preserve">).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w:t>
      </w:r>
      <w:r>
        <w:t xml:space="preserve"> </w:t>
      </w:r>
      <w:r>
        <w:rPr>
          <w:strike/>
        </w:rPr>
        <w:t xml:space="preserve">axes; the</w:t>
      </w:r>
      <w:r>
        <w:t xml:space="preserve"> </w:t>
      </w:r>
      <w:r>
        <w:rPr>
          <w:highlight w:val="yellow"/>
        </w:rPr>
        <w:t xml:space="preserve">axes. The</w:t>
      </w:r>
      <w:r>
        <w:t xml:space="preserve"> </w:t>
      </w:r>
      <w:r>
        <w:t xml:space="preserve">headline stability results (flip shares, agreement) are model-free and do not</w:t>
      </w:r>
      <w:r>
        <w:t xml:space="preserve"> </w:t>
      </w:r>
      <w:r>
        <w:t xml:space="preserve">depend on the ANOVA partition.</w:t>
      </w:r>
    </w:p>
    <w:p>
      <w:pPr>
        <w:pStyle w:val="BodyText"/>
      </w:pPr>
      <w:r>
        <w:rPr>
          <w:highlight w:val="yellow"/>
        </w:rPr>
        <w:t xml:space="preserve">Perturbation plus exact-figure fingerprint screening can reduce exact-number recognition but is insufficient to establish decontamination, and ratio-pattern identification must also be assessed.</w:t>
      </w:r>
      <w:r>
        <w:t xml:space="preserve"> </w:t>
      </w:r>
      <w:r>
        <w:t xml:space="preserve">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rPr>
          <w:strike/>
        </w:rPr>
        <w:t xml:space="preserve">illustrated descriptively by the perturbed and fingerprint-screened real-firm arm.</w:t>
      </w:r>
      <w:r>
        <w:t xml:space="preserve"> </w:t>
      </w:r>
      <w:r>
        <w:rPr>
          <w:highlight w:val="yellow"/>
        </w:rPr>
        <w:t xml:space="preserve">illustrated, descriptively only, by the perturbed real-firm arm, which</w:t>
      </w:r>
      <w:r>
        <w:t xml:space="preserve"> </w:t>
      </w:r>
      <w:r>
        <w:t xml:space="preserve">Section 3.7</w:t>
      </w:r>
      <w:r>
        <w:t xml:space="preserve"> </w:t>
      </w:r>
      <w:r>
        <w:rPr>
          <w:highlight w:val="yellow"/>
        </w:rPr>
        <w:t xml:space="preserve">shows is not decontaminated enough to support an external-validity</w:t>
      </w:r>
      <w:r>
        <w:rPr>
          <w:highlight w:val="yellow"/>
        </w:rPr>
        <w:t xml:space="preserve"> </w:t>
      </w:r>
      <w:r>
        <w:rPr>
          <w:highlight w:val="yellow"/>
        </w:rP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rPr>
          <w:highlight w:val="yellow"/>
        </w:rPr>
        <w:t xml:space="preserve">, meaning</w:t>
      </w:r>
      <w:r>
        <w:t xml:space="preserve"> </w:t>
      </w:r>
      <w:r>
        <w:t xml:space="preserve">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w:t>
      </w:r>
      <w:r>
        <w:t xml:space="preserve"> </w:t>
      </w:r>
      <w:r>
        <w:rPr>
          <w:strike/>
        </w:rPr>
        <w:t xml:space="preserve">and fingerprint-screened real-firm</w:t>
      </w:r>
      <w:r>
        <w:rPr>
          <w:strike/>
        </w:rPr>
        <w:t xml:space="preserve"> </w:t>
      </w:r>
      <w:r>
        <w:rPr>
          <w:strike/>
        </w:rPr>
        <w:t xml:space="preserve">sample for a complementary descriptive external-validity</w:t>
      </w:r>
      <w:r>
        <w:t xml:space="preserve"> </w:t>
      </w:r>
      <w:r>
        <w:rPr>
          <w:highlight w:val="yellow"/>
        </w:rPr>
        <w:t xml:space="preserve">real-firm sample for a complementary illustrative descriptive real-issuer</w:t>
      </w:r>
      <w:r>
        <w:t xml:space="preserve"> </w:t>
      </w:r>
      <w:r>
        <w:t xml:space="preserve">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w:t>
      </w:r>
      <w:r>
        <w:t xml:space="preserve"> </w:t>
      </w:r>
      <w:r>
        <w:rPr>
          <w:strike/>
        </w:rPr>
        <w:t xml:space="preserve">profiles; the</w:t>
      </w:r>
      <w:r>
        <w:t xml:space="preserve"> </w:t>
      </w:r>
      <w:r>
        <w:rPr>
          <w:highlight w:val="yellow"/>
        </w:rPr>
        <w:t xml:space="preserve">profiles. The</w:t>
      </w:r>
      <w:r>
        <w:t xml:space="preserve"> </w:t>
      </w:r>
      <w:r>
        <w:t xml:space="preserve">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w:t>
      </w:r>
      <w:r>
        <w:t xml:space="preserve"> </w:t>
      </w:r>
      <w:r>
        <w:rPr>
          <w:highlight w:val="yellow"/>
        </w:rPr>
        <w:t xml:space="preserve">reference</w:t>
      </w:r>
      <w:r>
        <w:t xml:space="preserve"> </w:t>
      </w:r>
      <w:r>
        <w:t xml:space="preserve">(Altman, 2005; Altman and Hotchkiss, 2006)</w:t>
      </w:r>
      <w:r>
        <w:rPr>
          <w:highlight w:val="yellow"/>
        </w:rPr>
        <w:t xml:space="preserve">, computed with the private non-manufacturing</w:t>
      </w:r>
      <w:r>
        <w:t xml:space="preserve"> </w:t>
      </w:r>
      <w:r>
        <w:t xml:space="preserve">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w:t>
      </w:r>
      <w:r>
        <w:rPr>
          <w:strike/>
        </w:rPr>
        <w:t xml:space="preserve">; the</w:t>
      </w:r>
      <w:r>
        <w:t xml:space="preserve"> </w:t>
      </w:r>
      <w:r>
        <w:rPr>
          <w:highlight w:val="yellow"/>
        </w:rPr>
        <w:t xml:space="preserve">. The</w:t>
      </w:r>
      <w:r>
        <w:t xml:space="preserve"> </w:t>
      </w:r>
      <w:r>
        <w:t xml:space="preserve">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w:t>
      </w:r>
      <w:r>
        <w:t xml:space="preserve"> </w:t>
      </w:r>
      <w:r>
        <w:rPr>
          <w:strike/>
        </w:rPr>
        <w:t xml:space="preserve">advance; the two-provider portion used here</w:t>
      </w:r>
      <w:r>
        <w:t xml:space="preserve"> </w:t>
      </w:r>
      <w:r>
        <w:rPr>
          <w:highlight w:val="yellow"/>
        </w:rPr>
        <w:t xml:space="preserve">advance. The analyzed two-provider design</w:t>
      </w:r>
      <w:r>
        <w:t xml:space="preserve"> </w:t>
      </w:r>
      <w:r>
        <w:t xml:space="preserve">comprises 32 specifications, each evaluated over three seeds. Provider metadata were preserved as returned, including effective generation settings where</w:t>
      </w:r>
      <w:r>
        <w:t xml:space="preserve"> </w:t>
      </w:r>
      <w:r>
        <w:rPr>
          <w:strike/>
        </w:rPr>
        <w:t xml:space="preserve">available; the</w:t>
      </w:r>
      <w:r>
        <w:t xml:space="preserve"> </w:t>
      </w:r>
      <w:r>
        <w:rPr>
          <w:highlight w:val="yellow"/>
        </w:rPr>
        <w:t xml:space="preserve">available. The</w:t>
      </w:r>
      <w:r>
        <w:t xml:space="preserve"> </w:t>
      </w:r>
      <w:r>
        <w:t xml:space="preserve">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w:t>
      </w:r>
      <w:r>
        <w:t xml:space="preserve"> </w:t>
      </w:r>
      <w:r>
        <w:rPr>
          <w:strike/>
        </w:rPr>
        <w:t xml:space="preserve">are dropped listwise: they</w:t>
      </w:r>
      <w:r>
        <w:t xml:space="preserve"> </w:t>
      </w:r>
      <w:r>
        <w:rPr>
          <w:highlight w:val="yellow"/>
        </w:rPr>
        <w:t xml:space="preserve">divide as four on the credit-health</w:t>
      </w:r>
      <w:r>
        <w:rPr>
          <w:highlight w:val="yellow"/>
        </w:rPr>
        <w:t xml:space="preserve"> </w:t>
      </w:r>
      <w:r>
        <w:rPr>
          <w:highlight w:val="yellow"/>
        </w:rPr>
        <w:t xml:space="preserve">profiles and three on the directional items, so the credit-rating analyses in this paper run on</w:t>
      </w:r>
      <w:r>
        <w:t xml:space="preserve"> </w:t>
      </w:r>
      <m:oMath>
        <m:r>
          <m:t>4</m:t>
        </m:r>
        <m:r>
          <m:rPr>
            <m:sty m:val="p"/>
          </m:rPr>
          <m:t>,</m:t>
        </m:r>
        <m:r>
          <m:t>316</m:t>
        </m:r>
      </m:oMath>
      <w:r>
        <w:t xml:space="preserve"> </w:t>
      </w:r>
      <w:r>
        <w:rPr>
          <w:highlight w:val="yellow"/>
        </w:rPr>
        <w:t xml:space="preserve">of the</w:t>
      </w:r>
      <w:r>
        <w:t xml:space="preserve"> </w:t>
      </w:r>
      <m:oMath>
        <m:r>
          <m:t>4</m:t>
        </m:r>
        <m:r>
          <m:rPr>
            <m:sty m:val="p"/>
          </m:rPr>
          <m:t>,</m:t>
        </m:r>
        <m:r>
          <m:t>320</m:t>
        </m:r>
      </m:oMath>
      <w:r>
        <w:t xml:space="preserve"> </w:t>
      </w:r>
      <w:r>
        <w:rPr>
          <w:highlight w:val="yellow"/>
        </w:rPr>
        <w:t xml:space="preserve">designed cells. The four absent cells are all on specification S23 and</w:t>
      </w:r>
      <w:r>
        <w:rPr>
          <w:highlight w:val="yellow"/>
        </w:rPr>
        <w:t xml:space="preserve"> </w:t>
      </w:r>
      <w:r>
        <w:rPr>
          <w:highlight w:val="yellow"/>
        </w:rPr>
        <w:t xml:space="preserve">each is short one of three seeds. They were not re-collected, because the corpus is frozen and</w:t>
      </w:r>
      <w:r>
        <w:rPr>
          <w:highlight w:val="yellow"/>
        </w:rPr>
        <w:t xml:space="preserve"> </w:t>
      </w:r>
      <w:r>
        <w:rPr>
          <w:highlight w:val="yellow"/>
        </w:rPr>
        <w:t xml:space="preserve">re-querying after the fact would break that. Where this paper reports</w:t>
      </w:r>
      <w:r>
        <w:t xml:space="preserve"> </w:t>
      </w:r>
      <m:oMath>
        <m:r>
          <m:t>4</m:t>
        </m:r>
        <m:r>
          <m:rPr>
            <m:sty m:val="p"/>
          </m:rPr>
          <m:t>,</m:t>
        </m:r>
        <m:r>
          <m:t>320</m:t>
        </m:r>
      </m:oMath>
      <w:r>
        <w:t xml:space="preserve"> </w:t>
      </w:r>
      <w:r>
        <w:rPr>
          <w:highlight w:val="yellow"/>
        </w:rPr>
        <w:t xml:space="preserve">it is describing the</w:t>
      </w:r>
      <w:r>
        <w:rPr>
          <w:highlight w:val="yellow"/>
        </w:rPr>
        <w:t xml:space="preserve"> </w:t>
      </w:r>
      <w:r>
        <w:rPr>
          <w:highlight w:val="yellow"/>
        </w:rPr>
        <w:t xml:space="preserve">design. Every statistic is computed on the</w:t>
      </w:r>
      <w:r>
        <w:t xml:space="preserve"> </w:t>
      </w:r>
      <m:oMath>
        <m:r>
          <m:t>4</m:t>
        </m:r>
        <m:r>
          <m:rPr>
            <m:sty m:val="p"/>
          </m:rPr>
          <m:t>,</m:t>
        </m:r>
        <m:r>
          <m:t>316</m:t>
        </m:r>
      </m:oMath>
      <w:r>
        <w:rPr>
          <w:highlight w:val="yellow"/>
        </w:rPr>
        <w:t xml:space="preserve">. The non-substantive cells are dropped</w:t>
      </w:r>
      <w:r>
        <w:rPr>
          <w:highlight w:val="yellow"/>
        </w:rPr>
        <w:t xml:space="preserve"> </w:t>
      </w:r>
      <w:r>
        <w:rPr>
          <w:highlight w:val="yellow"/>
        </w:rPr>
        <w:t xml:space="preserve">listwise. They</w:t>
      </w:r>
      <w:r>
        <w:t xml:space="preserve"> </w:t>
      </w:r>
      <w:r>
        <w:t xml:space="preserve">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[Revised in revision 2] 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Revised in revision 2] 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w:t>
      </w:r>
      <w:r>
        <w:t xml:space="preserve"> </w:t>
      </w:r>
      <w:r>
        <w:rPr>
          <w:strike/>
        </w:rPr>
        <w:t xml:space="preserve">2026); the</w:t>
      </w:r>
      <w:r>
        <w:t xml:space="preserve"> </w:t>
      </w:r>
      <w:r>
        <w:rPr>
          <w:highlight w:val="yellow"/>
        </w:rPr>
        <w:t xml:space="preserve">2026). The</w:t>
      </w:r>
      <w:r>
        <w:t xml:space="preserve"> </w:t>
      </w:r>
      <w:r>
        <w:t xml:space="preserve">two flagship snapshots in the later robustness run (August</w:t>
      </w:r>
      <w:r>
        <w:t xml:space="preserve"> </w:t>
      </w:r>
      <w:r>
        <w:rPr>
          <w:strike/>
        </w:rPr>
        <w:t xml:space="preserve">2026);</w:t>
      </w:r>
      <w:r>
        <w:t xml:space="preserve"> </w:t>
      </w:r>
      <w:r>
        <w:rPr>
          <w:highlight w:val="yellow"/>
        </w:rPr>
        <w:t xml:space="preserve">2026),</w:t>
      </w:r>
      <w:r>
        <w:t xml:space="preserve"> </w:t>
      </w:r>
      <w:r>
        <w:t xml:space="preserve">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w:t>
      </w:r>
      <w:r>
        <w:t xml:space="preserve"> </w:t>
      </w:r>
      <w:r>
        <w:rPr>
          <w:strike/>
        </w:rPr>
        <w:t xml:space="preserve">thereafter; aliases</w:t>
      </w:r>
      <w:r>
        <w:t xml:space="preserve"> </w:t>
      </w:r>
      <w:r>
        <w:rPr>
          <w:highlight w:val="yellow"/>
        </w:rPr>
        <w:t xml:space="preserve">thereafter. Aliases</w:t>
      </w:r>
      <w:r>
        <w:t xml:space="preserve"> </w:t>
      </w:r>
      <w:r>
        <w:t xml:space="preserve">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rPr>
          <w:highlight w:val="yellow"/>
        </w:rPr>
        <w:t xml:space="preserve">What the design identifies.</w:t>
      </w:r>
    </w:p>
    <w:p>
      <w:pPr>
        <w:pStyle w:val="FirstParagraph"/>
      </w:pPr>
      <w:r>
        <w:rPr>
          <w:highlight w:val="yellow"/>
        </w:rPr>
        <w:t xml:space="preserve">Write the effect-coded main-effects model as</w:t>
      </w:r>
      <w:r>
        <w:t xml:space="preserve"> </w:t>
      </w:r>
      <m:oMath>
        <m:r>
          <m:t>y</m:t>
        </m:r>
        <m:r>
          <m:rPr>
            <m:sty m:val="p"/>
          </m:rPr>
          <m:t>=</m:t>
        </m:r>
        <m:r>
          <m:t>X</m:t>
        </m:r>
        <m:r>
          <m:t>β</m:t>
        </m:r>
        <m:r>
          <m:rPr>
            <m:sty m:val="p"/>
          </m:rPr>
          <m:t>+</m:t>
        </m:r>
        <m:r>
          <m:t>ε</m:t>
        </m:r>
      </m:oMath>
      <w:r>
        <w:t xml:space="preserve"> </w:t>
      </w:r>
      <w:r>
        <w:rPr>
          <w:highlight w:val="yellow"/>
        </w:rPr>
        <w:t xml:space="preserve">and let</w:t>
      </w:r>
      <w:r>
        <w:t xml:space="preserve"> </w:t>
      </w:r>
      <m:oMath>
        <m:r>
          <m:t>Z</m:t>
        </m:r>
      </m:oMath>
      <w:r>
        <w:t xml:space="preserve"> </w:t>
      </w:r>
      <w:r>
        <w:rPr>
          <w:highlight w:val="yellow"/>
        </w:rP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rPr>
          <w:highlight w:val="yellow"/>
        </w:rP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rPr>
          <w:highlight w:val="yellow"/>
        </w:rPr>
        <w:t xml:space="preserve">, so the bias in any main</w:t>
      </w:r>
      <w:r>
        <w:rPr>
          <w:highlight w:val="yellow"/>
        </w:rPr>
        <w:t xml:space="preserve"> </w:t>
      </w:r>
      <w:r>
        <w:rPr>
          <w:highlight w:val="yellow"/>
        </w:rPr>
        <w:t xml:space="preserve">effect</w:t>
      </w:r>
      <w:r>
        <w:t xml:space="preserve"> </w:t>
      </w:r>
      <m:oMath>
        <m:r>
          <m:t>j</m:t>
        </m:r>
      </m:oMath>
      <w:r>
        <w:t xml:space="preserve"> </w:t>
      </w:r>
      <w:r>
        <w:rPr>
          <w:highlight w:val="yellow"/>
        </w:rP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rPr>
          <w:highlight w:val="yellow"/>
        </w:rPr>
        <w:t xml:space="preserve">. On the</w:t>
      </w:r>
      <w:r>
        <w:rPr>
          <w:highlight w:val="yellow"/>
        </w:rPr>
        <w:t xml:space="preserve"> </w:t>
      </w:r>
      <w:r>
        <w:rPr>
          <w:highlight w:val="yellow"/>
        </w:rPr>
        <w:t xml:space="preserve">32-specification confirmatory design there are</w:t>
      </w:r>
      <w:r>
        <w:t xml:space="preserve"> </w:t>
      </w:r>
      <m:oMath>
        <m:r>
          <m:t>27</m:t>
        </m:r>
      </m:oMath>
      <w:r>
        <w:t xml:space="preserve"> </w:t>
      </w:r>
      <w:r>
        <w:rPr>
          <w:highlight w:val="yellow"/>
        </w:rPr>
        <w:t xml:space="preserve">such interaction contrasts and the alias norms</w:t>
      </w:r>
      <w:r>
        <w:rPr>
          <w:highlight w:val="yellow"/>
        </w:rPr>
        <w:t xml:space="preserve"> </w:t>
      </w:r>
      <w:r>
        <w:rPr>
          <w:highlight w:val="yellow"/>
        </w:rPr>
        <w:t xml:space="preserve">are substantial:</w:t>
      </w:r>
      <w:r>
        <w:t xml:space="preserve"> </w:t>
      </w:r>
      <m:oMath>
        <m:sSub>
          <m:e>
            <m:d>
              <m:dPr>
                <m:begChr m:val="‖"/>
                <m:sepChr m:val=""/>
                <m:endChr m:val="‖"/>
                <m:grow/>
              </m:dPr>
              <m:e>
                <m:sSub>
                  <m:e>
                    <m:r>
                      <m:t>a</m:t>
                    </m:r>
                  </m:e>
                  <m:sub>
                    <m:r>
                      <m:t>j</m:t>
                    </m:r>
                  </m:sub>
                </m:sSub>
              </m:e>
            </m:d>
          </m:e>
          <m:sub>
            <m:r>
              <m:t>2</m:t>
            </m:r>
          </m:sub>
        </m:sSub>
      </m:oMath>
      <w:r>
        <w:t xml:space="preserve"> </w:t>
      </w:r>
      <w:r>
        <w:rPr>
          <w:highlight w:val="yellow"/>
        </w:rPr>
        <w:t xml:space="preserve">ranges from</w:t>
      </w:r>
      <w:r>
        <w:t xml:space="preserve"> </w:t>
      </w:r>
      <m:oMath>
        <m:r>
          <m:t>0.68</m:t>
        </m:r>
      </m:oMath>
      <w:r>
        <w:t xml:space="preserve"> </w:t>
      </w:r>
      <w:r>
        <w:rPr>
          <w:highlight w:val="yellow"/>
        </w:rPr>
        <w:t xml:space="preserve">to</w:t>
      </w:r>
      <w:r>
        <w:t xml:space="preserve"> </w:t>
      </w:r>
      <m:oMath>
        <m:r>
          <m:t>1.04</m:t>
        </m:r>
      </m:oMath>
      <w:r>
        <w:t xml:space="preserve"> </w:t>
      </w:r>
      <w:r>
        <w:rPr>
          <w:highlight w:val="yellow"/>
        </w:rPr>
        <w:t xml:space="preserve">across the eight main-effect</w:t>
      </w:r>
      <w:r>
        <w:rPr>
          <w:highlight w:val="yellow"/>
        </w:rPr>
        <w:t xml:space="preserve"> </w:t>
      </w:r>
      <w:r>
        <w:rPr>
          <w:highlight w:val="yellow"/>
        </w:rPr>
        <w:t xml:space="preserve">contrasts, and for answer presentation it is</w:t>
      </w:r>
      <w:r>
        <w:t xml:space="preserve"> </w:t>
      </w:r>
      <m:oMath>
        <m:r>
          <m:t>0.878</m:t>
        </m:r>
      </m:oMath>
      <w:r>
        <w:rPr>
          <w:highlight w:val="yellow"/>
        </w:rPr>
        <w:t xml:space="preserve">, its largest single partner being the</w:t>
      </w:r>
      <w:r>
        <w:rPr>
          <w:highlight w:val="yellow"/>
        </w:rPr>
        <w:t xml:space="preserve"> </w:t>
      </w:r>
      <w:r>
        <w:rPr>
          <w:highlight w:val="yellow"/>
        </w:rPr>
        <w:t xml:space="preserve">version-by-few-shot interaction at</w:t>
      </w:r>
      <w:r>
        <w:t xml:space="preserve"> </w:t>
      </w:r>
      <m:oMath>
        <m:r>
          <m:rPr>
            <m:sty m:val="p"/>
          </m:rPr>
          <m:t>|</m:t>
        </m:r>
        <m:r>
          <m:t>a</m:t>
        </m:r>
        <m:r>
          <m:rPr>
            <m:sty m:val="p"/>
          </m:rPr>
          <m:t>|</m:t>
        </m:r>
        <m:r>
          <m:rPr>
            <m:sty m:val="p"/>
          </m:rPr>
          <m:t>=</m:t>
        </m:r>
        <m:r>
          <m:t>0.484</m:t>
        </m:r>
      </m:oMath>
      <w:r>
        <w:rPr>
          <w:highlight w:val="yellow"/>
        </w:rPr>
        <w:t xml:space="preserve">.</w:t>
      </w:r>
      <w:r>
        <w:t xml:space="preserve"> </w:t>
      </w:r>
      <w:r>
        <w:rPr>
          <w:b/>
          <w:bCs/>
        </w:rPr>
        <w:t xml:space="preserve">No finite bound on a per-axis share</w:t>
      </w:r>
      <w:r>
        <w:rPr>
          <w:b/>
          <w:bCs/>
        </w:rPr>
        <w:t xml:space="preserve"> </w:t>
      </w:r>
      <w:r>
        <w:rPr>
          <w:b/>
          <w:bCs/>
        </w:rPr>
        <w:t xml:space="preserve">therefore follows from the design alone</w:t>
      </w:r>
      <w:r>
        <w:rPr>
          <w:highlight w:val="yellow"/>
        </w:rPr>
        <w:t xml:space="preserve">. The inequality is informative only once an external</w:t>
      </w:r>
      <w:r>
        <w:rPr>
          <w:highlight w:val="yellow"/>
        </w:rPr>
        <w:t xml:space="preserve"> </w:t>
      </w:r>
      <w:r>
        <w:rPr>
          <w:highlight w:val="yellow"/>
        </w:rPr>
        <w:t xml:space="preserve">constraint is placed on</w:t>
      </w:r>
      <w:r>
        <w:t xml:space="preserve"> </w:t>
      </w:r>
      <m:oMath>
        <m:d>
          <m:dPr>
            <m:begChr m:val="‖"/>
            <m:sepChr m:val=""/>
            <m:endChr m:val="‖"/>
            <m:grow/>
          </m:dPr>
          <m:e>
            <m:r>
              <m:t>γ</m:t>
            </m:r>
          </m:e>
        </m:d>
      </m:oMath>
      <w:r>
        <w:rPr>
          <w:highlight w:val="yellow"/>
        </w:rP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rPr>
          <w:highlight w:val="yellow"/>
        </w:rPr>
        <w:t xml:space="preserve">for presentation, omitted interactions jointly no larger than the</w:t>
      </w:r>
      <w:r>
        <w:rPr>
          <w:highlight w:val="yellow"/>
        </w:rPr>
        <w:t xml:space="preserve"> </w:t>
      </w:r>
      <w:r>
        <w:rPr>
          <w:highlight w:val="yellow"/>
        </w:rPr>
        <w:t xml:space="preserve">largest estimable main effect would suffice to move that axis’s apparent share by about as much as</w:t>
      </w:r>
      <w:r>
        <w:rPr>
          <w:highlight w:val="yellow"/>
        </w:rPr>
        <w:t xml:space="preserve"> </w:t>
      </w:r>
      <w:r>
        <w:rPr>
          <w:highlight w:val="yellow"/>
        </w:rPr>
        <w:t xml:space="preserve">the share itself, which is why we report no per-axis ranking.</w:t>
      </w:r>
    </w:p>
    <w:p>
      <w:pPr>
        <w:pStyle w:val="BodyText"/>
      </w:pPr>
      <w:r>
        <w:rPr>
          <w:highlight w:val="yellow"/>
        </w:rPr>
        <w:t xml:space="preserve">Both the alias norms and the pairwise column correlations depend on a coding convention, since effect coding is not invariant to which level is taken as the reference. We therefore add a diagnostic that is invariant to any non-singular</w:t>
      </w:r>
      <w:r>
        <w:rPr>
          <w:highlight w:val="yellow"/>
        </w:rPr>
        <w:t xml:space="preserve"> </w:t>
      </w:r>
      <w:r>
        <w:rPr>
          <w:highlight w:val="yellow"/>
        </w:rPr>
        <w:t xml:space="preserve">re-parameterisation within either subspace. The canonical correlations between the centred</w:t>
      </w:r>
      <w:r>
        <w:rPr>
          <w:highlight w:val="yellow"/>
        </w:rPr>
        <w:t xml:space="preserve"> </w:t>
      </w:r>
      <w:r>
        <w:rPr>
          <w:highlight w:val="yellow"/>
        </w:rPr>
        <w:t xml:space="preserve">main-effect subspace and the centred two-factor-interaction subspace. On the analysed design the</w:t>
      </w:r>
      <w:r>
        <w:rPr>
          <w:highlight w:val="yellow"/>
        </w:rPr>
        <w:t xml:space="preserve"> </w:t>
      </w:r>
      <w:r>
        <w:rPr>
          <w:highlight w:val="yellow"/>
        </w:rPr>
        <w:t xml:space="preserve">largest is</w:t>
      </w:r>
      <w:r>
        <w:t xml:space="preserve"> </w:t>
      </w:r>
      <m:oMath>
        <m:r>
          <m:t>1.000</m:t>
        </m:r>
      </m:oMath>
      <w:r>
        <w:t xml:space="preserve"> </w:t>
      </w:r>
      <w:r>
        <w:rPr>
          <w:highlight w:val="yellow"/>
        </w:rPr>
        <w:t xml:space="preserve">and</w:t>
      </w:r>
      <w:r>
        <w:t xml:space="preserve"> </w:t>
      </w:r>
      <m:oMath>
        <m:r>
          <m:t>6</m:t>
        </m:r>
      </m:oMath>
      <w:r>
        <w:t xml:space="preserve"> </w:t>
      </w:r>
      <w:r>
        <w:rPr>
          <w:highlight w:val="yellow"/>
        </w:rPr>
        <w:t xml:space="preserve">of</w:t>
      </w:r>
      <w:r>
        <w:t xml:space="preserve"> </w:t>
      </w:r>
      <m:oMath>
        <m:r>
          <m:t>8</m:t>
        </m:r>
      </m:oMath>
      <w:r>
        <w:t xml:space="preserve"> </w:t>
      </w:r>
      <w:r>
        <w:rPr>
          <w:highlight w:val="yellow"/>
        </w:rPr>
        <w:t xml:space="preserve">exceed</w:t>
      </w:r>
      <w:r>
        <w:t xml:space="preserve"> </w:t>
      </w:r>
      <m:oMath>
        <m:r>
          <m:t>0.9</m:t>
        </m:r>
      </m:oMath>
      <w:r>
        <w:rPr>
          <w:highlight w:val="yellow"/>
        </w:rPr>
        <w:t xml:space="preserve">. A value of one means that some linear combination</w:t>
      </w:r>
      <w:r>
        <w:rPr>
          <w:highlight w:val="yellow"/>
        </w:rPr>
        <w:t xml:space="preserve"> </w:t>
      </w:r>
      <w:r>
        <w:rPr>
          <w:highlight w:val="yellow"/>
        </w:rPr>
        <w:t xml:space="preserve">of main effects coincides</w:t>
      </w:r>
      <w:r>
        <w:t xml:space="preserve"> </w:t>
      </w:r>
      <w:r>
        <w:rPr>
          <w:i/>
          <w:iCs/>
        </w:rPr>
        <w:t xml:space="preserve">exactly</w:t>
      </w:r>
      <w:r>
        <w:t xml:space="preserve"> </w:t>
      </w:r>
      <w:r>
        <w:rPr>
          <w:highlight w:val="yellow"/>
        </w:rP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rPr>
          <w:highlight w:val="yellow"/>
        </w:rPr>
        <w:t xml:space="preserve">has rank</w:t>
      </w:r>
      <w:r>
        <w:t xml:space="preserve"> </w:t>
      </w:r>
      <m:oMath>
        <m:r>
          <m:t>31</m:t>
        </m:r>
      </m:oMath>
      <w:r>
        <w:t xml:space="preserve"> </w:t>
      </w:r>
      <w:r>
        <w:rPr>
          <w:highlight w:val="yellow"/>
        </w:rPr>
        <w:t xml:space="preserve">rather than</w:t>
      </w:r>
      <w:r>
        <w:t xml:space="preserve"> </w:t>
      </w:r>
      <m:oMath>
        <m:r>
          <m:t>35</m:t>
        </m:r>
      </m:oMath>
      <w:r>
        <w:rPr>
          <w:highlight w:val="yellow"/>
        </w:rPr>
        <w:t xml:space="preserve">, so the two subspaces</w:t>
      </w:r>
      <w:r>
        <w:rPr>
          <w:highlight w:val="yellow"/>
        </w:rPr>
        <w:t xml:space="preserve"> </w:t>
      </w:r>
      <w:r>
        <w:rPr>
          <w:highlight w:val="yellow"/>
        </w:rPr>
        <w:t xml:space="preserve">intersect in</w:t>
      </w:r>
      <w:r>
        <w:t xml:space="preserve"> </w:t>
      </w:r>
      <m:oMath>
        <m:r>
          <m:t>4</m:t>
        </m:r>
      </m:oMath>
      <w:r>
        <w:t xml:space="preserve"> </w:t>
      </w:r>
      <w:r>
        <w:rPr>
          <w:highlight w:val="yellow"/>
        </w:rPr>
        <w:t xml:space="preserve">dimensions. We state the implication precisely, because the distinction matters.</w:t>
      </w:r>
      <w:r>
        <w:rPr>
          <w:highlight w:val="yellow"/>
        </w:rPr>
        <w:t xml:space="preserve"> </w:t>
      </w:r>
      <w:r>
        <w:rPr>
          <w:highlight w:val="yellow"/>
        </w:rPr>
        <w:t xml:space="preserve">It is</w:t>
      </w:r>
      <w:r>
        <w:t xml:space="preserve"> </w:t>
      </w:r>
      <w:r>
        <w:rPr>
          <w:i/>
          <w:iCs/>
        </w:rPr>
        <w:t xml:space="preserve">not</w:t>
      </w:r>
      <w:r>
        <w:t xml:space="preserve"> </w:t>
      </w:r>
      <w:r>
        <w:rPr>
          <w:highlight w:val="yellow"/>
        </w:rPr>
        <w:t xml:space="preserve">the case that any single axis contrast is exactly confounded. Regressing each</w:t>
      </w:r>
      <w:r>
        <w:rPr>
          <w:highlight w:val="yellow"/>
        </w:rPr>
        <w:t xml:space="preserve"> </w:t>
      </w:r>
      <w:r>
        <w:rPr>
          <w:highlight w:val="yellow"/>
        </w:rPr>
        <w:t xml:space="preserve">main-effect contrast on the full interaction span gives</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rPr>
          <w:highlight w:val="yellow"/>
        </w:rPr>
        <w:t xml:space="preserve">. What is</w:t>
      </w:r>
      <w:r>
        <w:rPr>
          <w:highlight w:val="yellow"/>
        </w:rPr>
        <w:t xml:space="preserve"> </w:t>
      </w:r>
      <w:r>
        <w:rPr>
          <w:highlight w:val="yellow"/>
        </w:rPr>
        <w:t xml:space="preserve">exactly confounded is a combination. That is sufficient for non-identification of the individual</w:t>
      </w:r>
      <w:r>
        <w:rPr>
          <w:highlight w:val="yellow"/>
        </w:rPr>
        <w:t xml:space="preserve"> </w:t>
      </w:r>
      <w:r>
        <w:rPr>
          <w:highlight w:val="yellow"/>
        </w:rPr>
        <w:t xml:space="preserve">shares, and it cannot be dismissed as an artifact of how the contrasts were coded.</w:t>
      </w:r>
    </w:p>
    <w:p>
      <w:pPr>
        <w:pStyle w:val="BodyText"/>
      </w:pPr>
      <w:r>
        <w:rPr>
          <w:highlight w:val="yellow"/>
        </w:rPr>
        <w:t xml:space="preserve">The provider-by-item interaction is in a different position and is identified up to a</w:t>
      </w:r>
      <w:r>
        <w:rPr>
          <w:highlight w:val="yellow"/>
        </w:rPr>
        <w:t xml:space="preserve"> </w:t>
      </w:r>
      <w:r>
        <w:rPr>
          <w:highlight w:val="yellow"/>
        </w:rPr>
        <w:t xml:space="preserve">numerically negligible imbalance. Items are fully crossed with specifications: in the analysed arm</w:t>
      </w:r>
      <w:r>
        <w:rPr>
          <w:highlight w:val="yellow"/>
        </w:rPr>
        <w:t xml:space="preserve"> </w:t>
      </w:r>
      <w:r>
        <w:rPr>
          <w:highlight w:val="yellow"/>
        </w:rPr>
        <w:t xml:space="preserve">all</w:t>
      </w:r>
      <w:r>
        <w:t xml:space="preserve"> </w:t>
      </w:r>
      <m:oMath>
        <m:r>
          <m:t>45</m:t>
        </m:r>
        <m:r>
          <m:rPr>
            <m:sty m:val="p"/>
          </m:rPr>
          <m:t>×</m:t>
        </m:r>
        <m:r>
          <m:t>32</m:t>
        </m:r>
        <m:r>
          <m:rPr>
            <m:sty m:val="p"/>
          </m:rPr>
          <m:t>=</m:t>
        </m:r>
        <m:r>
          <m:t>1</m:t>
        </m:r>
        <m:r>
          <m:rPr>
            <m:sty m:val="p"/>
          </m:rPr>
          <m:t>,</m:t>
        </m:r>
        <m:r>
          <m:t>440</m:t>
        </m:r>
      </m:oMath>
      <w:r>
        <w:t xml:space="preserve"> </w:t>
      </w:r>
      <w:r>
        <w:rPr>
          <w:highlight w:val="yellow"/>
        </w:rPr>
        <w:t xml:space="preserve">item</w:t>
      </w:r>
      <m:oMath>
        <m:r>
          <m:rPr>
            <m:sty m:val="p"/>
          </m:rPr>
          <m:t>×</m:t>
        </m:r>
      </m:oMath>
      <w:r>
        <w:rPr>
          <w:highlight w:val="yellow"/>
        </w:rPr>
        <w:t xml:space="preserve">specification cells are populated,</w:t>
      </w:r>
      <w:r>
        <w:t xml:space="preserve"> </w:t>
      </w:r>
      <m:oMath>
        <m:r>
          <m:t>1436</m:t>
        </m:r>
      </m:oMath>
      <w:r>
        <w:t xml:space="preserve"> </w:t>
      </w:r>
      <w:r>
        <w:rPr>
          <w:highlight w:val="yellow"/>
        </w:rPr>
        <w:t xml:space="preserve">of them with the full</w:t>
      </w:r>
      <w:r>
        <w:rPr>
          <w:highlight w:val="yellow"/>
        </w:rPr>
        <w:t xml:space="preserve"> </w:t>
      </w:r>
      <w:r>
        <w:rPr>
          <w:highlight w:val="yellow"/>
        </w:rPr>
        <w:t xml:space="preserve">three seeds and</w:t>
      </w:r>
      <w:r>
        <w:t xml:space="preserve"> </w:t>
      </w:r>
      <m:oMath>
        <m:r>
          <m:t>4</m:t>
        </m:r>
      </m:oMath>
      <w:r>
        <w:t xml:space="preserve"> </w:t>
      </w:r>
      <w:r>
        <w:rPr>
          <w:highlight w:val="yellow"/>
        </w:rPr>
        <w:t xml:space="preserve">with two. Because no specification-axis contrast involves the item factor,</w:t>
      </w:r>
      <w:r>
        <w:rPr>
          <w:highlight w:val="yellow"/>
        </w:rPr>
        <w:t xml:space="preserve"> </w:t>
      </w:r>
      <w:r>
        <w:rPr>
          <w:highlight w:val="yellow"/>
        </w:rPr>
        <w:t xml:space="preserve">crossing makes the provider-by-item contrasts orthogonal to every specification main effect and</w:t>
      </w:r>
      <w:r>
        <w:rPr>
          <w:highlight w:val="yellow"/>
        </w:rPr>
        <w:t xml:space="preserve"> </w:t>
      </w:r>
      <w:r>
        <w:rPr>
          <w:highlight w:val="yellow"/>
        </w:rPr>
        <w:t xml:space="preserve">two-factor interaction up to that imbalance. The largest absolute correlation realised is</w:t>
      </w:r>
      <w:r>
        <w:t xml:space="preserve"> </w:t>
      </w:r>
      <m:oMath>
        <m:r>
          <m:t>0.0018</m:t>
        </m:r>
      </m:oMath>
      <w:r>
        <w:t xml:space="preserve"> </w:t>
      </w:r>
      <w:r>
        <w:rPr>
          <w:highlight w:val="yellow"/>
        </w:rPr>
        <w:t xml:space="preserve">against the main effects and</w:t>
      </w:r>
      <w:r>
        <w:t xml:space="preserve"> </w:t>
      </w:r>
      <m:oMath>
        <m:r>
          <m:t>0.0022</m:t>
        </m:r>
      </m:oMath>
      <w:r>
        <w:t xml:space="preserve"> </w:t>
      </w:r>
      <w:r>
        <w:rPr>
          <w:highlight w:val="yellow"/>
        </w:rPr>
        <w:t xml:space="preserve">against the interactions. We therefore report this share</w:t>
      </w:r>
      <w:r>
        <w:rPr>
          <w:highlight w:val="yellow"/>
        </w:rPr>
        <w:t xml:space="preserve"> </w:t>
      </w:r>
      <w:r>
        <w:rPr>
          <w:highlight w:val="yellow"/>
        </w:rPr>
        <w:t xml:space="preserve">without an assumption about</w:t>
      </w:r>
      <w:r>
        <w:t xml:space="preserve"> </w:t>
      </w:r>
      <m:oMath>
        <m:r>
          <m:t>γ</m:t>
        </m:r>
      </m:oMath>
      <w:r>
        <w:rPr>
          <w:highlight w:val="yellow"/>
        </w:rPr>
        <w:t xml:space="preserve">, while noting that the orthogonality is numerical rather than</w:t>
      </w:r>
      <w:r>
        <w:rPr>
          <w:highlight w:val="yellow"/>
        </w:rPr>
        <w:t xml:space="preserve"> </w:t>
      </w:r>
      <w:r>
        <w:rPr>
          <w:highlight w:val="yellow"/>
        </w:rP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rPr>
          <w:highlight w:val="yellow"/>
        </w:rP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rPr>
          <w:highlight w:val="yellow"/>
        </w:rPr>
        <w:t xml:space="preserve">Matched-pair disagreement: sampling convention.</w:t>
      </w:r>
    </w:p>
    <w:p>
      <w:pPr>
        <w:pStyle w:val="FirstParagraph"/>
      </w:pPr>
      <w:r>
        <w:rPr>
          <w:highlight w:val="yellow"/>
        </w:rPr>
        <w:t xml:space="preserve">Every reported</w:t>
      </w:r>
      <w:r>
        <w:rPr>
          <w:highlight w:val="yellow"/>
        </w:rPr>
        <w:t xml:space="preserve"> </w:t>
      </w:r>
      <w:r>
        <w:rPr>
          <w:highlight w:val="yellow"/>
        </w:rPr>
        <w:t xml:space="preserve">“matched-pair”</w:t>
      </w:r>
      <w:r>
        <w:rPr>
          <w:highlight w:val="yellow"/>
        </w:rPr>
        <w:t xml:space="preserve"> </w:t>
      </w:r>
      <w:r>
        <w:rPr>
          <w:highlight w:val="yellow"/>
        </w:rPr>
        <w:t xml:space="preserve">flip</w:t>
      </w:r>
      <w:r>
        <w:rPr>
          <w:highlight w:val="yellow"/>
        </w:rPr>
        <w:t xml:space="preserve"> </w:t>
      </w:r>
      <w:r>
        <w:rPr>
          <w:highlight w:val="yellow"/>
        </w:rP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highlight w:val="yellow"/>
        </w:rPr>
        <w:t xml:space="preserve">, where</w:t>
      </w:r>
      <w:r>
        <w:t xml:space="preserve"> </w:t>
      </w:r>
      <m:oMath>
        <m:sSub>
          <m:e>
            <m:r>
              <m:t>p</m:t>
            </m:r>
          </m:e>
          <m:sub>
            <m:r>
              <m:t>c</m:t>
            </m:r>
          </m:sub>
        </m:sSub>
      </m:oMath>
      <w:r>
        <w:t xml:space="preserve"> </w:t>
      </w:r>
      <w:r>
        <w:rPr>
          <w:highlight w:val="yellow"/>
        </w:rPr>
        <w:t xml:space="preserve">is the share of that item’s elicitations falling in class</w:t>
      </w:r>
      <w:r>
        <w:t xml:space="preserve"> </w:t>
      </w:r>
      <m:oMath>
        <m:r>
          <m:t>c</m:t>
        </m:r>
      </m:oMath>
      <w:r>
        <w:rPr>
          <w:highlight w:val="yellow"/>
        </w:rPr>
        <w:t xml:space="preserve">. This is</w:t>
      </w:r>
      <w:r>
        <w:rPr>
          <w:highlight w:val="yellow"/>
        </w:rPr>
        <w:t xml:space="preserve"> </w:t>
      </w:r>
      <w:r>
        <w:rPr>
          <w:highlight w:val="yellow"/>
        </w:rPr>
        <w:t xml:space="preserve">exactly the probability that</w:t>
      </w:r>
      <w:r>
        <w:t xml:space="preserve"> </w:t>
      </w:r>
      <w:r>
        <w:rPr>
          <w:i/>
          <w:iCs/>
        </w:rPr>
        <w:t xml:space="preserve">two draws taken independently and with replacement</w:t>
      </w:r>
      <w:r>
        <w:t xml:space="preserve"> </w:t>
      </w:r>
      <w:r>
        <w:rPr>
          <w:highlight w:val="yellow"/>
        </w:rPr>
        <w:t xml:space="preserve">from the</w:t>
      </w:r>
      <w:r>
        <w:rPr>
          <w:highlight w:val="yellow"/>
        </w:rPr>
        <w:t xml:space="preserve"> </w:t>
      </w:r>
      <w:r>
        <w:rPr>
          <w:highlight w:val="yellow"/>
        </w:rPr>
        <w:t xml:space="preserve">item’s elicitation set fall in different classes. Three properties follow and are stated explicitly</w:t>
      </w:r>
      <w:r>
        <w:rPr>
          <w:highlight w:val="yellow"/>
        </w:rPr>
        <w:t xml:space="preserve"> </w:t>
      </w:r>
      <w:r>
        <w:rPr>
          <w:highlight w:val="yellow"/>
        </w:rPr>
        <w:t xml:space="preserve">because they determine reproducibility. First, the two draws are taken</w:t>
      </w:r>
      <w:r>
        <w:t xml:space="preserve"> </w:t>
      </w:r>
      <w:r>
        <w:rPr>
          <w:i/>
          <w:iCs/>
        </w:rPr>
        <w:t xml:space="preserve">with</w:t>
      </w:r>
      <w:r>
        <w:t xml:space="preserve"> </w:t>
      </w:r>
      <w:r>
        <w:rPr>
          <w:highlight w:val="yellow"/>
        </w:rPr>
        <w:t xml:space="preserve">replacement, so</w:t>
      </w:r>
      <w:r>
        <w:rPr>
          <w:highlight w:val="yellow"/>
        </w:rPr>
        <w:t xml:space="preserve"> </w:t>
      </w:r>
      <w:r>
        <w:rPr>
          <w:highlight w:val="yellow"/>
        </w:rPr>
        <w:t xml:space="preserve">they may select the same elicitation cell. Such a pair trivially agrees and contributes to the</w:t>
      </w:r>
      <w:r>
        <w:rPr>
          <w:highlight w:val="yellow"/>
        </w:rPr>
        <w:t xml:space="preserve"> </w:t>
      </w:r>
      <w:r>
        <w:rPr>
          <w:highlight w:val="yellow"/>
        </w:rPr>
        <w:t xml:space="preserve">agreement mass. Second, the draws are taken from the item’s</w:t>
      </w:r>
      <w:r>
        <w:t xml:space="preserve"> </w:t>
      </w:r>
      <w:r>
        <w:rPr>
          <w:i/>
          <w:iCs/>
        </w:rPr>
        <w:t xml:space="preserve">pooled</w:t>
      </w:r>
      <w:r>
        <w:t xml:space="preserve"> </w:t>
      </w:r>
      <w:r>
        <w:rPr>
          <w:highlight w:val="yellow"/>
        </w:rPr>
        <w:t xml:space="preserve">elicitations, so a pair</w:t>
      </w:r>
      <w:r>
        <w:rPr>
          <w:highlight w:val="yellow"/>
        </w:rPr>
        <w:t xml:space="preserve"> </w:t>
      </w:r>
      <w:r>
        <w:rPr>
          <w:highlight w:val="yellow"/>
        </w:rPr>
        <w:t xml:space="preserve">may differ in specification, in seed, or in both. The statistic is not conditioned on holding either</w:t>
      </w:r>
      <w:r>
        <w:rPr>
          <w:highlight w:val="yellow"/>
        </w:rPr>
        <w:t xml:space="preserve"> </w:t>
      </w:r>
      <w:r>
        <w:rPr>
          <w:highlight w:val="yellow"/>
        </w:rPr>
        <w:t xml:space="preserve">fixed. Third, the item, and hence the underlying firm profile, is always held fixed. Pairs are never</w:t>
      </w:r>
      <w:r>
        <w:rPr>
          <w:highlight w:val="yellow"/>
        </w:rPr>
        <w:t xml:space="preserve"> </w:t>
      </w:r>
      <w:r>
        <w:rPr>
          <w:highlight w:val="yellow"/>
        </w:rPr>
        <w:t xml:space="preserve">formed across items. In the confirmatory battery 41 profiles have</w:t>
      </w:r>
      <w:r>
        <w:t xml:space="preserve"> </w:t>
      </w:r>
      <m:oMath>
        <m:sSub>
          <m:e>
            <m:r>
              <m:t>n</m:t>
            </m:r>
          </m:e>
          <m:sub>
            <m:r>
              <m:t>i</m:t>
            </m:r>
          </m:sub>
        </m:sSub>
        <m:r>
          <m:rPr>
            <m:sty m:val="p"/>
          </m:rPr>
          <m:t>=</m:t>
        </m:r>
        <m:r>
          <m:t>96</m:t>
        </m:r>
      </m:oMath>
      <w:r>
        <w:t xml:space="preserve"> </w:t>
      </w:r>
      <w:r>
        <w:rPr>
          <w:highlight w:val="yellow"/>
        </w:rPr>
        <w:t xml:space="preserve">elicitations and four have</w:t>
      </w:r>
      <w:r>
        <w:t xml:space="preserve"> </w:t>
      </w:r>
      <m:oMath>
        <m:r>
          <m:t>95</m:t>
        </m:r>
      </m:oMath>
      <w:r>
        <w:rPr>
          <w:highlight w:val="yellow"/>
        </w:rPr>
        <w:t xml:space="preserve">. Throughout,</w:t>
      </w:r>
      <w:r>
        <w:t xml:space="preserve"> </w:t>
      </w:r>
      <m:oMath>
        <m:r>
          <m:t>k</m:t>
        </m:r>
      </m:oMath>
      <w:r>
        <w:t xml:space="preserve"> </w:t>
      </w:r>
      <w:r>
        <w:rPr>
          <w:highlight w:val="yellow"/>
        </w:rPr>
        <w:t xml:space="preserve">denotes the number of elicitation</w:t>
      </w:r>
      <w:r>
        <w:t xml:space="preserve"> </w:t>
      </w:r>
      <w:r>
        <w:rPr>
          <w:i/>
          <w:iCs/>
        </w:rPr>
        <w:t xml:space="preserve">observations</w:t>
      </w:r>
      <w:r>
        <w:t xml:space="preserve"> </w:t>
      </w:r>
      <w:r>
        <w:rPr>
          <w:highlight w:val="yellow"/>
        </w:rP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rPr>
          <w:highlight w:val="yellow"/>
        </w:rPr>
        <w:t xml:space="preserve">, whereas a one-call-per-specification workflow has</w:t>
      </w:r>
      <w:r>
        <w:t xml:space="preserve"> </w:t>
      </w:r>
      <m:oMath>
        <m:r>
          <m:t>k</m:t>
        </m:r>
        <m:r>
          <m:rPr>
            <m:sty m:val="p"/>
          </m:rPr>
          <m:t>=</m:t>
        </m:r>
        <m:r>
          <m:rPr>
            <m:sty m:val="p"/>
          </m:rPr>
          <m:t>|</m:t>
        </m:r>
        <m:r>
          <m:t>S</m:t>
        </m:r>
        <m:r>
          <m:rPr>
            <m:sty m:val="p"/>
          </m:rPr>
          <m:t>|</m:t>
        </m:r>
      </m:oMath>
      <w:r>
        <w:rPr>
          <w:highlight w:val="yellow"/>
        </w:rPr>
        <w:t xml:space="preserve">. The</w:t>
      </w:r>
      <w:r>
        <w:rPr>
          <w:highlight w:val="yellow"/>
        </w:rPr>
        <w:t xml:space="preserve"> </w:t>
      </w:r>
      <w:r>
        <w:rPr>
          <w:highlight w:val="yellow"/>
        </w:rP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rPr>
          <w:highlight w:val="yellow"/>
        </w:rPr>
        <w:t xml:space="preserve">, evaluated at each profile’s own</w:t>
      </w:r>
      <w:r>
        <w:t xml:space="preserve"> </w:t>
      </w:r>
      <m:oMath>
        <m:sSub>
          <m:e>
            <m:r>
              <m:t>n</m:t>
            </m:r>
          </m:e>
          <m:sub>
            <m:r>
              <m:t>i</m:t>
            </m:r>
          </m:sub>
        </m:sSub>
      </m:oMath>
      <w:r>
        <w:t xml:space="preserve"> </w:t>
      </w:r>
      <w:r>
        <w:rPr>
          <w:highlight w:val="yellow"/>
        </w:rPr>
        <w:t xml:space="preserve">(</w:t>
      </w:r>
      <m:oMath>
        <m:r>
          <m:t>96</m:t>
        </m:r>
      </m:oMath>
      <w:r>
        <w:t xml:space="preserve"> </w:t>
      </w:r>
      <w:r>
        <w:rPr>
          <w:highlight w:val="yellow"/>
        </w:rPr>
        <w:t xml:space="preserve">for 41 profiles,</w:t>
      </w:r>
      <w:r>
        <w:t xml:space="preserve"> </w:t>
      </w:r>
      <m:oMath>
        <m:r>
          <m:t>95</m:t>
        </m:r>
      </m:oMath>
      <w:r>
        <w:t xml:space="preserve"> </w:t>
      </w:r>
      <w:r>
        <w:rPr>
          <w:highlight w:val="yellow"/>
        </w:rPr>
        <w:t xml:space="preserve">for four), which raises the pooled estimate from</w:t>
      </w:r>
      <w:r>
        <w:t xml:space="preserve"> </w:t>
      </w:r>
      <m:oMath>
        <m:r>
          <m:t>25.2</m:t>
        </m:r>
        <m:r>
          <m:rPr>
            <m:sty m:val="p"/>
          </m:rPr>
          <m:t>%</m:t>
        </m:r>
      </m:oMath>
      <w:r>
        <w:t xml:space="preserve"> </w:t>
      </w:r>
      <w:r>
        <w:rPr>
          <w:highlight w:val="yellow"/>
        </w:rPr>
        <w:t xml:space="preserve">to 25.45</w:t>
      </w:r>
      <w:r>
        <w:t xml:space="preserve">%</w:t>
      </w:r>
      <w:r>
        <w:rPr>
          <w:highlight w:val="yellow"/>
        </w:rPr>
        <w:t xml:space="preserve">.</w:t>
      </w:r>
      <w:r>
        <w:t xml:space="preserve"> </w:t>
      </w:r>
      <w:r>
        <w:t xml:space="preserve">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w:t>
      </w:r>
      <w:r>
        <w:t xml:space="preserve"> </w:t>
      </w:r>
      <w:r>
        <w:rPr>
          <w:strike/>
        </w:rPr>
        <w:t xml:space="preserve">squares;</w:t>
      </w:r>
      <w:r>
        <w:rPr>
          <w:strike/>
        </w:rPr>
        <w:t xml:space="preserve"> </w:t>
      </w:r>
      <w:r>
        <w:rPr>
          <w:strike/>
        </w:rPr>
        <w:t xml:space="preserve">the</w:t>
      </w:r>
      <w:r>
        <w:t xml:space="preserve"> </w:t>
      </w:r>
      <w:r>
        <w:rPr>
          <w:highlight w:val="yellow"/>
        </w:rPr>
        <w:t xml:space="preserve">squares.</w:t>
      </w:r>
      <w:r>
        <w:rPr>
          <w:highlight w:val="yellow"/>
        </w:rPr>
        <w:t xml:space="preserve"> </w:t>
      </w:r>
      <w:r>
        <w:rPr>
          <w:highlight w:val="yellow"/>
        </w:rPr>
        <w:t xml:space="preserve">The</w:t>
      </w:r>
      <w:r>
        <w:t xml:space="preserve"> </w:t>
      </w:r>
      <w:r>
        <w:t xml:space="preserve">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w:t>
      </w:r>
      <w:r>
        <w:t xml:space="preserve"> </w:t>
      </w:r>
      <w:r>
        <w:rPr>
          <w:strike/>
        </w:rPr>
        <w:t xml:space="preserve">profile; we</w:t>
      </w:r>
      <w:r>
        <w:t xml:space="preserve"> </w:t>
      </w:r>
      <w:r>
        <w:rPr>
          <w:highlight w:val="yellow"/>
        </w:rPr>
        <w:t xml:space="preserve">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w:t>
      </w:r>
      <w:r>
        <w:t xml:space="preserve"> </w:t>
      </w:r>
      <w:r>
        <w:rPr>
          <w:strike/>
        </w:rPr>
        <w:t xml:space="preserve">descriptively: the</w:t>
      </w:r>
      <w:r>
        <w:t xml:space="preserve"> </w:t>
      </w:r>
      <w:r>
        <w:rPr>
          <w:highlight w:val="yellow"/>
        </w:rPr>
        <w:t xml:space="preserve">descriptively. The</w:t>
      </w:r>
      <w:r>
        <w:t xml:space="preserve"> </w:t>
      </w:r>
      <w:r>
        <w:t xml:space="preserve">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rPr>
          <w:strike/>
        </w:rPr>
        <w:t xml:space="preserve">The revision is supported by three post-hoc analyses, which</w:t>
      </w:r>
      <w:r>
        <w:t xml:space="preserve"> </w:t>
      </w:r>
      <w:r>
        <w:rPr>
          <w:highlight w:val="yellow"/>
        </w:rPr>
        <w:t xml:space="preserve">Three post-hoc analyses</w:t>
      </w:r>
      <w:r>
        <w:t xml:space="preserve"> </w:t>
      </w:r>
      <w:r>
        <w:t xml:space="preserve">are run offline from the frozen corpora. The</w:t>
      </w:r>
      <w:r>
        <w:t xml:space="preserve"> </w:t>
      </w:r>
      <w:r>
        <w:t xml:space="preserve">specification-instability</w:t>
      </w:r>
      <w:r>
        <w:t xml:space="preserve"> </w:t>
      </w:r>
      <w:r>
        <w:rPr>
          <w:strike/>
        </w:rPr>
        <w:t xml:space="preserve">score is validated on a 16/16 held-out-specification split with an operating</w:t>
      </w:r>
      <w:r>
        <w:rPr>
          <w:strike/>
        </w:rPr>
        <w:t xml:space="preserve"> </w:t>
      </w:r>
      <w:r>
        <w:rPr>
          <w:strike/>
        </w:rPr>
        <w:t xml:space="preserve">threshold selected by Youden’s</w:t>
      </w:r>
      <w:r>
        <w:rPr>
          <w:strike/>
        </w:rPr>
        <w:t xml:space="preserve"> </w:t>
      </w:r>
      <m:oMath>
        <m:r>
          <m:t>J</m:t>
        </m:r>
      </m:oMath>
      <w:r>
        <w:rPr>
          <w:strike/>
        </w:rPr>
        <w:t xml:space="preserve"> </w:t>
      </w:r>
      <w:r>
        <w:rPr>
          <w:strike/>
        </w:rPr>
        <w:t xml:space="preserve">(reported descriptively); the</w:t>
      </w:r>
      <w:r>
        <w:t xml:space="preserve"> </w:t>
      </w:r>
      <w:r>
        <w:rPr>
          <w:highlight w:val="yellow"/>
        </w:rPr>
        <w:t xml:space="preserve">index is evaluated descriptively on a 16/16 held-out-specification</w:t>
      </w:r>
      <w:r>
        <w:rPr>
          <w:highlight w:val="yellow"/>
        </w:rPr>
        <w:t xml:space="preserve"> </w:t>
      </w:r>
      <w:r>
        <w:rPr>
          <w:highlight w:val="yellow"/>
        </w:rPr>
        <w:t xml:space="preserve">split and benchmarked against simpler measures of elicitation disagreement. No operating threshold</w:t>
      </w:r>
      <w:r>
        <w:rPr>
          <w:highlight w:val="yellow"/>
        </w:rPr>
        <w:t xml:space="preserve"> </w:t>
      </w:r>
      <w:r>
        <w:rPr>
          <w:highlight w:val="yellow"/>
        </w:rPr>
        <w:t xml:space="preserve">is proposed or validated. The</w:t>
      </w:r>
      <w:r>
        <w:t xml:space="preserve"> </w:t>
      </w:r>
      <w:r>
        <w:t xml:space="preserve">range of variance explained by the</w:t>
      </w:r>
      <w:r>
        <w:t xml:space="preserve"> </w:t>
      </w:r>
      <w:r>
        <w:t xml:space="preserve">elicitation axes is described in a main effects model, a main plus two-way interaction model, and an</w:t>
      </w:r>
      <w:r>
        <w:t xml:space="preserve"> </w:t>
      </w:r>
      <w:r>
        <w:t xml:space="preserve">issuer-out-of-sample regularized</w:t>
      </w:r>
      <w:r>
        <w:t xml:space="preserve"> </w:t>
      </w:r>
      <w:r>
        <w:rPr>
          <w:strike/>
        </w:rPr>
        <w:t xml:space="preserve">model;</w:t>
      </w:r>
      <w:r>
        <w:t xml:space="preserve"> </w:t>
      </w:r>
      <w:r>
        <w:rPr>
          <w:highlight w:val="yellow"/>
        </w:rPr>
        <w:t xml:space="preserve">model,</w:t>
      </w:r>
      <w:r>
        <w:t xml:space="preserve"> </w:t>
      </w:r>
      <w:r>
        <w:t xml:space="preserve">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w:t>
      </w:r>
      <w:r>
        <w:t xml:space="preserve"> </w:t>
      </w:r>
      <w:r>
        <w:rPr>
          <w:strike/>
        </w:rPr>
        <w:t xml:space="preserve">source; where</w:t>
      </w:r>
      <w:r>
        <w:t xml:space="preserve"> </w:t>
      </w:r>
      <w:r>
        <w:rPr>
          <w:highlight w:val="yellow"/>
        </w:rPr>
        <w:t xml:space="preserve">source. Where</w:t>
      </w:r>
      <w:r>
        <w:t xml:space="preserve"> </w:t>
      </w:r>
      <w:r>
        <w:t xml:space="preserve">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w:t>
      </w:r>
      <w:r>
        <w:t xml:space="preserve"> </w:t>
      </w:r>
      <w:r>
        <w:rPr>
          <w:strike/>
        </w:rPr>
        <w:t xml:space="preserve">profiles;</w:t>
      </w:r>
      <w:r>
        <w:t xml:space="preserve"> </w:t>
      </w:r>
      <w:r>
        <w:rPr>
          <w:highlight w:val="yellow"/>
        </w:rPr>
        <w:t xml:space="preserve">profiles.</w:t>
      </w:r>
      <w:r>
        <w:t xml:space="preserve"> </w:t>
      </w:r>
      <w:r>
        <w:t xml:space="preserve">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w:t>
      </w:r>
      <w:r>
        <w:t xml:space="preserve"> </w:t>
      </w:r>
      <w:r>
        <w:rPr>
          <w:strike/>
        </w:rPr>
        <w:t xml:space="preserve">reference; the</w:t>
      </w:r>
      <w:r>
        <w:t xml:space="preserve"> </w:t>
      </w:r>
      <w:r>
        <w:rPr>
          <w:highlight w:val="yellow"/>
        </w:rPr>
        <w:t xml:space="preserve">reference. The</w:t>
      </w:r>
      <w:r>
        <w:t xml:space="preserve"> </w:t>
      </w:r>
      <w:r>
        <w:t xml:space="preserve">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w:t>
      </w:r>
      <w:r>
        <w:t xml:space="preserve"> </w:t>
      </w:r>
      <w:r>
        <w:rPr>
          <w:strike/>
        </w:rPr>
        <w:t xml:space="preserve">above; every</w:t>
      </w:r>
      <w:r>
        <w:t xml:space="preserve"> </w:t>
      </w:r>
      <w:r>
        <w:rPr>
          <w:highlight w:val="yellow"/>
        </w:rPr>
        <w:t xml:space="preserve">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w:t>
      </w:r>
      <w:r>
        <w:t xml:space="preserve"> </w:t>
      </w:r>
      <w:r>
        <w:rPr>
          <w:strike/>
        </w:rPr>
        <w:t xml:space="preserve">data; ethical</w:t>
      </w:r>
      <w:r>
        <w:t xml:space="preserve"> </w:t>
      </w:r>
      <w:r>
        <w:rPr>
          <w:highlight w:val="yellow"/>
        </w:rPr>
        <w:t xml:space="preserve">data. Ethical</w:t>
      </w:r>
      <w:r>
        <w:t xml:space="preserve"> </w:t>
      </w:r>
      <w:r>
        <w:t xml:space="preserve">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9"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archived on Zenodo (Chincholikar and Chawla, 2026)</w:t>
      </w:r>
      <w:r>
        <w:t xml:space="preserve"> </w:t>
      </w:r>
      <w:r>
        <w:t xml:space="preserve">(</w:t>
      </w:r>
      <w:hyperlink r:id="rId87">
        <w:r>
          <w:rPr>
            <w:rStyle w:val="Hyperlink"/>
          </w:rPr>
          <w:t xml:space="preserve">https://doi.org/10.5281/zenodo.21953934</w:t>
        </w:r>
      </w:hyperlink>
      <w:r>
        <w:rPr>
          <w:highlight w:val="yellow"/>
        </w:rPr>
        <w:t xml:space="preserve">,</w:t>
      </w:r>
      <w:r>
        <w:t xml:space="preserve"> </w:t>
      </w:r>
      <w:r>
        <w:t xml:space="preserve">MIT license), mirrored in the source repository at</w:t>
      </w:r>
      <w:r>
        <w:t xml:space="preserve"> </w:t>
      </w:r>
      <w:hyperlink r:id="rId88">
        <w:r>
          <w:rPr>
            <w:rStyle w:val="Hyperlink"/>
          </w:rPr>
          <w:t xml:space="preserve">https://github.com/samirrc2/llm-credit-rating-specification-curve</w:t>
        </w:r>
      </w:hyperlink>
      <w:r>
        <w:t xml:space="preserv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rPr>
          <w:highlight w:val="yellow"/>
        </w:rPr>
        <w:t xml:space="preserve">,</w:t>
      </w:r>
      <w:r>
        <w:t xml:space="preserve"> </w:t>
      </w:r>
      <w:r>
        <w:t xml:space="preserve">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w:t>
      </w:r>
      <w:r>
        <w:t xml:space="preserve"> </w:t>
      </w:r>
      <w:r>
        <w:rPr>
          <w:strike/>
        </w:rPr>
        <w:t xml:space="preserve">scale;</w:t>
      </w:r>
      <w:r>
        <w:t xml:space="preserve"> </w:t>
      </w:r>
      <w:r>
        <w:rPr>
          <w:highlight w:val="yellow"/>
        </w:rPr>
        <w:t xml:space="preserve">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w:t>
      </w:r>
      <w:r>
        <w:t xml:space="preserve"> </w:t>
      </w:r>
      <w:r>
        <w:rPr>
          <w:strike/>
        </w:rPr>
        <w:t xml:space="preserve">panel;</w:t>
      </w:r>
      <w:r>
        <w:t xml:space="preserve"> </w:t>
      </w:r>
      <w:r>
        <w:rPr>
          <w:highlight w:val="yellow"/>
        </w:rPr>
        <w:t xml:space="preserve">panel,</w:t>
      </w:r>
      <w:r>
        <w:t xml:space="preserve"> </w:t>
      </w:r>
      <w:r>
        <w:t xml:space="preserve">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rPr>
          <w:strike/>
        </w:rPr>
        <w:t xml:space="preserve">;</w:t>
      </w:r>
      <w:r>
        <w:rPr>
          <w:strike/>
        </w:rPr>
        <w:t xml:space="preserve"> </w:t>
      </w:r>
      <w:r>
        <w:rPr>
          <w:strike/>
        </w:rPr>
        <w:t xml:space="preserve">the</w:t>
      </w:r>
      <w:r>
        <w:t xml:space="preserve"> </w:t>
      </w:r>
      <w:r>
        <w:rPr>
          <w:highlight w:val="yellow"/>
        </w:rPr>
        <w:t xml:space="preserve">.</w:t>
      </w:r>
      <w:r>
        <w:rPr>
          <w:highlight w:val="yellow"/>
        </w:rPr>
        <w:t xml:space="preserve"> </w:t>
      </w:r>
      <w:r>
        <w:rPr>
          <w:highlight w:val="yellow"/>
        </w:rPr>
        <w:t xml:space="preserve">The</w:t>
      </w:r>
      <w:r>
        <w:t xml:space="preserve"> </w:t>
      </w:r>
      <w:r>
        <w:t xml:space="preserve">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(in the repository and the Zenodo deposit), documents the</w:t>
      </w:r>
      <w:r>
        <w:t xml:space="preserve"> </w:t>
      </w:r>
      <w:r>
        <w:t xml:space="preserve">complete</w:t>
      </w:r>
      <w:r>
        <w:t xml:space="preserve"> </w:t>
      </w:r>
      <w:r>
        <w:rPr>
          <w:strike/>
        </w:rPr>
        <w:t xml:space="preserve">archive—data</w:t>
      </w:r>
      <w:r>
        <w:t xml:space="preserve"> </w:t>
      </w:r>
      <w:r>
        <w:rPr>
          <w:highlight w:val="yellow"/>
        </w:rPr>
        <w:t xml:space="preserve">archive, covering data</w:t>
      </w:r>
      <w:r>
        <w:t xml:space="preserve"> </w:t>
      </w:r>
      <w:r>
        <w:t xml:space="preserve">inputs and provenance, every analysis script and its outputs, the one-command</w:t>
      </w:r>
      <w:r>
        <w:t xml:space="preserve"> </w:t>
      </w:r>
      <w:r>
        <w:t xml:space="preserve">reproduction, the verification and determinism procedure, and the pinned</w:t>
      </w:r>
      <w:r>
        <w:t xml:space="preserve"> </w:t>
      </w:r>
      <w:r>
        <w:rPr>
          <w:strike/>
        </w:rPr>
        <w:t xml:space="preserve">environment—so</w:t>
      </w:r>
      <w:r>
        <w:t xml:space="preserve"> </w:t>
      </w:r>
      <w:r>
        <w:rPr>
          <w:highlight w:val="yellow"/>
        </w:rPr>
        <w:t xml:space="preserve">environment, so</w:t>
      </w:r>
      <w:r>
        <w:t xml:space="preserve"> </w:t>
      </w:r>
      <w:r>
        <w:t xml:space="preserve">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9"/>
    <w:bookmarkStart w:id="90"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Chincholikar, S., Chawla, R., 2026. Evaluating llm-based credit rating systems: A pre-registered specification-curve analysis — reproducibility artifact. ://doi.org/10.5281/zenodo.21953934. doi:10.5281/zenodo.21953934. dataset and code.</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2026-10-14T23:07:10Z</dcterms:created>
  <dcterms:modified xsi:type="dcterms:W3CDTF">2026-10-14T23:07:10Z</dcterms:modified>
</cp:coreProperties>
</file>

<file path=docProps/custom.xml><?xml version="1.0" encoding="utf-8"?>
<Properties xmlns="http://schemas.openxmlformats.org/officeDocument/2006/custom-properties" xmlns:vt="http://schemas.openxmlformats.org/officeDocument/2006/docPropsVTypes"/>
</file>