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8.pdf" ContentType="application/pdf"/>
  <Override PartName="/word/media/rId20.png" ContentType="image/png"/>
  <Override PartName="/word/media/rId29.pdf" ContentType="application/pdf"/>
  <Override PartName="/word/media/rId3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ighlights"/>
    <w:p>
      <w:pPr>
        <w:pStyle w:val="Heading1"/>
      </w:pPr>
      <w:r>
        <w:t xml:space="preserve">Highlights</w:t>
      </w:r>
    </w:p>
    <w:p>
      <w:pPr>
        <w:pStyle w:val="FirstParagraph"/>
      </w:pPr>
      <w:r>
        <w:t xml:space="preserve">In the evaluated systems, about 25% of matched elicitation pairs disagree on the investment-grade/high-yield classification.</w:t>
      </w:r>
    </w:p>
    <w:p>
      <w:pPr>
        <w:pStyle w:val="BodyText"/>
      </w:pPr>
      <w:r>
        <w:t xml:space="preserve">The elicitation axes jointly explain little rating variance (</w:t>
      </w:r>
      <m:oMath>
        <m:sSup>
          <m:e>
            <m:r>
              <m:t>R</m:t>
            </m:r>
          </m:e>
          <m:sup>
            <m:r>
              <m:t>2</m:t>
            </m:r>
          </m:sup>
        </m:sSup>
      </m:oMath>
      <w:r>
        <w:t xml:space="preserve"> </w:t>
      </w:r>
      <m:oMath>
        <m:r>
          <m:t>0.083</m:t>
        </m:r>
      </m:oMath>
      <w:r>
        <w:t xml:space="preserve">–</w:t>
      </w:r>
      <m:oMath>
        <m:r>
          <m:t>0.119</m:t>
        </m:r>
      </m:oMath>
      <w:r>
        <w:t xml:space="preserve">). The fractional design does not identify per-axis shares. Pure seed noise is</w:t>
      </w:r>
      <w:r>
        <w:t xml:space="preserve"> </w:t>
      </w:r>
      <m:oMath>
        <m:r>
          <m:rPr>
            <m:sty m:val="p"/>
          </m:rPr>
          <m:t>∼</m:t>
        </m:r>
      </m:oMath>
      <w:r>
        <w:t xml:space="preserve">8%.</w:t>
      </w:r>
    </w:p>
    <w:p>
      <w:pPr>
        <w:pStyle w:val="BodyText"/>
      </w:pPr>
      <w:r>
        <w:t xml:space="preserve">Instability persists on the temperature-0-honored subgrid (one provider, temperature 0).</w:t>
      </w:r>
    </w:p>
    <w:p>
      <w:pPr>
        <w:pStyle w:val="BodyText"/>
      </w:pPr>
      <w:r>
        <w:t xml:space="preserve">Unweighted cross-specification agreement stays modest (Fleiss</w:t>
      </w:r>
      <w:r>
        <w:t xml:space="preserve"> </w:t>
      </w:r>
      <m:oMath>
        <m:r>
          <m:t>κ</m:t>
        </m:r>
        <m:r>
          <m:rPr>
            <m:sty m:val="p"/>
          </m:rPr>
          <m:t>≤</m:t>
        </m:r>
        <m:r>
          <m:t>0.49</m:t>
        </m:r>
      </m:oMath>
      <w:r>
        <w:t xml:space="preserve">).</w:t>
      </w:r>
    </w:p>
    <w:p>
      <w:pPr>
        <w:pStyle w:val="BodyText"/>
      </w:pPr>
      <w:r>
        <w:t xml:space="preserve">At the binary IG/HY gate, a dispersion index predicts held-out instability (ROC-AUC 0.94) but is ordinally equivalent to dissent count, so it is reported descriptively.</w:t>
      </w:r>
    </w:p>
    <w:bookmarkEnd w:id="9"/>
    <w:bookmarkStart w:id="10" w:name="X16d3ea165c1f3db5cf55b57bc9a22bc820d6624"/>
    <w:p>
      <w:pPr>
        <w:pStyle w:val="Heading1"/>
      </w:pPr>
      <w:r>
        <w:t xml:space="preserve">Evaluating LLM-Based Credit Rating Systems: A Pre-Registered Specification-Curve Analysis</w:t>
      </w:r>
    </w:p>
    <w:p>
      <w:pPr>
        <w:pStyle w:val="FirstParagraph"/>
      </w:pPr>
      <w:r>
        <w:t xml:space="preserve">Samir Chincholikar, Robin Chawla</w:t>
      </w:r>
    </w:p>
    <w:p>
      <w:pPr>
        <w:pStyle w:val="BodyText"/>
      </w:pPr>
      <w:r>
        <w:t xml:space="preserve">Independent researcher, New York, USA</w:t>
      </w:r>
    </w:p>
    <w:p>
      <w:pPr>
        <w:pStyle w:val="BodyText"/>
      </w:pPr>
      <w:r>
        <w:t xml:space="preserve">Corresponding author samir.chincholikar@gmail.com robin.chawla.cse14@iitbhu.ac.in ORCID 0009-0007-2779-3492, 0009-0007-2807-3948</w:t>
      </w:r>
    </w:p>
    <w:bookmarkEnd w:id="10"/>
    <w:bookmarkStart w:id="11" w:name="keywords"/>
    <w:p>
      <w:pPr>
        <w:pStyle w:val="Heading1"/>
      </w:pPr>
      <w:r>
        <w:t xml:space="preserve">Keywords</w:t>
      </w:r>
    </w:p>
    <w:p>
      <w:pPr>
        <w:pStyle w:val="FirstParagraph"/>
      </w:pPr>
      <w:r>
        <w:t xml:space="preserve">Large Language Models (LLMs) · LLM Reliability · Prompt Sensitivity · Credit Risk Assessment · Model Risk Management · Specification-Curve Analysis</w:t>
      </w:r>
    </w:p>
    <w:bookmarkEnd w:id="11"/>
    <w:bookmarkStart w:id="12" w:name="abstract"/>
    <w:p>
      <w:pPr>
        <w:pStyle w:val="Heading1"/>
      </w:pPr>
      <w:r>
        <w:t xml:space="preserve">Abstract</w:t>
      </w:r>
    </w:p>
    <w:p>
      <w:pPr>
        <w:pStyle w:val="FirstParagraph"/>
      </w:pPr>
      <w:r>
        <w:t xml:space="preserve">Large language models (LLMs) are increasingly used for credit assessment, yet identical financial</w:t>
      </w:r>
      <w:r>
        <w:t xml:space="preserve"> </w:t>
      </w:r>
      <w:r>
        <w:t xml:space="preserve">profiles may receive different ratings under defensible elicitation choices. We evaluate this</w:t>
      </w:r>
      <w:r>
        <w:t xml:space="preserve"> </w:t>
      </w:r>
      <w:r>
        <w:t xml:space="preserve">instability in a pre-registered specification-curve experiment covering 45 credit-health profiles</w:t>
      </w:r>
      <w:r>
        <w:t xml:space="preserve"> </w:t>
      </w:r>
      <w:r>
        <w:t xml:space="preserve">from a 90-item battery, 32 specifications, three seeds, and two providers (4</w:t>
      </w:r>
      <w:r>
        <w:t xml:space="preserve">,</w:t>
      </w:r>
      <w:r>
        <w:t xml:space="preserve">320 designed</w:t>
      </w:r>
      <w:r>
        <w:t xml:space="preserve"> </w:t>
      </w:r>
      <w:r>
        <w:t xml:space="preserve">credit-rating elicitations). Holding fundamentals fixed, 25.2% of matched elicitation pairs</w:t>
      </w:r>
      <w:r>
        <w:t xml:space="preserve"> </w:t>
      </w:r>
      <w:r>
        <w:t xml:space="preserve">disagree at the investment-grade/high-yield (IG/HY) boundary. Chance-corrected agreement reaches</w:t>
      </w:r>
      <w:r>
        <w:t xml:space="preserve"> </w:t>
      </w:r>
      <w:r>
        <w:t xml:space="preserve">only Fleiss’</w:t>
      </w:r>
      <w:r>
        <w:t xml:space="preserve"> </w:t>
      </w:r>
      <m:oMath>
        <m:r>
          <m:t>κ</m:t>
        </m:r>
        <m:r>
          <m:rPr>
            <m:sty m:val="p"/>
          </m:rPr>
          <m:t>=</m:t>
        </m:r>
        <m:r>
          <m:t>0.49</m:t>
        </m:r>
      </m:oMath>
      <w:r>
        <w:t xml:space="preserve"> </w:t>
      </w:r>
      <w:r>
        <w:t xml:space="preserve">even at this binary resolution. Instability persists on a</w:t>
      </w:r>
      <w:r>
        <w:t xml:space="preserve"> </w:t>
      </w:r>
      <w:r>
        <w:t xml:space="preserve">temperature-0-honored subgrid (permutation</w:t>
      </w:r>
      <w:r>
        <w:t xml:space="preserve"> </w:t>
      </w:r>
      <m:oMath>
        <m:r>
          <m:t>p</m:t>
        </m:r>
        <m:r>
          <m:rPr>
            <m:sty m:val="p"/>
          </m:rPr>
          <m:t>=</m:t>
        </m:r>
        <m:r>
          <m:t>0.0005</m:t>
        </m:r>
      </m:oMath>
      <w:r>
        <w:t xml:space="preserve">) and is not eliminated by pooling providers.</w:t>
      </w:r>
      <w:r>
        <w:t xml:space="preserve"> </w:t>
      </w:r>
      <w:r>
        <w:t xml:space="preserve">Pure within-cell seed variation accounts for 8.1% of rating variance. The elicitation axes jointly</w:t>
      </w:r>
      <w:r>
        <w:t xml:space="preserve"> </w:t>
      </w:r>
      <w:r>
        <w:t xml:space="preserve">explain a small, model-dependent share (</w:t>
      </w:r>
      <m:oMath>
        <m:sSup>
          <m:e>
            <m:r>
              <m:t>R</m:t>
            </m:r>
          </m:e>
          <m:sup>
            <m:r>
              <m:t>2</m:t>
            </m:r>
          </m:sup>
        </m:sSup>
        <m:r>
          <m:rPr>
            <m:sty m:val="p"/>
          </m:rPr>
          <m:t>=</m:t>
        </m:r>
        <m:r>
          <m:t>0.083</m:t>
        </m:r>
      </m:oMath>
      <w:r>
        <w:t xml:space="preserve">–</w:t>
      </w:r>
      <m:oMath>
        <m:r>
          <m:t>0.119</m:t>
        </m:r>
      </m:oMath>
      <w:r>
        <w:t xml:space="preserve">), but the fractional design does not</w:t>
      </w:r>
      <w:r>
        <w:t xml:space="preserve"> </w:t>
      </w:r>
      <w:r>
        <w:t xml:space="preserve">identify individual-axis contributions. An illustrative arm of 31 perturbed real issuers also</w:t>
      </w:r>
      <w:r>
        <w:t xml:space="preserve"> </w:t>
      </w:r>
      <w:r>
        <w:t xml:space="preserve">exhibits specification variation, but a pre-registered closed-set identification probe recovers</w:t>
      </w:r>
      <w:r>
        <w:t xml:space="preserve"> </w:t>
      </w:r>
      <w:r>
        <w:t xml:space="preserve">issuer identities from scale-invariant financial ratios above chance (19.4% versus 3.2%), so we</w:t>
      </w:r>
      <w:r>
        <w:t xml:space="preserve"> </w:t>
      </w:r>
      <w:r>
        <w:t xml:space="preserve">draw no external-validity claim. Post-hoc checks do not detect attenuation on flagship models, and</w:t>
      </w:r>
      <w:r>
        <w:t xml:space="preserve"> </w:t>
      </w:r>
      <w:r>
        <w:t xml:space="preserve">specification sensitivity also occurs in an open-weight reasoning model. A specification-instability dispersion index predicts held-out IG/HY instability (ROC-AUC 0.94) but, at this binary resolution, is ordinally equivalent to dissent count and offers no incremental discrimination. We treat elicitation specification as a</w:t>
      </w:r>
      <w:r>
        <w:t xml:space="preserve"> </w:t>
      </w:r>
      <w:r>
        <w:t xml:space="preserve">model-risk parameter and propose transparent disagreement-based review rather than treating one</w:t>
      </w:r>
      <w:r>
        <w:t xml:space="preserve"> </w:t>
      </w:r>
      <w:r>
        <w:t xml:space="preserve">elicited rating as a stable assessment.</w:t>
      </w:r>
    </w:p>
    <w:bookmarkEnd w:id="12"/>
    <w:bookmarkStart w:id="13" w:name="introduction"/>
    <w:p>
      <w:pPr>
        <w:pStyle w:val="Heading1"/>
      </w:pPr>
      <w:r>
        <w:rPr>
          <w:rStyle w:val="SectionNumber"/>
        </w:rPr>
        <w:t xml:space="preserve">1</w:t>
      </w:r>
      <w:r>
        <w:tab/>
      </w:r>
      <w:r>
        <w:t xml:space="preserve">Introduction</w:t>
      </w:r>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Aykent, Chittams, Fu, Passonneau, Radcliffe, Rajagopal, Sloan, Tudrej, Ture, Wu, Xu and Baldwin, 2024; Kaplan, McCandlish, Henighan, Brown, Chess, Child, Gray, Radford, Wu and Amodei, 2020), and recent work has shown related variability in</w:t>
      </w:r>
      <w:r>
        <w:t xml:space="preserve"> </w:t>
      </w:r>
      <w:r>
        <w:t xml:space="preserve">LLM-generated financial recommendations (Chon, Kim and Kim,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w:t>
      </w:r>
      <w:r>
        <w:t xml:space="preserve"> </w:t>
      </w:r>
      <w:r>
        <w:t xml:space="preserve">This design measures the overall magnitude of that sensitivity but does not identify how it is</w:t>
      </w:r>
      <w:r>
        <w:t xml:space="preserve"> </w:t>
      </w:r>
      <w:r>
        <w:t xml:space="preserve">distributed across individual elicitation choices, so we do not attempt to settle that question. Third,</w:t>
      </w:r>
      <w:r>
        <w:t xml:space="preserve"> </w:t>
      </w:r>
      <w:r>
        <w:t xml:space="preserve">evaluation using real firms poses a further challenge. General-purpose 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Simmons and Nelson, 2020; Steegen, Tuerlinckx, Gelman and Vanpaemel,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Gambardella, Kazemi, Malachowski and Pandey,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 contributes a pre-registered framework for evaluating the stability of LLM-generated</w:t>
      </w:r>
      <w:r>
        <w:t xml:space="preserve"> </w:t>
      </w:r>
      <w:r>
        <w:t xml:space="preserve">credit ratings across defensible elicitation specifications. We (i) quantify rating instability and</w:t>
      </w:r>
      <w:r>
        <w:t xml:space="preserve"> </w:t>
      </w:r>
      <w:r>
        <w:t xml:space="preserve">investment-grade/high-yield boundary migration, (ii) assess sensitivity across providers,</w:t>
      </w:r>
      <w:r>
        <w:t xml:space="preserve"> </w:t>
      </w:r>
      <w:r>
        <w:t xml:space="preserve">temperature settings, and rating resolutions without attributing variation to unidentified</w:t>
      </w:r>
      <w:r>
        <w:t xml:space="preserve"> </w:t>
      </w:r>
      <w:r>
        <w:t xml:space="preserve">individual elicitation effects, (iii) conduct an illustrative real-issuer check that identifies</w:t>
      </w:r>
      <w:r>
        <w:t xml:space="preserve"> </w:t>
      </w:r>
      <w:r>
        <w:t xml:space="preserve">residual issuer-recognition risk, and (iv) evaluate a dispersion index against simpler</w:t>
      </w:r>
      <w:r>
        <w:t xml:space="preserve"> </w:t>
      </w:r>
      <w:r>
        <w:t xml:space="preserve">disagreement-based review rules. The index predicts instability on held-out specifications</w:t>
      </w:r>
      <w:r>
        <w:t xml:space="preserve"> </w:t>
      </w:r>
      <w:r>
        <w:t xml:space="preserve">(ROC-AUC 0.94) but adds no discrimination over dissent counting at the IG/HY boundary. Our</w:t>
      </w:r>
      <w:r>
        <w:t xml:space="preserve"> </w:t>
      </w:r>
      <w:r>
        <w:t xml:space="preserve">contribution is a reproducible evaluation of elicitation reliability and its implications for</w:t>
      </w:r>
      <w:r>
        <w:t xml:space="preserve"> </w:t>
      </w:r>
      <w:r>
        <w:t xml:space="preserve">model-risk governance, rather than a validated predictive control.</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 battery comprises two</w:t>
      </w:r>
      <w:r>
        <w:t xml:space="preserve"> </w:t>
      </w:r>
      <w:r>
        <w:t xml:space="preserve">item families of 45 profiles each. This paper analyses the 45 credit-health profiles, yielding</w:t>
      </w:r>
      <w:r>
        <w:t xml:space="preserve"> </w:t>
      </w:r>
      <m:oMath>
        <m:r>
          <m:t>45</m:t>
        </m:r>
        <m:r>
          <m:rPr>
            <m:sty m:val="p"/>
          </m:rPr>
          <m:t>×</m:t>
        </m:r>
        <m:r>
          <m:t>32</m:t>
        </m:r>
        <m:r>
          <m:rPr>
            <m:sty m:val="p"/>
          </m:rPr>
          <m:t>×</m:t>
        </m:r>
        <m:r>
          <m:t>3</m:t>
        </m:r>
        <m:r>
          <m:rPr>
            <m:sty m:val="p"/>
          </m:rPr>
          <m:t>=</m:t>
        </m:r>
        <m:r>
          <m:t>4</m:t>
        </m:r>
        <m:r>
          <m:rPr>
            <m:sty m:val="p"/>
          </m:rPr>
          <m:t>,</m:t>
        </m:r>
        <m:r>
          <m:t>320</m:t>
        </m:r>
      </m:oMath>
      <w:r>
        <w:t xml:space="preserve"> </w:t>
      </w:r>
      <w:r>
        <w:t xml:space="preserve">designed credit-rating elicitation cells, of which</w:t>
      </w:r>
      <w:r>
        <w:t xml:space="preserve"> </w:t>
      </w:r>
      <m:oMath>
        <m:r>
          <m:t>4</m:t>
        </m:r>
        <m:r>
          <m:rPr>
            <m:sty m:val="p"/>
          </m:rPr>
          <m:t>,</m:t>
        </m:r>
        <m:r>
          <m:t>316</m:t>
        </m:r>
      </m:oMath>
      <w:r>
        <w:t xml:space="preserve"> </w:t>
      </w:r>
      <w:r>
        <w:t xml:space="preserve">returned substantive content and were included in the analysis (Section 6.2). The 45 directional items are collected under the identical grid and</w:t>
      </w:r>
      <w:r>
        <w:t xml:space="preserve"> </w:t>
      </w:r>
      <w:r>
        <w:t xml:space="preserve">released with the archive, but are not analysed here (Section 5.2). The credit-health profiles rest on a pre-specified Altman Z</w:t>
      </w:r>
      <m:oMath>
        <m:r>
          <m:rPr>
            <m:sty m:val="p"/>
          </m:rPr>
          <m:t>″</m:t>
        </m:r>
      </m:oMath>
      <w:r>
        <w:t xml:space="preserve"> </w:t>
      </w:r>
      <w:r>
        <w:t xml:space="preserve">accounting-based benchmark (Altman, 2005; Altman and Hotchkiss, 2006), which provides a fixed, independently computable reference while the elicitation specification varies. Our estimand is therefore</w:t>
      </w:r>
      <w:r>
        <w:t xml:space="preserve"> </w:t>
      </w:r>
      <w:r>
        <w:t xml:space="preserve">not rating accuracy but</w:t>
      </w:r>
      <w:r>
        <w:t xml:space="preserve"> </w:t>
      </w:r>
      <w:r>
        <w:rPr>
          <w:i/>
          <w:iCs/>
        </w:rPr>
        <w:t xml:space="preserve">stability across specifications</w:t>
      </w:r>
      <w:r>
        <w:t xml:space="preserve">.</w:t>
      </w:r>
    </w:p>
    <w:bookmarkEnd w:id="13"/>
    <w:bookmarkStart w:id="19" w:name="related-work"/>
    <w:p>
      <w:pPr>
        <w:pStyle w:val="Heading1"/>
      </w:pPr>
      <w:r>
        <w:rPr>
          <w:rStyle w:val="SectionNumber"/>
        </w:rPr>
        <w:t xml:space="preserve">2</w:t>
      </w:r>
      <w:r>
        <w:tab/>
      </w:r>
      <w:r>
        <w:t xml:space="preserve">Related work</w:t>
      </w:r>
    </w:p>
    <w:bookmarkStart w:id="14" w:name="X0dba5ecfc7746c0d26bbfb187565964f2058f86"/>
    <w:p>
      <w:pPr>
        <w:pStyle w:val="Heading2"/>
      </w:pPr>
      <w:r>
        <w:rPr>
          <w:rStyle w:val="SectionNumber"/>
        </w:rPr>
        <w:t xml:space="preserve">2.1</w:t>
      </w:r>
      <w:r>
        <w:tab/>
      </w:r>
      <w:r>
        <w:t xml:space="preserve">Prompt sensitivity and non-determinism in large language models</w:t>
      </w:r>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Shazeer, Parmar, Uszkoreit, Jones, Gomez, Kaiser and Polosukhin, 2017; Devlin, Chang, Lee and Toutanova, 2019; Bommasani et al.,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Choi, Tsvetkov and Suhr,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Kaplan, Malkin, Dror, Shahaf and Stanovsky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bookmarkEnd w:id="14"/>
    <w:bookmarkStart w:id="15" w:name="X99d2309975b6bf7ae5cad3e79bc26027f8502df"/>
    <w:p>
      <w:pPr>
        <w:pStyle w:val="Heading2"/>
      </w:pPr>
      <w:r>
        <w:rPr>
          <w:rStyle w:val="SectionNumber"/>
        </w:rPr>
        <w:t xml:space="preserve">2.2</w:t>
      </w:r>
      <w:r>
        <w:tab/>
      </w:r>
      <w:r>
        <w:t xml:space="preserve">Uncertainty quantification for LLM outputs</w:t>
      </w:r>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Wei, Schuurmans, Le, Chi, Narang, Chowdhery and Zhou, 2023). Semantic-entropy methods cluster semantically equivalent generations and</w:t>
      </w:r>
      <w:r>
        <w:t xml:space="preserve"> </w:t>
      </w:r>
      <w:r>
        <w:t xml:space="preserve">measure entropy over meanings to detect unreliable answers (Kuhn, Gal and Farquhar, 2023). Others elicit</w:t>
      </w:r>
      <w:r>
        <w:t xml:space="preserve"> </w:t>
      </w:r>
      <w:r>
        <w:t xml:space="preserve">confidence directly, teaching models to verbalize calibrated uncertainty (Lin, Hilton and Evans, 2022) or</w:t>
      </w:r>
      <w:r>
        <w:t xml:space="preserve"> </w:t>
      </w:r>
      <w:r>
        <w:t xml:space="preserve">probing whether models</w:t>
      </w:r>
      <w:r>
        <w:t xml:space="preserve"> </w:t>
      </w:r>
      <w:r>
        <w:t xml:space="preserve">“know what they know”</w:t>
      </w:r>
      <w:r>
        <w:t xml:space="preserve"> </w:t>
      </w:r>
      <w:r>
        <w:t xml:space="preserve">(Kadavath, Conerly, Askell, Henighan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iCs/>
        </w:rPr>
        <w:t xml:space="preserve">categorical decision</w:t>
      </w:r>
      <w:r>
        <w:t xml:space="preserve">. Rather 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bookmarkEnd w:id="15"/>
    <w:bookmarkStart w:id="16" w:name="Xc762aa355966b1fd4892cde6748a9809de69570"/>
    <w:p>
      <w:pPr>
        <w:pStyle w:val="Heading2"/>
      </w:pPr>
      <w:r>
        <w:rPr>
          <w:rStyle w:val="SectionNumber"/>
        </w:rPr>
        <w:t xml:space="preserve">2.3</w:t>
      </w:r>
      <w:r>
        <w:tab/>
      </w:r>
      <w:r>
        <w:t xml:space="preserve">Multiverse analysis and specification curves</w:t>
      </w:r>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“garden of forking paths,”</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Nelson and Simonsohn,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bookmarkEnd w:id="16"/>
    <w:bookmarkStart w:id="17" w:name="Xb2e0c57c99f402f4e936f6826ba1a3899b92637"/>
    <w:p>
      <w:pPr>
        <w:pStyle w:val="Heading2"/>
      </w:pPr>
      <w:r>
        <w:rPr>
          <w:rStyle w:val="SectionNumber"/>
        </w:rPr>
        <w:t xml:space="preserve">2.4</w:t>
      </w:r>
      <w:r>
        <w:tab/>
      </w:r>
      <w:r>
        <w:t xml:space="preserve">Large language models for finance, credit, and supervision</w:t>
      </w:r>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et al., 2020; Ouyang et al., 2022;</w:t>
      </w:r>
      <w:r>
        <w:t xml:space="preserve"> </w:t>
      </w:r>
      <w:r>
        <w:t xml:space="preserve">OpenAI</w:t>
      </w:r>
      <w:r>
        <w:t xml:space="preserve">, 2023) and finance-specific</w:t>
      </w:r>
      <w:r>
        <w:t xml:space="preserve"> </w:t>
      </w:r>
      <w:r>
        <w:t xml:space="preserve">(Wu, Irsoy, Lu, Dabravolski, Dredze, Gehrmann, Kambadur, Rosenberg and Mann, 2023; Xie, Han, Zhang, Lai, Peng, Lopez-Lira and Huang,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w:t>
      </w:r>
      <w:r>
        <w:t xml:space="preserve">í</w:t>
      </w:r>
      <w:r>
        <w:t xml:space="preserve">a-Llorente and Olmeda, 2026), and credit-rating prediction (Drinkall, Pierrehumbert and Zohren, 2025).</w:t>
      </w:r>
    </w:p>
    <w:p>
      <w:pPr>
        <w:pStyle w:val="BodyText"/>
      </w:pPr>
      <w:r>
        <w:t xml:space="preserve">Much of this literature evaluates</w:t>
      </w:r>
      <w:r>
        <w:t xml:space="preserve"> </w:t>
      </w:r>
      <w:r>
        <w:rPr>
          <w:i/>
          <w:iCs/>
        </w:rPr>
        <w:t xml:space="preserve">capability</w:t>
      </w:r>
      <w:r>
        <w:t xml:space="preserve">, meaning 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iCs/>
        </w:rPr>
        <w:t xml:space="preserve">stability versus capability</w:t>
      </w:r>
      <w:r>
        <w:t xml:space="preserve">, meaning whether the credit opinion</w:t>
      </w:r>
      <w:r>
        <w:t xml:space="preserve"> </w:t>
      </w:r>
      <w:r>
        <w:t xml:space="preserve">itself is unchanged when the information being evaluated is unchanged but the elicitation specification</w:t>
      </w:r>
      <w:r>
        <w:t xml:space="preserve"> </w:t>
      </w:r>
      <w:r>
        <w:t xml:space="preserve">differs.</w:t>
      </w:r>
    </w:p>
    <w:bookmarkEnd w:id="17"/>
    <w:bookmarkStart w:id="18" w:name="X46dbbd77e0e69055eeab036521de68d083ce3fe"/>
    <w:p>
      <w:pPr>
        <w:pStyle w:val="Heading2"/>
      </w:pPr>
      <w:r>
        <w:rPr>
          <w:rStyle w:val="SectionNumber"/>
        </w:rPr>
        <w:t xml:space="preserve">2.5</w:t>
      </w:r>
      <w:r>
        <w:tab/>
      </w:r>
      <w:r>
        <w:t xml:space="preserve">Credit ratings, economic consequences, and model risk</w:t>
      </w:r>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Cornaggia and Israelsen,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w:t>
      </w:r>
      <w:r>
        <w:t xml:space="preserve">Basel Committee on Banking Supervision</w:t>
      </w:r>
      <w:r>
        <w:t xml:space="preserve">, 2019), and supervisory exercises have documented considerable dispersion in risk-weighted</w:t>
      </w:r>
      <w:r>
        <w:t xml:space="preserve"> </w:t>
      </w:r>
      <w:r>
        <w:t xml:space="preserve">assets even for common portfolios (</w:t>
      </w:r>
      <w:r>
        <w:t xml:space="preserve">Basel Committee on Banking Supervision</w:t>
      </w:r>
      <w:r>
        <w:t xml:space="preserve">,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w:t>
      </w:r>
      <w:r>
        <w:t xml:space="preserve">Board of Governors of the Federal Reserve System and Office of the Comptroller of the Currency</w:t>
      </w:r>
      <w:r>
        <w:t xml:space="preserve">,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both through statistical disagreement and through investment-grade/high-yield rating</w:t>
      </w:r>
      <w:r>
        <w:t xml:space="preserve"> </w:t>
      </w:r>
      <w:r>
        <w:t xml:space="preserve">migration, the decision-relevant unit of the categorical credit limit.</w:t>
      </w:r>
    </w:p>
    <w:bookmarkEnd w:id="18"/>
    <w:bookmarkEnd w:id="19"/>
    <w:bookmarkStart w:id="53" w:name="sec:results"/>
    <w:p>
      <w:pPr>
        <w:pStyle w:val="Heading1"/>
      </w:pPr>
      <w:r>
        <w:rPr>
          <w:rStyle w:val="SectionNumber"/>
        </w:rPr>
        <w:t xml:space="preserve">3</w:t>
      </w:r>
      <w:r>
        <w:tab/>
      </w:r>
      <w:r>
        <w:t xml:space="preserve">Results</w:t>
      </w:r>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12).</w:t>
      </w:r>
    </w:p>
    <w:bookmarkStart w:id="26" w:name="sources-of-rating-variation"/>
    <w:p>
      <w:pPr>
        <w:pStyle w:val="Heading2"/>
      </w:pPr>
      <w:r>
        <w:rPr>
          <w:rStyle w:val="SectionNumber"/>
        </w:rPr>
        <w:t xml:space="preserve">3.1</w:t>
      </w:r>
      <w:r>
        <w:tab/>
      </w:r>
      <w:r>
        <w:t xml:space="preserve">Sources of rating variation</w:t>
      </w:r>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1).</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 Jointly, the elicitation axes explain little of it. The design matrix supports an</w:t>
      </w:r>
      <w:r>
        <w:t xml:space="preserve"> </w:t>
      </w:r>
      <m:oMath>
        <m:sSup>
          <m:e>
            <m:r>
              <m:t>R</m:t>
            </m:r>
          </m:e>
          <m:sup>
            <m:r>
              <m:t>2</m:t>
            </m:r>
          </m:sup>
        </m:sSup>
      </m:oMath>
      <w:r>
        <w:t xml:space="preserve"> </w:t>
      </w:r>
      <w:r>
        <w:t xml:space="preserve">of</w:t>
      </w:r>
      <w:r>
        <w:t xml:space="preserve"> </w:t>
      </w:r>
      <m:oMath>
        <m:r>
          <m:t>0.083</m:t>
        </m:r>
      </m:oMath>
      <w:r>
        <w:t xml:space="preserve"> </w:t>
      </w:r>
      <w:r>
        <w:t xml:space="preserve">under main effects only and</w:t>
      </w:r>
      <w:r>
        <w:t xml:space="preserve"> </w:t>
      </w:r>
      <m:oMath>
        <m:r>
          <m:t>0.119</m:t>
        </m:r>
      </m:oMath>
      <w:r>
        <w:t xml:space="preserve"> </w:t>
      </w:r>
      <w:r>
        <w:t xml:space="preserve">with</w:t>
      </w:r>
      <w:r>
        <w:t xml:space="preserve"> </w:t>
      </w:r>
      <w:r>
        <w:t xml:space="preserve">all two-way interactions added (Table 2).</w:t>
      </w:r>
    </w:p>
    <w:p>
      <w:pPr>
        <w:pStyle w:val="BodyText"/>
      </w:pPr>
      <w:r>
        <w:rPr>
          <w:i/>
          <w:iCs/>
        </w:rPr>
        <w:t xml:space="preserve">We do not report individual per-axis shares.</w:t>
      </w:r>
      <w:r>
        <w:t xml:space="preserve"> </w:t>
      </w:r>
      <w:r>
        <w:t xml:space="preserve">On the analysed 32-specification two-provider design, main effects are</w:t>
      </w:r>
      <w:r>
        <w:t xml:space="preserve"> </w:t>
      </w:r>
      <w:r>
        <w:t xml:space="preserve">mutually near-orthogonal (maximum off-diagonal</w:t>
      </w:r>
      <w:r>
        <w:t xml:space="preserve"> </w:t>
      </w:r>
      <m:oMath>
        <m:r>
          <m:rPr>
            <m:sty m:val="p"/>
          </m:rPr>
          <m:t>|</m:t>
        </m:r>
        <m:r>
          <m:t>r</m:t>
        </m:r>
        <m:r>
          <m:rPr>
            <m:sty m:val="p"/>
          </m:rPr>
          <m:t>|</m:t>
        </m:r>
        <m:r>
          <m:rPr>
            <m:sty m:val="p"/>
          </m:rPr>
          <m:t>=</m:t>
        </m:r>
        <m:r>
          <m:t>0.125</m:t>
        </m:r>
      </m:oMath>
      <w:r>
        <w:t xml:space="preserve">) but are aliased with two-factor</w:t>
      </w:r>
      <w:r>
        <w:t xml:space="preserve"> </w:t>
      </w:r>
      <w:r>
        <w:t xml:space="preserve">interactions of other factors up to</w:t>
      </w:r>
      <w:r>
        <w:t xml:space="preserve"> </w:t>
      </w:r>
      <m:oMath>
        <m:r>
          <m:rPr>
            <m:sty m:val="p"/>
          </m:rPr>
          <m:t>|</m:t>
        </m:r>
        <m:r>
          <m:t>r</m:t>
        </m:r>
        <m:r>
          <m:rPr>
            <m:sty m:val="p"/>
          </m:rPr>
          <m:t>|</m:t>
        </m:r>
        <m:r>
          <m:rPr>
            <m:sty m:val="p"/>
          </m:rPr>
          <m:t>=</m:t>
        </m:r>
        <m:r>
          <m:t>0.504</m:t>
        </m:r>
      </m:oMath>
      <w:r>
        <w:t xml:space="preserve">, so each main-effect sum of</w:t>
      </w:r>
      <w:r>
        <w:t xml:space="preserve"> </w:t>
      </w:r>
      <w:r>
        <w:t xml:space="preserve">squares is identified only up to a contribution from omitted interactions whose magnitude the design</w:t>
      </w:r>
      <w:r>
        <w:t xml:space="preserve"> </w:t>
      </w:r>
      <w:r>
        <w:t xml:space="preserve">cannot bound without an external assumption (Section 6.2 gives the alias algebra and the norms). One component</w:t>
      </w:r>
      <w:r>
        <w:t xml:space="preserve"> </w:t>
      </w:r>
      <w:r>
        <w:rPr>
          <w:i/>
          <w:iCs/>
        </w:rPr>
        <w:t xml:space="preserve">is</w:t>
      </w:r>
      <w:r>
        <w:t xml:space="preserve"> </w:t>
      </w:r>
      <w:r>
        <w:t xml:space="preserve">identified and is reported as</w:t>
      </w:r>
      <w:r>
        <w:t xml:space="preserve"> </w:t>
      </w:r>
      <w:r>
        <w:t xml:space="preserve">such. Because items are fully crossed with specifications, the provider-by-item interaction is</w:t>
      </w:r>
      <w:r>
        <w:t xml:space="preserve"> </w:t>
      </w:r>
      <w:r>
        <w:t xml:space="preserve">effectively orthogonal to the specification-axis contrasts up to the numerically negligible imbalance quantified in Section 6.2, and it contributes</w:t>
      </w:r>
      <w:r>
        <w:t xml:space="preserve"> </w:t>
      </w:r>
      <m:oMath>
        <m:r>
          <m:rPr>
            <m:sty m:val="p"/>
          </m:rPr>
          <m:t>∼</m:t>
        </m:r>
      </m:oMath>
      <w:r>
        <w:t xml:space="preserve">1.4% of variance. The OLS residual</w:t>
      </w:r>
      <w:r>
        <w:t xml:space="preserve"> </w:t>
      </w:r>
      <w:r>
        <w:t xml:space="preserve">is</w:t>
      </w:r>
      <w:r>
        <w:t xml:space="preserve"> </w:t>
      </w:r>
      <m:oMath>
        <m:r>
          <m:rPr>
            <m:sty m:val="p"/>
          </m:rPr>
          <m:t>∼</m:t>
        </m:r>
      </m:oMath>
      <w:r>
        <w:t xml:space="preserve">25%. Because a raw residual can conflate genuine run-to-run randomness with structure the model</w:t>
      </w:r>
      <w:r>
        <w:t xml:space="preserve"> </w:t>
      </w:r>
      <w:r>
        <w:t xml:space="preserve">omits, we separate the two:</w:t>
      </w:r>
      <w:r>
        <w:t xml:space="preserve"> </w:t>
      </w:r>
      <w:r>
        <w:rPr>
          <w:i/>
          <w:iCs/>
        </w:rPr>
        <w:t xml:space="preserve">pure within-cell seed variation</w:t>
      </w:r>
      <w:r>
        <w:t xml:space="preserve">, the variance across the three seeds</w:t>
      </w:r>
      <w:r>
        <w:t xml:space="preserve"> </w:t>
      </w:r>
      <w:r>
        <w:t xml:space="preserve">of each identical item</w:t>
      </w:r>
      <m:oMath>
        <m:r>
          <m:rPr>
            <m:sty m:val="p"/>
          </m:rPr>
          <m:t>×</m:t>
        </m:r>
      </m:oMath>
      <w:r>
        <w:t xml:space="preserve">specification cell, accounts for only 8.1% of total variance (95% CI</w:t>
      </w:r>
      <w:r>
        <w:t xml:space="preserve"> </w:t>
      </w:r>
      <w:r>
        <w:t xml:space="preserve">6.4–10.8%), leaving the remaining</w:t>
      </w:r>
      <w:r>
        <w:t xml:space="preserve"> </w:t>
      </w:r>
      <m:oMath>
        <m:r>
          <m:rPr>
            <m:sty m:val="p"/>
          </m:rPr>
          <m:t>∼</m:t>
        </m:r>
      </m:oMath>
      <w:r>
        <w:t xml:space="preserve">17% as variation not explained by the main-effects model.</w:t>
      </w:r>
      <w:r>
        <w:t xml:space="preserve"> </w:t>
      </w:r>
      <w:r>
        <w:t xml:space="preserve">That part of the residual is not identified as to source under this resolution-limited D-optimal design</w:t>
      </w:r>
      <w:r>
        <w:t xml:space="preserve"> </w:t>
      </w:r>
      <w:r>
        <w:t xml:space="preserve">(see Limitations). It may combine real unmodeled interactions with main effects aliased into two-factor</w:t>
      </w:r>
      <w:r>
        <w:t xml:space="preserve"> </w:t>
      </w:r>
      <w:r>
        <w:t xml:space="preserve">interactions, so we interpret it descriptively instead of attributing it to structured sensitivity.</w:t>
      </w:r>
      <w:r>
        <w:t xml:space="preserve"> </w:t>
      </w:r>
      <w:r>
        <w:t xml:space="preserve">Run-to-run sampling noise is a real but minor part of the residual.</w:t>
      </w:r>
    </w:p>
    <w:p>
      <w:pPr>
        <w:pStyle w:val="BodyText"/>
      </w:pPr>
      <w:r>
        <w:t xml:space="preserve">We report the variance the</w:t>
      </w:r>
      <w:r>
        <w:t xml:space="preserve"> </w:t>
      </w:r>
      <w:r>
        <w:t xml:space="preserve">elicitation axes explain under three alternatives (Table 2): a main-effects-only model,</w:t>
      </w:r>
      <w:r>
        <w:t xml:space="preserve"> </w:t>
      </w:r>
      <w:r>
        <w:t xml:space="preserve">a model adding all two-way interactions, and an issuer-out-of-sample regularized version of the latter.</w:t>
      </w:r>
      <w:r>
        <w:t xml:space="preserve"> </w:t>
      </w:r>
      <w:r>
        <w:t xml:space="preserve">The apparent explained variance depends on the modeling choice but remains low across all three specifications (</w:t>
      </w:r>
      <m:oMath>
        <m:sSup>
          <m:e>
            <m:r>
              <m:t>R</m:t>
            </m:r>
          </m:e>
          <m:sup>
            <m:r>
              <m:t>2</m:t>
            </m:r>
          </m:sup>
        </m:sSup>
      </m:oMath>
      <w:r>
        <w:t xml:space="preserve"> </w:t>
      </w:r>
      <w:r>
        <w:t xml:space="preserve">between</w:t>
      </w:r>
      <w:r>
        <w:t xml:space="preserve"> </w:t>
      </w:r>
      <m:oMath>
        <m:r>
          <m:t>0.08</m:t>
        </m:r>
      </m:oMath>
      <w:r>
        <w:t xml:space="preserve"> </w:t>
      </w:r>
      <w:r>
        <w:t xml:space="preserve">and</w:t>
      </w:r>
      <w:r>
        <w:t xml:space="preserve"> </w:t>
      </w:r>
      <m:oMath>
        <m:r>
          <m:t>0.12</m:t>
        </m:r>
      </m:oMath>
      <w:r>
        <w:t xml:space="preserve">), and the in-sample gain from interactions does not fully generalize out of sample. Separately, the aliasing analysis in Section 6.2 establishes that individual-axis variance shares are not identified, so the decomposition is interpreted descriptively.</w:t>
      </w:r>
    </w:p>
    <w:p>
      <w:pPr>
        <w:pStyle w:val="BodyText"/>
      </w:pPr>
      <w:r>
        <w:t xml:space="preserve">The same pattern appears in the specification curve (Fig. 1). The three seeds are</w:t>
      </w:r>
      <w:r>
        <w:t xml:space="preserve"> </w:t>
      </w:r>
      <w:r>
        <w:t xml:space="preserve">pooled, and each point is a pre-registered specification, sorted by how consistently it recovers the</w:t>
      </w:r>
      <w:r>
        <w:t xml:space="preserve"> </w:t>
      </w:r>
      <w:r>
        <w:t xml:space="preserve">constructed Altman Z</w:t>
      </w:r>
      <m:oMath>
        <m:r>
          <m:rPr>
            <m:sty m:val="p"/>
          </m:rPr>
          <m:t>″</m:t>
        </m:r>
      </m:oMath>
      <w:r>
        <w:t xml:space="preserve"> </w:t>
      </w:r>
      <w:r>
        <w:t xml:space="preserve">design labels. Because the profiles were constructed to satisfy those strata,</w:t>
      </w:r>
      <w:r>
        <w:t xml:space="preserve"> </w:t>
      </w:r>
      <w:r>
        <w:t xml:space="preserve">we interpret this panel as a diagnostic of design-label recovery, not external credit-rating accuracy.</w:t>
      </w:r>
      <w:r>
        <w:t xml:space="preserve"> </w:t>
      </w:r>
      <w:r>
        <w:t xml:space="preserve">Even when the basic firm profiles are the same, label recovery varies quite a bit across</w:t>
      </w:r>
      <w:r>
        <w:t xml:space="preserve"> </w:t>
      </w:r>
      <w:r>
        <w:t xml:space="preserve">defensible specs. Specs split approximately 56/44 around the pre-registered majority</w:t>
      </w:r>
      <w:r>
        <w:t xml:space="preserve"> </w:t>
      </w:r>
      <w:r>
        <w:t xml:space="preserve">threshold. Thus, the specification curve shows that conclusions drawn from a single</w:t>
      </w:r>
      <w:r>
        <w:t xml:space="preserve"> </w:t>
      </w:r>
      <w:r>
        <w:t xml:space="preserve">elicitation configuration do not necessarily generalize to other plausible configurations.</w:t>
      </w:r>
    </w:p>
    <w:bookmarkStart w:id="23" w:name="fig:speccurve"/>
    <w:p>
      <w:pPr>
        <w:pStyle w:val="CaptionedFigure"/>
      </w:pPr>
      <w:r>
        <w:drawing>
          <wp:inline>
            <wp:extent cx="4907280" cy="2188381"/>
            <wp:effectExtent b="0" l="0" r="0" t="0"/>
            <wp:docPr descr="" title="" id="21" name="Picture"/>
            <a:graphic>
              <a:graphicData uri="http://schemas.openxmlformats.org/drawingml/2006/picture">
                <pic:pic>
                  <pic:nvPicPr>
                    <pic:cNvPr descr="fig_spec_curve.png" id="22" name="Picture"/>
                    <pic:cNvPicPr>
                      <a:picLocks noChangeArrowheads="1" noChangeAspect="1"/>
                    </pic:cNvPicPr>
                  </pic:nvPicPr>
                  <pic:blipFill>
                    <a:blip r:embed="rId20"/>
                    <a:stretch>
                      <a:fillRect/>
                    </a:stretch>
                  </pic:blipFill>
                  <pic:spPr bwMode="auto">
                    <a:xfrm>
                      <a:off x="0" y="0"/>
                      <a:ext cx="4907280" cy="2188381"/>
                    </a:xfrm>
                    <a:prstGeom prst="rect">
                      <a:avLst/>
                    </a:prstGeom>
                    <a:noFill/>
                    <a:ln w="9525">
                      <a:noFill/>
                      <a:headEnd/>
                      <a:tailEnd/>
                    </a:ln>
                  </pic:spPr>
                </pic:pic>
              </a:graphicData>
            </a:graphic>
          </wp:inline>
        </w:drawing>
      </w:r>
    </w:p>
    <w:p>
      <w:pPr>
        <w:pStyle w:val="ImageCaption"/>
      </w:pPr>
      <w:r>
        <w:t xml:space="preserve">Specification curves of the machine credit rating. Each point is one pre-registered</w:t>
      </w:r>
      <w:r>
        <w:t xml:space="preserve"> </w:t>
      </w:r>
      <w:r>
        <w:t xml:space="preserve">specification (three seeds pooled), specifications sorted independently in each panel.</w:t>
      </w:r>
      <w:r>
        <w:t xml:space="preserve"> </w:t>
      </w:r>
      <w:r>
        <w:rPr>
          <w:b/>
          <w:bCs/>
        </w:rPr>
        <w:t xml:space="preserve">(a)</w:t>
      </w:r>
      <w:r>
        <w:t xml:space="preserve"> </w:t>
      </w:r>
      <w:r>
        <w:t xml:space="preserve">Design-label recovery: agreement with the constructed Altman Z</w:t>
      </w:r>
      <m:oMath>
        <m:r>
          <m:rPr>
            <m:sty m:val="p"/>
          </m:rPr>
          <m:t>″</m:t>
        </m:r>
      </m:oMath>
      <w:r>
        <w:t xml:space="preserve"> </w:t>
      </w:r>
      <w:r>
        <w:t xml:space="preserve">strata (the profiles were built to</w:t>
      </w:r>
      <w:r>
        <w:t xml:space="preserve"> </w:t>
      </w:r>
      <w:r>
        <w:t xml:space="preserve">satisfy these strata, so this is label recovery, not external accuracy) the specs split about</w:t>
      </w:r>
      <w:r>
        <w:t xml:space="preserve"> </w:t>
      </w:r>
      <w:r>
        <w:t xml:space="preserve">56/44 around the majority line.</w:t>
      </w:r>
      <w:r>
        <w:t xml:space="preserve"> </w:t>
      </w:r>
      <w:r>
        <w:rPr>
          <w:b/>
          <w:bCs/>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End w:id="23"/>
    <w:bookmarkStart w:id="24" w:name="tab:var"/>
    <w:p>
      <w:pPr>
        <w:pStyle w:val="TableCaption"/>
      </w:pPr>
      <w:r>
        <w:t xml:space="preserve">Variance shares of the machine credit letter-rank (OLS decomposition with Type-II ANOVA,</w:t>
      </w:r>
      <w:r>
        <w:t xml:space="preserve"> </w:t>
      </w:r>
      <m:oMath>
        <m:r>
          <m:t>n</m:t>
        </m:r>
        <m:r>
          <m:rPr>
            <m:sty m:val="p"/>
          </m:rPr>
          <m:t>=</m:t>
        </m:r>
        <m:r>
          <m:t>45</m:t>
        </m:r>
      </m:oMath>
      <w:r>
        <w:t xml:space="preserve"> </w:t>
      </w:r>
      <w:r>
        <w:t xml:space="preserve">items). The residual is split into pure within-cell seed variance and other unexplained variance.</w:t>
      </w:r>
      <w:r>
        <w:t xml:space="preserve"> </w:t>
      </w:r>
      <w:r>
        <w:t xml:space="preserve">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w:t>
      </w:r>
    </w:p>
    <w:tbl>
      <w:tblPr>
        <w:tblStyle w:val="Table"/>
        <w:tblW w:type="auto" w:w="0"/>
        <w:tblLook w:firstRow="1" w:lastRow="0" w:firstColumn="0" w:lastColumn="0" w:noHBand="0" w:noVBand="0" w:val="0020"/>
        <w:tblCaption w:val="Variance shares of the machine credit letter-rank (OLS decomposition with Type-II ANOVA, n=45 items). The residual is split into pure within-cell seed variance and other unexplained variance. 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
      </w:tblPr>
      <w:tblGrid>
        <w:gridCol w:w="3960"/>
        <w:gridCol w:w="3960"/>
      </w:tblGrid>
      <w:tr>
        <w:trPr>
          <w:tblHeader w:val="on"/>
        </w:trPr>
        <w:tc>
          <w:tcPr/>
          <w:p>
            <w:pPr>
              <w:pStyle w:val="Compact"/>
              <w:jc w:val="left"/>
            </w:pPr>
            <w:r>
              <w:t xml:space="preserve">Component</w:t>
            </w:r>
          </w:p>
        </w:tc>
        <w:tc>
          <w:tcPr/>
          <w:p>
            <w:pPr>
              <w:pStyle w:val="Compact"/>
              <w:jc w:val="right"/>
            </w:pPr>
            <w:r>
              <w:t xml:space="preserve">Variance share</w:t>
            </w:r>
          </w:p>
        </w:tc>
      </w:tr>
      <w:tr>
        <w:tc>
          <w:tcPr/>
          <w:p>
            <w:pPr>
              <w:pStyle w:val="Compact"/>
              <w:jc w:val="left"/>
            </w:pPr>
            <w:r>
              <w:t xml:space="preserve">Item (firm profile)</w:t>
            </w:r>
          </w:p>
        </w:tc>
        <w:tc>
          <w:tcPr/>
          <w:p>
            <w:pPr>
              <w:pStyle w:val="Compact"/>
              <w:jc w:val="right"/>
            </w:pPr>
            <w:r>
              <w:t xml:space="preserve">64.9% (53.9–72.3%)</w:t>
            </w:r>
          </w:p>
        </w:tc>
      </w:tr>
      <w:tr>
        <w:tc>
          <w:tcPr/>
          <w:p>
            <w:pPr>
              <w:pStyle w:val="Compact"/>
              <w:jc w:val="left"/>
            </w:pPr>
            <w:r>
              <w:t xml:space="preserve">Residual (total)</w:t>
            </w:r>
          </w:p>
        </w:tc>
        <w:tc>
          <w:tcPr/>
          <w:p>
            <w:pPr>
              <w:pStyle w:val="Compact"/>
              <w:jc w:val="right"/>
            </w:pPr>
            <w:r>
              <w:t xml:space="preserve">25.2%</w:t>
            </w:r>
          </w:p>
        </w:tc>
      </w:tr>
      <w:tr>
        <w:tc>
          <w:tcPr/>
          <w:p>
            <w:pPr>
              <w:pStyle w:val="Compact"/>
              <w:jc w:val="left"/>
            </w:pPr>
            <w:r>
              <w:t xml:space="preserve">— pure within-cell seed variation</w:t>
            </w:r>
          </w:p>
        </w:tc>
        <w:tc>
          <w:tcPr/>
          <w:p>
            <w:pPr>
              <w:pStyle w:val="Compact"/>
              <w:jc w:val="right"/>
            </w:pPr>
            <w:r>
              <w:t xml:space="preserve">8.1% (6.4–10.8%)</w:t>
            </w:r>
          </w:p>
        </w:tc>
      </w:tr>
      <w:tr>
        <w:tc>
          <w:tcPr/>
          <w:p>
            <w:pPr>
              <w:pStyle w:val="Compact"/>
              <w:jc w:val="left"/>
            </w:pPr>
            <w:r>
              <w:t xml:space="preserve">— other unexplained (unmodeled interactions)</w:t>
            </w:r>
          </w:p>
        </w:tc>
        <w:tc>
          <w:tcPr/>
          <w:p>
            <w:pPr>
              <w:pStyle w:val="Compact"/>
              <w:jc w:val="right"/>
            </w:pPr>
            <m:oMath>
              <m:r>
                <m:rPr>
                  <m:sty m:val="p"/>
                </m:rPr>
                <m:t>∼</m:t>
              </m:r>
            </m:oMath>
            <w:r>
              <w:t xml:space="preserve">17%</w:t>
            </w:r>
          </w:p>
        </w:tc>
      </w:tr>
      <w:tr>
        <w:tc>
          <w:tcPr/>
          <w:p>
            <w:pPr>
              <w:pStyle w:val="Compact"/>
              <w:jc w:val="left"/>
            </w:pPr>
            <w:r>
              <w:t xml:space="preserve">Elicitation axes, jointly</w:t>
            </w:r>
          </w:p>
        </w:tc>
        <w:tc>
          <w:tcPr/>
          <w:p>
            <w:pPr>
              <w:pStyle w:val="Compact"/>
              <w:jc w:val="right"/>
            </w:pPr>
            <w:r>
              <w:t xml:space="preserve">see Table 2</w:t>
            </w:r>
          </w:p>
        </w:tc>
      </w:tr>
      <w:tr>
        <w:tc>
          <w:tcPr/>
          <w:p>
            <w:pPr>
              <w:pStyle w:val="Compact"/>
              <w:jc w:val="left"/>
            </w:pPr>
            <w:r>
              <w:t xml:space="preserve">Provider</w:t>
            </w:r>
            <w:r>
              <w:t xml:space="preserve"> </w:t>
            </w:r>
            <m:oMath>
              <m:r>
                <m:rPr>
                  <m:sty m:val="p"/>
                </m:rPr>
                <m:t>×</m:t>
              </m:r>
            </m:oMath>
            <w:r>
              <w:t xml:space="preserve"> </w:t>
            </w:r>
            <w:r>
              <w:t xml:space="preserve">item interaction</w:t>
            </w:r>
          </w:p>
        </w:tc>
        <w:tc>
          <w:tcPr/>
          <w:p>
            <w:pPr>
              <w:pStyle w:val="Compact"/>
              <w:jc w:val="right"/>
            </w:pPr>
            <w:r>
              <w:t xml:space="preserve">1.4%</w:t>
            </w:r>
          </w:p>
        </w:tc>
      </w:tr>
    </w:tbl>
    <w:bookmarkEnd w:id="24"/>
    <w:p>
      <w:pPr>
        <w:pStyle w:val="BodyText"/>
      </w:pPr>
      <w:r>
        <w:t xml:space="preserve">The two indented rows decompose the residual and are not additional</w:t>
      </w:r>
      <w:r>
        <w:t xml:space="preserve"> </w:t>
      </w:r>
      <w:r>
        <w:t xml:space="preserve">components. The rows shown do not form a complete partition of the total variance. Design diagnostics on the analysed 32-specification two-provider design: the</w:t>
      </w:r>
      <w:r>
        <w:t xml:space="preserve"> </w:t>
      </w:r>
      <w:r>
        <w:t xml:space="preserve">maximum off-diagonal correlation between main-effect columns of distinct axes is</w:t>
      </w:r>
      <w:r>
        <w:t xml:space="preserve"> </w:t>
      </w:r>
      <m:oMath>
        <m:r>
          <m:t>0.125</m:t>
        </m:r>
      </m:oMath>
      <w:r>
        <w:t xml:space="preserve">, and the</w:t>
      </w:r>
      <w:r>
        <w:t xml:space="preserve"> </w:t>
      </w:r>
      <w:r>
        <w:t xml:space="preserve">maximum absolute correlation between a main-effect column and a two-factor-interaction column of</w:t>
      </w:r>
      <w:r>
        <w:t xml:space="preserve"> </w:t>
      </w:r>
      <w:r>
        <w:t xml:space="preserve">other axes is</w:t>
      </w:r>
      <w:r>
        <w:t xml:space="preserve"> </w:t>
      </w:r>
      <m:oMath>
        <m:r>
          <m:t>0.504</m:t>
        </m:r>
      </m:oMath>
      <w:r>
        <w:t xml:space="preserve"> </w:t>
      </w:r>
      <w:r>
        <w:t xml:space="preserve">(Section 6.2).</w:t>
      </w:r>
    </w:p>
    <w:bookmarkStart w:id="25" w:name="tab:varrange"/>
    <w:p>
      <w:pPr>
        <w:pStyle w:val="TableCaption"/>
      </w:pPr>
      <w:r>
        <w:t xml:space="preserve">Variance in the machine letter rating explained by the elicitation axes under different model</w:t>
      </w:r>
      <w:r>
        <w:t xml:space="preserve"> </w:t>
      </w:r>
      <w:r>
        <w:t xml:space="preserve">specifications (credit-health task, issuer identity removed to isolate the axes). The joint explanatory share varies across model specifications and remains small throughout. Non-identification of individual-axis effects follows separately from the aliasing analysis in Section 6.2.</w:t>
      </w:r>
    </w:p>
    <w:tbl>
      <w:tblPr>
        <w:tblStyle w:val="Table"/>
        <w:tblW w:type="auto" w:w="0"/>
        <w:tblLook w:firstRow="1" w:lastRow="0" w:firstColumn="0" w:lastColumn="0" w:noHBand="0" w:noVBand="0" w:val="0020"/>
        <w:tblCaption w:val="Variance in the machine letter rating explained by the elicitation axes under different model specifications (credit-health task, issuer identity removed to isolate the axes). The joint explanatory share varies across model specifications and remains small throughout. Non-identification of individual-axis effects follows separately from the aliasing analysis in Section 6.2."/>
      </w:tblPr>
      <w:tblGrid>
        <w:gridCol w:w="3960"/>
        <w:gridCol w:w="3960"/>
      </w:tblGrid>
      <w:tr>
        <w:trPr>
          <w:tblHeader w:val="on"/>
        </w:trPr>
        <w:tc>
          <w:tcPr/>
          <w:p>
            <w:pPr>
              <w:pStyle w:val="Compact"/>
              <w:jc w:val="left"/>
            </w:pPr>
            <w:r>
              <w:t xml:space="preserve">Model specification</w:t>
            </w:r>
          </w:p>
        </w:tc>
        <w:tc>
          <w:tcPr/>
          <w:p>
            <w:pPr>
              <w:pStyle w:val="Compact"/>
              <w:jc w:val="center"/>
            </w:pPr>
            <m:oMath>
              <m:sSup>
                <m:e>
                  <m:r>
                    <m:t>R</m:t>
                  </m:r>
                </m:e>
                <m:sup>
                  <m:r>
                    <m:t>2</m:t>
                  </m:r>
                </m:sup>
              </m:sSup>
            </m:oMath>
            <w:r>
              <w:t xml:space="preserve">​</w:t>
            </w:r>
          </w:p>
        </w:tc>
      </w:tr>
      <w:tr>
        <w:tc>
          <w:tcPr/>
          <w:p>
            <w:pPr>
              <w:pStyle w:val="Compact"/>
              <w:jc w:val="left"/>
            </w:pPr>
            <w:r>
              <w:t xml:space="preserve">Main effects only</w:t>
            </w:r>
          </w:p>
        </w:tc>
        <w:tc>
          <w:tcPr/>
          <w:p>
            <w:pPr>
              <w:pStyle w:val="Compact"/>
              <w:jc w:val="center"/>
            </w:pPr>
            <w:r>
              <w:t xml:space="preserve">0.083 (in-sample)</w:t>
            </w:r>
          </w:p>
        </w:tc>
      </w:tr>
      <w:tr>
        <w:tc>
          <w:tcPr/>
          <w:p>
            <w:pPr>
              <w:pStyle w:val="Compact"/>
              <w:jc w:val="left"/>
            </w:pPr>
            <w:r>
              <w:t xml:space="preserve">Main effects</w:t>
            </w:r>
            <w:r>
              <w:t xml:space="preserve"> </w:t>
            </w:r>
            <m:oMath>
              <m:r>
                <m:rPr>
                  <m:sty m:val="p"/>
                </m:rPr>
                <m:t>+</m:t>
              </m:r>
            </m:oMath>
            <w:r>
              <w:t xml:space="preserve"> </w:t>
            </w:r>
            <w:r>
              <w:t xml:space="preserve">all two-way interactions</w:t>
            </w:r>
          </w:p>
        </w:tc>
        <w:tc>
          <w:tcPr/>
          <w:p>
            <w:pPr>
              <w:pStyle w:val="Compact"/>
              <w:jc w:val="center"/>
            </w:pPr>
            <w:r>
              <w:t xml:space="preserve">0.119 (in-sample)</w:t>
            </w:r>
          </w:p>
        </w:tc>
      </w:tr>
      <w:tr>
        <w:tc>
          <w:tcPr/>
          <w:p>
            <w:pPr>
              <w:pStyle w:val="Compact"/>
              <w:jc w:val="left"/>
            </w:pPr>
            <w:r>
              <w:t xml:space="preserve">Regularized two-way (ridge), issuer out-of-sample</w:t>
            </w:r>
          </w:p>
        </w:tc>
        <w:tc>
          <w:tcPr/>
          <w:p>
            <w:pPr>
              <w:pStyle w:val="Compact"/>
              <w:jc w:val="center"/>
            </w:pPr>
            <w:r>
              <w:t xml:space="preserve">0.101 (5-fold, issuer group)</w:t>
            </w:r>
          </w:p>
        </w:tc>
      </w:tr>
    </w:tbl>
    <w:bookmarkEnd w:id="25"/>
    <w:bookmarkEnd w:id="26"/>
    <w:bookmarkStart w:id="27" w:name="X5c5a1aefcf1087b89aefa7fefbdfbf58adf9ad6"/>
    <w:p>
      <w:pPr>
        <w:pStyle w:val="Heading2"/>
      </w:pPr>
      <w:r>
        <w:rPr>
          <w:rStyle w:val="SectionNumber"/>
        </w:rPr>
        <w:t xml:space="preserve">3.2</w:t>
      </w:r>
      <w:r>
        <w:tab/>
      </w:r>
      <w:r>
        <w:t xml:space="preserve">Specification fragility on the temperature-0-honored subgrid</w:t>
      </w:r>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that temperature was honored, namely Google</w:t>
      </w:r>
      <w:r>
        <w:t xml:space="preserve"> </w:t>
      </w:r>
      <w:r>
        <w:t xml:space="preserve">at temperature 0. This temperature-0-honored subgrid sharply reduces repeated-call sampling variation but</w:t>
      </w:r>
      <w:r>
        <w:t xml:space="preserve"> </w:t>
      </w:r>
      <w:r>
        <w:t xml:space="preserve">retains substantial specification dependence. In it, 62.5% of specifications are on opposite side of the majority</w:t>
      </w:r>
      <w:r>
        <w:t xml:space="preserve"> </w:t>
      </w:r>
      <w:r>
        <w:t xml:space="preserve">label-recovery threshold, and consistency with the constructed credit-band design labels ranges from 0.36 to</w:t>
      </w:r>
      <w:r>
        <w:t xml:space="preserve"> </w:t>
      </w:r>
      <w:r>
        <w:t xml:space="preserve">0.69 across temperature-0 prompt configurations.</w:t>
      </w:r>
    </w:p>
    <w:p>
      <w:pPr>
        <w:pStyle w:val="BodyText"/>
      </w:pPr>
      <w:r>
        <w:t xml:space="preserve">A one-sided permutation test rejects the null of specification invariance of the</w:t>
      </w:r>
      <w:r>
        <w:t xml:space="preserve"> </w:t>
      </w:r>
      <w:r>
        <w:rPr>
          <w:i/>
          <w:iCs/>
        </w:rPr>
        <w:t xml:space="preserve">rating</w:t>
      </w:r>
      <w:r>
        <w:t xml:space="preserve"> </w:t>
      </w:r>
      <w:r>
        <w:t xml:space="preserve">itself.</w:t>
      </w:r>
      <w:r>
        <w:t xml:space="preserve"> </w:t>
      </w:r>
      <w:r>
        <w:t xml:space="preserve">The test permutes specification-condition assignments across profiles (a null of rating invariance, rather</w:t>
      </w:r>
      <w:r>
        <w:t xml:space="preserve"> </w:t>
      </w:r>
      <w:r>
        <w:t xml:space="preserve">than permuting accuracy labels), with the statistic the between-specification spread of the item-centred</w:t>
      </w:r>
      <w:r>
        <w:t xml:space="preserve"> </w:t>
      </w:r>
      <w:r>
        <w:t xml:space="preserve">letter grade. On the temperature-0-honored Google subgrid, the observed spread is</w:t>
      </w:r>
      <w:r>
        <w:t xml:space="preserve"> </w:t>
      </w:r>
      <m:oMath>
        <m:r>
          <m:t>1.59</m:t>
        </m:r>
      </m:oMath>
      <w:r>
        <w:t xml:space="preserve"> </w:t>
      </w:r>
      <w:r>
        <w:t xml:space="preserve">notches, versus</w:t>
      </w:r>
      <w:r>
        <w:t xml:space="preserve"> </w:t>
      </w:r>
      <w:r>
        <w:t xml:space="preserve">a permutation-null mean of</w:t>
      </w:r>
      <w:r>
        <w:t xml:space="preserve"> </w:t>
      </w:r>
      <m:oMath>
        <m:r>
          <m:t>0.18</m:t>
        </m:r>
      </m:oMath>
      <w:r>
        <w:t xml:space="preserve"> </w:t>
      </w:r>
      <w:r>
        <w:t xml:space="preserve">notches and standard deviation</w:t>
      </w:r>
      <w:r>
        <w:t xml:space="preserve"> </w:t>
      </w:r>
      <m:oMath>
        <m:r>
          <m:t>0.050</m:t>
        </m:r>
      </m:oMath>
      <w:r>
        <w:t xml:space="preserve"> </w:t>
      </w:r>
      <w:r>
        <w:t xml:space="preserve">notches. Across</w:t>
      </w:r>
      <w:r>
        <w:t xml:space="preserve"> </w:t>
      </w:r>
      <m:oMath>
        <m:r>
          <m:t>2</m:t>
        </m:r>
        <m:r>
          <m:rPr>
            <m:sty m:val="p"/>
          </m:rPr>
          <m:t>,</m:t>
        </m:r>
        <m:r>
          <m:t>000</m:t>
        </m:r>
      </m:oMath>
      <w:r>
        <w:t xml:space="preserve"> </w:t>
      </w:r>
      <w:r>
        <w:t xml:space="preserve">permutations</w:t>
      </w:r>
      <w:r>
        <w:t xml:space="preserve"> </w:t>
      </w:r>
      <w:r>
        <w:t xml:space="preserve">none achieved the value observed, giving</w:t>
      </w:r>
      <w:r>
        <w:t xml:space="preserve"> </w:t>
      </w:r>
      <m:oMath>
        <m:r>
          <m:t>p</m:t>
        </m:r>
        <m:r>
          <m:rPr>
            <m:sty m:val="p"/>
          </m:rPr>
          <m:t>=</m:t>
        </m:r>
        <m:r>
          <m:t>0.0005</m:t>
        </m:r>
      </m:oMath>
      <w:r>
        <w:t xml:space="preserve"> </w:t>
      </w:r>
      <w:r>
        <w:t xml:space="preserve">(specification</w:t>
      </w:r>
      <w:r>
        <w:t xml:space="preserve"> </w:t>
      </w:r>
      <m:oMath>
        <m:sSup>
          <m:e>
            <m:r>
              <m:t>η</m:t>
            </m:r>
          </m:e>
          <m:sup>
            <m:r>
              <m:t>2</m:t>
            </m:r>
          </m:sup>
        </m:sSup>
        <m:r>
          <m:rPr>
            <m:sty m:val="p"/>
          </m:rPr>
          <m:t>=</m:t>
        </m:r>
        <m:r>
          <m:t>0.46</m:t>
        </m:r>
      </m:oMath>
      <w:r>
        <w:t xml:space="preserve"> </w:t>
      </w:r>
      <w:r>
        <w:t xml:space="preserve">on the item-centred</w:t>
      </w:r>
      <w:r>
        <w:t xml:space="preserve"> </w:t>
      </w:r>
      <w:r>
        <w:t xml:space="preserve">rating, a specification-level aggregate not comparable to the individual-rating partition of</w:t>
      </w:r>
      <w:r>
        <w:t xml:space="preserve"> </w:t>
      </w:r>
      <w:r>
        <w:t xml:space="preserve">Table 1). Holding temperature at 0 thus removes much of the run-to-run jitter but does not eliminate</w:t>
      </w:r>
      <w:r>
        <w:t xml:space="preserve"> </w:t>
      </w:r>
      <w:r>
        <w:t xml:space="preserve">sensitivity to prompt and presentation choices. Indeed, the specification-curve flip share within the</w:t>
      </w:r>
      <w:r>
        <w:t xml:space="preserve"> </w:t>
      </w:r>
      <w:r>
        <w:t xml:space="preserve">temperature-0-honored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bookmarkEnd w:id="27"/>
    <w:bookmarkStart w:id="28" w:name="sec:agreement"/>
    <w:p>
      <w:pPr>
        <w:pStyle w:val="Heading2"/>
      </w:pPr>
      <w:r>
        <w:rPr>
          <w:rStyle w:val="SectionNumber"/>
        </w:rPr>
        <w:t xml:space="preserve">3.3</w:t>
      </w:r>
      <w:r>
        <w:tab/>
      </w:r>
      <w:r>
        <w:t xml:space="preserve">Agreement within and between providers</w:t>
      </w:r>
    </w:p>
    <w:p>
      <w:pPr>
        <w:pStyle w:val="FirstParagraph"/>
      </w:pPr>
      <w:r>
        <w:t xml:space="preserve">Provider choice might be thought immaterial. 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 ratings. A 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bookmarkEnd w:id="28"/>
    <w:bookmarkStart w:id="37" w:name="stability-across-rating-resolutions"/>
    <w:p>
      <w:pPr>
        <w:pStyle w:val="Heading2"/>
      </w:pPr>
      <w:r>
        <w:rPr>
          <w:rStyle w:val="SectionNumber"/>
        </w:rPr>
        <w:t xml:space="preserve">3.4</w:t>
      </w:r>
      <w:r>
        <w:tab/>
      </w:r>
      <w:r>
        <w:t xml:space="preserve">Stability across rating resolutions</w:t>
      </w:r>
    </w:p>
    <w:p>
      <w:pPr>
        <w:pStyle w:val="FirstParagraph"/>
      </w:pPr>
      <w:r>
        <w:t xml:space="preserve">Credit ratings are inherently hierarchical. A model may not reproduce an exact letter grade yet still</w:t>
      </w:r>
      <w:r>
        <w:t xml:space="preserve"> </w:t>
      </w:r>
      <w:r>
        <w:t xml:space="preserve">express a stable broader assessment. We therefore assess agreement at four rating resolutions: the full 21-grade letter-rating scale, notch categories, three broad credit bands, and the binary investment-grade/high-yield distinction (the deterministic mappings are given in Table 11).</w:t>
      </w:r>
    </w:p>
    <w:p>
      <w:pPr>
        <w:pStyle w:val="BodyText"/>
      </w:pPr>
      <w:r>
        <w:t xml:space="preserve">Agreement improves as the scale is coarsened but does not become fully stable. Raw matched-pair 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2).</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3). No evaluated rating resolution meets the</w:t>
      </w:r>
      <w:r>
        <w:t xml:space="preserve"> </w:t>
      </w:r>
      <w:r>
        <w:t xml:space="preserve">conventional threshold for substantial agreement (</w:t>
      </w:r>
      <m:oMath>
        <m:r>
          <m:t>κ</m:t>
        </m:r>
        <m:r>
          <m:rPr>
            <m:sty m:val="p"/>
          </m:rP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rPr>
            <m:sty m:val="p"/>
          </m:rPr>
          <m:t>+</m:t>
        </m:r>
      </m:oMath>
      <w:r>
        <w:t xml:space="preserve"> </w:t>
      </w:r>
      <w:r>
        <w:t xml:space="preserve">disagreement as heavily</w:t>
      </w:r>
      <w:r>
        <w:t xml:space="preserve"> </w:t>
      </w:r>
      <w:r>
        <w:t xml:space="preserve">as AAA-versus-C, we also report ordinal-weighted agreement on the letter-rank scale. 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 boundary. The 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 firms. The mean</w:t>
      </w:r>
      <w:r>
        <w:t xml:space="preserve"> </w:t>
      </w:r>
      <w:r>
        <w:rPr>
          <w:i/>
          <w:iCs/>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r>
        <w:t xml:space="preserve"> </w:t>
      </w:r>
      <w:r>
        <w:t xml:space="preserve">The flip is elevated in the benchmark-WATCH stratum, but when we treat distance from the boundary</w:t>
      </w:r>
      <w:r>
        <w:t xml:space="preserve"> </w:t>
      </w:r>
      <w:r>
        <w:t xml:space="preserve">continuously it does not decline monotonically with that distance (Spearman between per-item flip and</w:t>
      </w:r>
      <w:r>
        <w:t xml:space="preserve"> </w:t>
      </w:r>
      <m:oMath>
        <m:r>
          <m:rPr>
            <m:sty m:val="p"/>
          </m:rPr>
          <m:t>|</m:t>
        </m:r>
      </m:oMath>
      <w:r>
        <w:t xml:space="preserve">Z</w:t>
      </w:r>
      <m:oMath>
        <m:r>
          <m:rPr>
            <m:sty m:val="p"/>
          </m:rPr>
          <m:t>″</m:t>
        </m:r>
        <m:r>
          <m:rPr>
            <m:sty m:val="p"/>
          </m:rPr>
          <m:t>−</m:t>
        </m:r>
        <m:r>
          <m:t>2.60</m:t>
        </m:r>
        <m:r>
          <m:rPr>
            <m:sty m:val="p"/>
          </m:rPr>
          <m:t>|</m:t>
        </m:r>
      </m:oMath>
      <w:r>
        <w:t xml:space="preserve"> </w:t>
      </w:r>
      <w:r>
        <w:t xml:space="preserve">is</w:t>
      </w:r>
      <w:r>
        <w:t xml:space="preserve"> </w:t>
      </w:r>
      <m:oMath>
        <m:r>
          <m:rPr>
            <m:sty m:val="p"/>
          </m:rPr>
          <m:t>−</m:t>
        </m:r>
        <m:r>
          <m:t>0.05</m:t>
        </m:r>
      </m:oMath>
      <w:r>
        <w:t xml:space="preserve">), so the instability is broadly distributed across the credit spectrum rather</w:t>
      </w:r>
      <w:r>
        <w:t xml:space="preserve"> </w:t>
      </w:r>
      <w:r>
        <w:t xml:space="preserve">than confined to a narrow near-boundary band.</w:t>
      </w:r>
    </w:p>
    <w:bookmarkStart w:id="32" w:name="fig:ighy"/>
    <w:p>
      <w:pPr>
        <w:pStyle w:val="CaptionedFigure"/>
      </w:pPr>
      <w:r>
        <w:drawing>
          <wp:inline>
            <wp:extent cx="3520440" cy="2131482"/>
            <wp:effectExtent b="0" l="0" r="0" t="0"/>
            <wp:docPr descr="" title="" id="30" name="Picture"/>
            <a:graphic>
              <a:graphicData uri="http://schemas.openxmlformats.org/drawingml/2006/picture">
                <pic:pic>
                  <pic:nvPicPr>
                    <pic:cNvPr descr="figure1_ighy.pdf" id="31" name="Picture"/>
                    <pic:cNvPicPr>
                      <a:picLocks noChangeArrowheads="1" noChangeAspect="1"/>
                    </pic:cNvPicPr>
                  </pic:nvPicPr>
                  <pic:blipFill>
                    <a:blip r:embed="rId29"/>
                    <a:stretch>
                      <a:fillRect/>
                    </a:stretch>
                  </pic:blipFill>
                  <pic:spPr bwMode="auto">
                    <a:xfrm>
                      <a:off x="0" y="0"/>
                      <a:ext cx="3520440" cy="2131482"/>
                    </a:xfrm>
                    <a:prstGeom prst="rect">
                      <a:avLst/>
                    </a:prstGeom>
                    <a:noFill/>
                    <a:ln w="9525">
                      <a:noFill/>
                      <a:headEnd/>
                      <a:tailEnd/>
                    </a:ln>
                  </pic:spPr>
                </pic:pic>
              </a:graphicData>
            </a:graphic>
          </wp:inline>
        </w:drawing>
      </w:r>
    </w:p>
    <w:p>
      <w:pPr>
        <w:pStyle w:val="ImageCaption"/>
      </w:pPr>
      <w:r>
        <w:t xml:space="preserve">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 Matched pairs are drawn independently</w:t>
      </w:r>
      <w:r>
        <w:t xml:space="preserve"> </w:t>
      </w:r>
      <w:r>
        <w:rPr>
          <w:i/>
          <w:iCs/>
        </w:rPr>
        <w:t xml:space="preserve">with replacement</w:t>
      </w:r>
      <w:r>
        <w:t xml:space="preserve"> </w:t>
      </w:r>
      <w:r>
        <w:t xml:space="preserve">from a profile’s own elicitations,</w:t>
      </w:r>
      <w:r>
        <w:t xml:space="preserve"> </w:t>
      </w:r>
      <m:oMath>
        <m:sSub>
          <m:e>
            <m:r>
              <m:t>n</m:t>
            </m:r>
          </m:e>
          <m:sub>
            <m:r>
              <m:t>i</m:t>
            </m:r>
          </m:sub>
        </m:sSub>
        <m:r>
          <m:rPr>
            <m:sty m:val="p"/>
          </m:rPr>
          <m:t>=</m:t>
        </m:r>
        <m:r>
          <m:t>96</m:t>
        </m:r>
      </m:oMath>
      <w:r>
        <w:t xml:space="preserve"> </w:t>
      </w:r>
      <w:r>
        <w:t xml:space="preserve">for 41 profiles and</w:t>
      </w:r>
      <w:r>
        <w:t xml:space="preserve"> </w:t>
      </w:r>
      <m:oMath>
        <m:r>
          <m:t>95</m:t>
        </m:r>
      </m:oMath>
      <w:r>
        <w:t xml:space="preserve"> </w:t>
      </w:r>
      <w:r>
        <w:t xml:space="preserve">for the four that are short one seed. The two draws may fall in the same specification</w:t>
      </w:r>
      <m:oMath>
        <m:r>
          <m:rPr>
            <m:sty m:val="p"/>
          </m:rPr>
          <m:t>×</m:t>
        </m:r>
      </m:oMath>
      <w:r>
        <w:t xml:space="preserve">seed cell, in which case the pair agrees, and may differ in specification, in seed, or in both, while the firm profile is always held fixed (Section 6.3).</w:t>
      </w:r>
    </w:p>
    <w:bookmarkEnd w:id="32"/>
    <w:bookmarkStart w:id="36" w:name="fig:kappa"/>
    <w:p>
      <w:pPr>
        <w:pStyle w:val="CaptionedFigure"/>
      </w:pPr>
      <w:r>
        <w:drawing>
          <wp:inline>
            <wp:extent cx="3307080" cy="2002301"/>
            <wp:effectExtent b="0" l="0" r="0" t="0"/>
            <wp:docPr descr="" title="" id="34" name="Picture"/>
            <a:graphic>
              <a:graphicData uri="http://schemas.openxmlformats.org/drawingml/2006/picture">
                <pic:pic>
                  <pic:nvPicPr>
                    <pic:cNvPr descr="figureA_kappa.pdf" id="35" name="Picture"/>
                    <pic:cNvPicPr>
                      <a:picLocks noChangeArrowheads="1" noChangeAspect="1"/>
                    </pic:cNvPicPr>
                  </pic:nvPicPr>
                  <pic:blipFill>
                    <a:blip r:embed="rId33"/>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rPr>
            <m:sty m:val="p"/>
          </m:rP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rPr>
            <m:sty m:val="p"/>
          </m:rPr>
          <m:t>=</m:t>
        </m:r>
        <m:r>
          <m:t>0.65</m:t>
        </m:r>
      </m:oMath>
      <w:r>
        <w:t xml:space="preserve"> </w:t>
      </w:r>
      <w:r>
        <w:t xml:space="preserve">quadratic), but the binary IG/HY flip is unaffected by weighting.</w:t>
      </w:r>
    </w:p>
    <w:bookmarkEnd w:id="36"/>
    <w:bookmarkEnd w:id="37"/>
    <w:bookmarkStart w:id="39" w:name="sec:ighy"/>
    <w:p>
      <w:pPr>
        <w:pStyle w:val="Heading2"/>
      </w:pPr>
      <w:r>
        <w:rPr>
          <w:rStyle w:val="SectionNumber"/>
        </w:rPr>
        <w:t xml:space="preserve">3.5</w:t>
      </w:r>
      <w:r>
        <w:tab/>
      </w:r>
      <w:r>
        <w:t xml:space="preserve">Migration from investment-grade to high-yield</w:t>
      </w:r>
    </w:p>
    <w:p>
      <w:pPr>
        <w:pStyle w:val="FirstParagraph"/>
      </w:pPr>
      <w:r>
        <w:t xml:space="preserve">Statistical disagreement is economically important when alternative specifications produce decisions on</w:t>
      </w:r>
      <w:r>
        <w:t xml:space="preserve"> </w:t>
      </w:r>
      <w:r>
        <w:t xml:space="preserve">opposite sides of material credit boundaries. The observed rating instability is understood as the</w:t>
      </w:r>
      <w:r>
        <w:t xml:space="preserve"> </w:t>
      </w:r>
      <w:r>
        <w:t xml:space="preserve">decision-relevant unit of investment-grade/high-yield migration.</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 a total investment-grade/high-yield elicitation disagreement rate of 25.2%</w:t>
      </w:r>
      <w:r>
        <w:t xml:space="preserve"> </w:t>
      </w:r>
      <w:r>
        <w:t xml:space="preserve">(95% CI 19.7–31.2%), in which the two draws may differ in specification, in seed, or in both.</w:t>
      </w:r>
      <w:r>
        <w:t xml:space="preserve"> </w:t>
      </w:r>
      <w:r>
        <w:t xml:space="preserve">For context, we report two complementary conditional measures: 24.3% after collapsing repeated</w:t>
      </w:r>
      <w:r>
        <w:t xml:space="preserve"> </w:t>
      </w:r>
      <w:r>
        <w:t xml:space="preserve">seeds within specification, and 6.9% when varying seed within an identical</w:t>
      </w:r>
      <w:r>
        <w:t xml:space="preserve"> </w:t>
      </w:r>
      <w:r>
        <w:t xml:space="preserve">profile</w:t>
      </w:r>
      <m:oMath>
        <m:r>
          <m:rPr>
            <m:sty m:val="p"/>
          </m:rPr>
          <m:t>×</m:t>
        </m:r>
      </m:oMath>
      <w:r>
        <w:t xml:space="preserve">specification cell. These quantities are not additive components of the 25.2%</w:t>
      </w:r>
      <w:r>
        <w:t xml:space="preserve"> </w:t>
      </w:r>
      <w:r>
        <w:t xml:space="preserve">total. Forming the per-specification modal outcome requires a tie rule, and we treat a cell with no</w:t>
      </w:r>
      <w:r>
        <w:t xml:space="preserve"> </w:t>
      </w:r>
      <w:r>
        <w:t xml:space="preserve">modal winner as dissenting; the rule never binds here, because all four two-observation cells are</w:t>
      </w:r>
      <w:r>
        <w:t xml:space="preserve"> </w:t>
      </w:r>
      <w:r>
        <w:t xml:space="preserve">unanimous and no three-observation cell lacks a modal winner. The headline figure is therefore</w:t>
      </w:r>
      <w:r>
        <w:t xml:space="preserve"> </w:t>
      </w:r>
      <w:r>
        <w:t xml:space="preserve">total elicitation instability and is not attributed to specification choices alone: about a quarter of</w:t>
      </w:r>
      <w:r>
        <w:t xml:space="preserve"> </w:t>
      </w:r>
      <w:r>
        <w:t xml:space="preserve">matched ratings for the same underlying credit profile disagree on which side of the investment-grade</w:t>
      </w:r>
      <w:r>
        <w:t xml:space="preserve"> </w:t>
      </w:r>
      <w:r>
        <w:t xml:space="preserve">boundary the profile falls (Table 3). Because the boundary governs index eligibility,</w:t>
      </w:r>
      <w:r>
        <w:t xml:space="preserve"> </w:t>
      </w:r>
      <w:r>
        <w:t xml:space="preserve">mandate constraints, collateral treatment, and cost of financing, migration of this magnitude driven</w:t>
      </w:r>
      <w:r>
        <w:t xml:space="preserve"> </w:t>
      </w:r>
      <w:r>
        <w:t xml:space="preserve">by the elicitation process, with the fundamentals held fixed, is economically consequential.</w:t>
      </w:r>
    </w:p>
    <w:bookmarkStart w:id="38" w:name="tab:frag"/>
    <w:p>
      <w:pPr>
        <w:pStyle w:val="TableCaption"/>
      </w:pPr>
      <w:r>
        <w:t xml:space="preserve">Fragility in decision and rating units. Parenthetical values are 95% confidence intervals</w:t>
      </w:r>
      <w:r>
        <w:t xml:space="preserve"> </w:t>
      </w:r>
      <w:r>
        <w:t xml:space="preserve">(profile-clustered percentile bootstrapping)</w:t>
      </w:r>
    </w:p>
    <w:tbl>
      <w:tblPr>
        <w:tblStyle w:val="Table"/>
        <w:tblW w:type="auto" w:w="0"/>
        <w:tblLook w:firstRow="1" w:lastRow="0" w:firstColumn="0" w:lastColumn="0" w:noHBand="0" w:noVBand="0" w:val="0020"/>
        <w:tblCaption w:val="Fragility in decision and rating units. Parenthetical values are 95% confidence intervals (profile-clustered percentile bootstrapping)"/>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Specifications flipping majority credit</w:t>
            </w:r>
            <w:r>
              <w:t xml:space="preserve"> </w:t>
            </w:r>
            <w:r>
              <w:rPr>
                <w:i/>
                <w:iCs/>
              </w:rPr>
              <w:t xml:space="preserve">band</w:t>
            </w:r>
            <w:r>
              <w:t xml:space="preserve"> </w:t>
            </w:r>
            <w:r>
              <w:t xml:space="preserve">verdict (pooled / determ.)</w:t>
            </w:r>
          </w:p>
        </w:tc>
        <w:tc>
          <w:tcPr/>
          <w:p>
            <w:pPr>
              <w:pStyle w:val="Compact"/>
              <w:jc w:val="right"/>
            </w:pPr>
            <m:oMath>
              <m:r>
                <m:rPr>
                  <m:sty m:val="p"/>
                </m:rPr>
                <m:t>∼</m:t>
              </m:r>
            </m:oMath>
            <w:r>
              <w:t xml:space="preserve">56% / 62.5%</w:t>
            </w:r>
          </w:p>
        </w:tc>
      </w:tr>
      <w:tr>
        <w:tc>
          <w:tcPr/>
          <w:p>
            <w:pPr>
              <w:pStyle w:val="Compact"/>
              <w:jc w:val="left"/>
            </w:pPr>
            <w:r>
              <w:t xml:space="preserve">Design-label recovery range, temperature-0-honored subgrid</w:t>
            </w:r>
          </w:p>
        </w:tc>
        <w:tc>
          <w:tcPr/>
          <w:p>
            <w:pPr>
              <w:pStyle w:val="Compact"/>
              <w:jc w:val="right"/>
            </w:pPr>
            <w:r>
              <w:t xml:space="preserve">0.36–0.69</w:t>
            </w:r>
          </w:p>
        </w:tc>
      </w:tr>
      <w:tr>
        <w:tc>
          <w:tcPr/>
          <w:p>
            <w:pPr>
              <w:pStyle w:val="Compact"/>
              <w:jc w:val="left"/>
            </w:pPr>
            <w:r>
              <w:t xml:space="preserve">Permutation test, temperature-0-honored subgrid (rating-invariance null)</w:t>
            </w:r>
          </w:p>
        </w:tc>
        <w:tc>
          <w:tcPr/>
          <w:p>
            <w:pPr>
              <w:pStyle w:val="Compact"/>
              <w:jc w:val="right"/>
            </w:pPr>
            <m:oMath>
              <m:r>
                <m:t>p</m:t>
              </m:r>
              <m:r>
                <m:rPr>
                  <m:sty m:val="p"/>
                </m:rPr>
                <m:t>=</m:t>
              </m:r>
              <m:r>
                <m:t>0.0005</m:t>
              </m:r>
            </m:oMath>
            <w:r>
              <w:t xml:space="preserve"> </w:t>
            </w:r>
            <w:r>
              <w:t xml:space="preserve">(2</w:t>
            </w:r>
            <w:r>
              <w:t xml:space="preserve">,</w:t>
            </w:r>
            <w:r>
              <w:t xml:space="preserve">000 perms)</w:t>
            </w:r>
          </w:p>
        </w:tc>
      </w:tr>
      <w:tr>
        <w:tc>
          <w:tcPr/>
          <w:p>
            <w:pPr>
              <w:pStyle w:val="Compact"/>
              <w:jc w:val="left"/>
            </w:pPr>
            <w:r>
              <w:t xml:space="preserve">Within- vs cross-provider agreement (band / letter)</w:t>
            </w:r>
          </w:p>
        </w:tc>
        <w:tc>
          <w:tcPr/>
          <w:p>
            <w:pPr>
              <w:pStyle w:val="Compact"/>
              <w:jc w:val="right"/>
            </w:pPr>
            <w:r>
              <w:t xml:space="preserve">82.5/64.4</w:t>
            </w:r>
            <w:r>
              <w:t xml:space="preserve"> </w:t>
            </w:r>
            <m:oMath>
              <m:r>
                <m:rPr>
                  <m:sty m:val="p"/>
                </m:rPr>
                <m:t>⋅</m:t>
              </m:r>
            </m:oMath>
            <w:r>
              <w:t xml:space="preserve"> </w:t>
            </w:r>
            <w:r>
              <w:t xml:space="preserve">30.4/11.1</w:t>
            </w:r>
          </w:p>
        </w:tc>
      </w:tr>
      <w:tr>
        <w:tc>
          <w:tcPr/>
          <w:p>
            <w:pPr>
              <w:pStyle w:val="Compact"/>
              <w:jc w:val="left"/>
            </w:pPr>
            <w:r>
              <w:t xml:space="preserve">Max chance-corrected agreement (Fleiss</w:t>
            </w:r>
            <w:r>
              <w:t xml:space="preserve"> </w:t>
            </w:r>
            <m:oMath>
              <m:r>
                <m:t>κ</m:t>
              </m:r>
            </m:oMath>
            <w:r>
              <w:t xml:space="preserve">, IG/HY)</w:t>
            </w:r>
          </w:p>
        </w:tc>
        <w:tc>
          <w:tcPr/>
          <w:p>
            <w:pPr>
              <w:pStyle w:val="Compact"/>
              <w:jc w:val="right"/>
            </w:pPr>
            <w:r>
              <w:t xml:space="preserve">0.49 (no scale</w:t>
            </w:r>
            <w:r>
              <w:t xml:space="preserve"> </w:t>
            </w:r>
            <m:oMath>
              <m:r>
                <m:rPr>
                  <m:sty m:val="p"/>
                </m:rPr>
                <m:t>≥</m:t>
              </m:r>
              <m:r>
                <m:t>0.6</m:t>
              </m:r>
            </m:oMath>
            <w:r>
              <w:t xml:space="preserve">)</w:t>
            </w:r>
          </w:p>
        </w:tc>
      </w:tr>
      <w:tr>
        <w:tc>
          <w:tcPr/>
          <w:p>
            <w:pPr>
              <w:pStyle w:val="Compact"/>
              <w:jc w:val="left"/>
            </w:pPr>
            <w:r>
              <w:t xml:space="preserve">Per-comparison IG/HY boundary flip</w:t>
            </w:r>
          </w:p>
        </w:tc>
        <w:tc>
          <w:tcPr/>
          <w:p>
            <w:pPr>
              <w:pStyle w:val="Compact"/>
              <w:jc w:val="right"/>
            </w:pPr>
            <w:r>
              <w:t xml:space="preserve">25.2% (95% CI 19.7–31.2%)</w:t>
            </w:r>
          </w:p>
        </w:tc>
      </w:tr>
    </w:tbl>
    <w:bookmarkEnd w:id="38"/>
    <w:bookmarkEnd w:id="39"/>
    <w:bookmarkStart w:id="41" w:name="sec:realarm"/>
    <w:p>
      <w:pPr>
        <w:pStyle w:val="Heading2"/>
      </w:pPr>
      <w:r>
        <w:rPr>
          <w:rStyle w:val="SectionNumber"/>
        </w:rPr>
        <w:t xml:space="preserve">3.6</w:t>
      </w:r>
      <w:r>
        <w:tab/>
      </w:r>
      <w:r>
        <w:t xml:space="preserve">Illustrative check on perturbed and fingerprint-screened real issuers</w:t>
      </w:r>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 problem. An LLM may recognize a company from publicly</w:t>
      </w:r>
      <w:r>
        <w:t xml:space="preserve"> </w:t>
      </w:r>
      <w:r>
        <w:t xml:space="preserve">available financial figures even when the company name is removed.</w:t>
      </w:r>
    </w:p>
    <w:p>
      <w:pPr>
        <w:pStyle w:val="BodyText"/>
      </w:pPr>
      <w:r>
        <w:t xml:space="preserve">We test this possibility, and then use the real issuers as an illustrative descriptive</w:t>
      </w:r>
      <w:r>
        <w:t xml:space="preserve"> </w:t>
      </w:r>
      <w:r>
        <w:t xml:space="preserve">check only, not as an external validation. Section 3.7 reports two pre-registered</w:t>
      </w:r>
      <w:r>
        <w:t xml:space="preserve"> </w:t>
      </w:r>
      <w:r>
        <w:t xml:space="preserve">decontamination experiments whose combined result requires that restriction. 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retained perturbed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rPr>
            <m:sty m:val="p"/>
          </m:rPr>
          <m:t>−</m:t>
        </m:r>
        <m:r>
          <m:t>0.091</m:t>
        </m:r>
      </m:oMath>
      <w:r>
        <w:t xml:space="preserve"> </w:t>
      </w:r>
      <w:r>
        <w:t xml:space="preserve">(95% CI</w:t>
      </w:r>
      <w:r>
        <w:t xml:space="preserve"> </w:t>
      </w:r>
      <m:oMath>
        <m:r>
          <m:rPr>
            <m:sty m:val="p"/>
          </m:rPr>
          <m:t>−</m:t>
        </m:r>
        <m:r>
          <m:t>0.213</m:t>
        </m:r>
      </m:oMath>
      <w:r>
        <w:t xml:space="preserve"> </w:t>
      </w:r>
      <w:r>
        <w:t xml:space="preserve">to</w:t>
      </w:r>
      <w:r>
        <w:t xml:space="preserve"> </w:t>
      </w:r>
      <m:oMath>
        <m:r>
          <m:t>0.032</m:t>
        </m:r>
      </m:oMath>
      <w:r>
        <w:t xml:space="preserve">, Table 4), not statistically distinguishable from zero. We treat this arm as an</w:t>
      </w:r>
      <w:r>
        <w:t xml:space="preserve"> </w:t>
      </w:r>
      <w:r>
        <w:t xml:space="preserve">illustrative descriptive real-issuer check, and specification variation is also observed</w:t>
      </w:r>
      <w:r>
        <w:t xml:space="preserve"> </w:t>
      </w:r>
      <w:r>
        <w:t xml:space="preserve">in the perturbed and fingerprint-screened real issuers under the same elicitation conditions, but the small sample (16 real, 15</w:t>
      </w:r>
      <w:r>
        <w:t xml:space="preserve"> </w:t>
      </w:r>
      <w:r>
        <w:t xml:space="preserve">battery WATCH observations) cannot establish that its magnitude equals the constructed battery’s.</w:t>
      </w:r>
    </w:p>
    <w:p>
      <w:pPr>
        <w:pStyle w:val="BodyText"/>
      </w:pPr>
      <w:r>
        <w:t xml:space="preserve">We also discuss the relevant concern that the perturbation-and-screening procedure or the selection of the external</w:t>
      </w:r>
      <w:r>
        <w:t xml:space="preserve"> </w:t>
      </w:r>
      <w:r>
        <w:t xml:space="preserve">benchmark may be driving the result. First, the per-issuer scaling is uniform, meaning all financial</w:t>
      </w:r>
      <w:r>
        <w:t xml:space="preserve"> </w:t>
      </w:r>
      <w:r>
        <w:t xml:space="preserve">ratios and the Altman Z</w:t>
      </w:r>
      <m:oMath>
        <m:r>
          <m:rPr>
            <m:sty m:val="p"/>
          </m:rPr>
          <m:t>″</m:t>
        </m:r>
      </m:oMath>
      <w:r>
        <w:t xml:space="preserve"> </w:t>
      </w:r>
      <w:r>
        <w:t xml:space="preserve">are invariant by construction (Z</w:t>
      </w:r>
      <m:oMath>
        <m:r>
          <m:rPr>
            <m:sty m:val="p"/>
          </m:rPr>
          <m:t>″</m:t>
        </m:r>
      </m:oMath>
      <w:r>
        <w:t xml:space="preserve"> </w:t>
      </w:r>
      <w:r>
        <w:t xml:space="preserve">transformed-vs-original correlation</w:t>
      </w:r>
      <w:r>
        <w:t xml:space="preserve"> </w:t>
      </w:r>
      <m:oMath>
        <m:r>
          <m:t>1.000000</m:t>
        </m:r>
      </m:oMath>
      <w:r>
        <w:t xml:space="preserve">,</w:t>
      </w:r>
      <w:r>
        <w:t xml:space="preserve"> </w:t>
      </w:r>
      <m:oMath>
        <m:r>
          <m:t>100</m:t>
        </m:r>
        <m:r>
          <m:rPr>
            <m:sty m:val="p"/>
          </m:rPr>
          <m:t>%</m:t>
        </m:r>
      </m:oMath>
      <w:r>
        <w:t xml:space="preserve"> </w:t>
      </w:r>
      <w:r>
        <w:t xml:space="preserve">of issuers retain their original stratum), and the realized scale factors, which span</w:t>
      </w:r>
      <w:r>
        <w:t xml:space="preserve"> </w:t>
      </w:r>
      <w:r>
        <w:t xml:space="preserve">the full pre-registered</w:t>
      </w:r>
      <w:r>
        <w:t xml:space="preserve"> </w:t>
      </w:r>
      <m:oMath>
        <m:r>
          <m:rPr>
            <m:sty m:val="p"/>
          </m:rPr>
          <m:t>[</m:t>
        </m:r>
        <m:r>
          <m:t>0.6</m:t>
        </m:r>
        <m:r>
          <m:rPr>
            <m:sty m:val="p"/>
          </m:rPr>
          <m:t>,</m:t>
        </m:r>
        <m:r>
          <m:t>1.7</m:t>
        </m:r>
        <m:r>
          <m:rPr>
            <m:sty m:val="p"/>
          </m:rPr>
          <m:t>]</m:t>
        </m:r>
      </m:oMath>
      <w:r>
        <w:t xml:space="preserve"> </w:t>
      </w:r>
      <w:r>
        <w:t xml:space="preserve">range across the 31 issuers, are not analysed against per-issuer instability here, and because each issuer received a single scale draw, scale cannot be separated from issuer identity in this comparison; Section 3.7 instead tests scale within issuer. Second, using the disclosed agency ratings as an external benchmark not used to</w:t>
      </w:r>
      <w:r>
        <w:t xml:space="preserve"> </w:t>
      </w:r>
      <w:r>
        <w:t xml:space="preserve">construct the profiles, per-specification credit-band accuracy on the real issuers (the SAFE and WATCH</w:t>
      </w:r>
      <w:r>
        <w:t xml:space="preserve"> </w:t>
      </w:r>
      <w:r>
        <w:t xml:space="preserve">strata, i.e. 30 of the 31 issuers, the single DISTRESS issuer is a singleton excluded from this</w:t>
      </w:r>
      <w:r>
        <w:t xml:space="preserve"> </w:t>
      </w:r>
      <w:r>
        <w:t xml:space="preserve">three-band accuracy comparison) ranges from</w:t>
      </w:r>
      <w:r>
        <w:t xml:space="preserve"> </w:t>
      </w:r>
      <m:oMath>
        <m:r>
          <m:t>42.2</m:t>
        </m:r>
        <m:r>
          <m:rPr>
            <m:sty m:val="p"/>
          </m:rPr>
          <m:t>%</m:t>
        </m:r>
      </m:oMath>
      <w:r>
        <w:t xml:space="preserve"> </w:t>
      </w:r>
      <w:r>
        <w:t xml:space="preserve">to</w:t>
      </w:r>
      <w:r>
        <w:t xml:space="preserve"> </w:t>
      </w:r>
      <m:oMath>
        <m:r>
          <m:t>61.1</m:t>
        </m:r>
        <m:r>
          <m:rPr>
            <m:sty m:val="p"/>
          </m:rPr>
          <m:t>%</m:t>
        </m:r>
      </m:oMath>
      <w:r>
        <w:t xml:space="preserve"> </w:t>
      </w:r>
      <w:r>
        <w:t xml:space="preserve">across the 12 specifications (mean</w:t>
      </w:r>
      <w:r>
        <w:t xml:space="preserve"> </w:t>
      </w:r>
      <m:oMath>
        <m:r>
          <m:t>53.7</m:t>
        </m:r>
        <m:r>
          <m:rPr>
            <m:sty m:val="p"/>
          </m:rPr>
          <m:t>%</m:t>
        </m:r>
      </m:oMath>
      <w:r>
        <w:t xml:space="preserve">); an issuer-preserving permutation test (specification</w:t>
      </w:r>
      <w:r>
        <w:t xml:space="preserve"> </w:t>
      </w:r>
      <w:r>
        <w:t xml:space="preserve">labels permuted within issuer) finds this between-specification spread beyond chance. Per-specification agreement with the external agency benchmark therefore varies across the evaluated specifications (</w:t>
      </w:r>
      <m:oMath>
        <m:r>
          <m:t>p</m:t>
        </m:r>
        <m:r>
          <m:rPr>
            <m:sty m:val="p"/>
          </m:rPr>
          <m:t>=</m:t>
        </m:r>
        <m:r>
          <m:t>0.021</m:t>
        </m:r>
      </m:oMath>
      <w:r>
        <w:t xml:space="preserve">). This is a within-issuer specification contrast and is not</w:t>
      </w:r>
      <w:r>
        <w:t xml:space="preserve"> </w:t>
      </w:r>
      <w:r>
        <w:t xml:space="preserve">interpreted as evidence of rating accuracy. Machine-generated credit bands correspond to disclosed agency ratings</w:t>
      </w:r>
      <w:r>
        <w:t xml:space="preserve"> </w:t>
      </w:r>
      <m:oMath>
        <m:r>
          <m:t>53.7</m:t>
        </m:r>
        <m:r>
          <m:rPr>
            <m:sty m:val="p"/>
          </m:rPr>
          <m:t>%</m:t>
        </m:r>
      </m:oMath>
      <w:r>
        <w:t xml:space="preserve"> </w:t>
      </w:r>
      <w:r>
        <w:t xml:space="preserve">of the time. The correct reference for that figure is not the uniform three-class value of</w:t>
      </w:r>
      <w:r>
        <w:t xml:space="preserve"> </w:t>
      </w:r>
      <m:oMath>
        <m:r>
          <m:t>33.3</m:t>
        </m:r>
        <m:r>
          <m:rPr>
            <m:sty m:val="p"/>
          </m:rPr>
          <m:t>%</m:t>
        </m:r>
      </m:oMath>
      <w:r>
        <w:t xml:space="preserve">: both margins are concentrated in two bands. The machine assigns SAFE</w:t>
      </w:r>
      <w:r>
        <w:t xml:space="preserve"> </w:t>
      </w:r>
      <m:oMath>
        <m:r>
          <m:t>54.7</m:t>
        </m:r>
        <m:r>
          <m:rPr>
            <m:sty m:val="p"/>
          </m:rPr>
          <m:t>%</m:t>
        </m:r>
      </m:oMath>
      <w:r>
        <w:t xml:space="preserve"> </w:t>
      </w:r>
      <w:r>
        <w:t xml:space="preserve">and WATCH</w:t>
      </w:r>
      <w:r>
        <w:t xml:space="preserve"> </w:t>
      </w:r>
      <m:oMath>
        <m:r>
          <m:t>43.7</m:t>
        </m:r>
        <m:r>
          <m:rPr>
            <m:sty m:val="p"/>
          </m:rPr>
          <m:t>%</m:t>
        </m:r>
      </m:oMath>
      <w:r>
        <w:t xml:space="preserve"> </w:t>
      </w:r>
      <w:r>
        <w:t xml:space="preserve">of the time, the agency benchmark</w:t>
      </w:r>
      <w:r>
        <w:t xml:space="preserve"> </w:t>
      </w:r>
      <m:oMath>
        <m:r>
          <m:t>46.7</m:t>
        </m:r>
        <m:r>
          <m:rPr>
            <m:sty m:val="p"/>
          </m:rPr>
          <m:t>%</m:t>
        </m:r>
      </m:oMath>
      <w:r>
        <w:t xml:space="preserve"> </w:t>
      </w:r>
      <w:r>
        <w:t xml:space="preserve">and</w:t>
      </w:r>
      <w:r>
        <w:t xml:space="preserve"> </w:t>
      </w:r>
      <m:oMath>
        <m:r>
          <m:t>53.3</m:t>
        </m:r>
        <m:r>
          <m:rPr>
            <m:sty m:val="p"/>
          </m:rPr>
          <m:t>%</m:t>
        </m:r>
      </m:oMath>
      <w:r>
        <w:t xml:space="preserve">, so the agreement expected from</w:t>
      </w:r>
      <w:r>
        <w:t xml:space="preserve"> </w:t>
      </w:r>
      <w:r>
        <w:t xml:space="preserve">independent draws with these margins is</w:t>
      </w:r>
      <w:r>
        <w:t xml:space="preserve"> </w:t>
      </w:r>
      <m:oMath>
        <m:nary>
          <m:naryPr>
            <m:chr m:val="∑"/>
            <m:limLoc m:val="undOvr"/>
            <m:subHide m:val="off"/>
            <m:supHide m:val="on"/>
          </m:naryPr>
          <m:sub>
            <m:r>
              <m:t>c</m:t>
            </m:r>
          </m:sub>
          <m:sup>
            <m:r>
              <m:t>​</m:t>
            </m:r>
          </m:sup>
          <m:e>
            <m:sSub>
              <m:e>
                <m:r>
                  <m:t>p</m:t>
                </m:r>
              </m:e>
              <m:sub>
                <m:r>
                  <m:rPr>
                    <m:sty m:val="p"/>
                  </m:rPr>
                  <m:t>m</m:t>
                </m:r>
                <m:r>
                  <m:rPr>
                    <m:sty m:val="p"/>
                  </m:rPr>
                  <m:t>a</m:t>
                </m:r>
                <m:r>
                  <m:rPr>
                    <m:sty m:val="p"/>
                  </m:rPr>
                  <m:t>c</m:t>
                </m:r>
                <m:r>
                  <m:rPr>
                    <m:sty m:val="p"/>
                  </m:rPr>
                  <m:t>h</m:t>
                </m:r>
                <m:r>
                  <m:rPr>
                    <m:sty m:val="p"/>
                  </m:rPr>
                  <m:t>i</m:t>
                </m:r>
                <m:r>
                  <m:rPr>
                    <m:sty m:val="p"/>
                  </m:rPr>
                  <m:t>n</m:t>
                </m:r>
                <m:r>
                  <m:rPr>
                    <m:sty m:val="p"/>
                  </m:rPr>
                  <m:t>e</m:t>
                </m:r>
              </m:sub>
            </m:sSub>
          </m:e>
        </m:nary>
        <m:r>
          <m:rPr>
            <m:sty m:val="p"/>
          </m:rPr>
          <m:t>(</m:t>
        </m:r>
        <m:r>
          <m:t>c</m:t>
        </m:r>
        <m:r>
          <m:rPr>
            <m:sty m:val="p"/>
          </m:rPr>
          <m:t>)</m:t>
        </m:r>
        <m:r>
          <m:t> </m:t>
        </m:r>
        <m:sSub>
          <m:e>
            <m:r>
              <m:t>p</m:t>
            </m:r>
          </m:e>
          <m:sub>
            <m:r>
              <m:rPr>
                <m:sty m:val="p"/>
              </m:rPr>
              <m:t>a</m:t>
            </m:r>
            <m:r>
              <m:rPr>
                <m:sty m:val="p"/>
              </m:rPr>
              <m:t>g</m:t>
            </m:r>
            <m:r>
              <m:rPr>
                <m:sty m:val="p"/>
              </m:rPr>
              <m:t>e</m:t>
            </m:r>
            <m:r>
              <m:rPr>
                <m:sty m:val="p"/>
              </m:rPr>
              <m:t>n</m:t>
            </m:r>
            <m:r>
              <m:rPr>
                <m:sty m:val="p"/>
              </m:rPr>
              <m:t>c</m:t>
            </m:r>
            <m:r>
              <m:rPr>
                <m:sty m:val="p"/>
              </m:rPr>
              <m:t>y</m:t>
            </m:r>
          </m:sub>
        </m:sSub>
        <m:r>
          <m:rPr>
            <m:sty m:val="p"/>
          </m:rPr>
          <m:t>(</m:t>
        </m:r>
        <m:r>
          <m:t>c</m:t>
        </m:r>
        <m:r>
          <m:rPr>
            <m:sty m:val="p"/>
          </m:rPr>
          <m:t>)</m:t>
        </m:r>
        <m:r>
          <m:rPr>
            <m:sty m:val="p"/>
          </m:rPr>
          <m:t>=</m:t>
        </m:r>
        <m:r>
          <m:t>48.9</m:t>
        </m:r>
        <m:r>
          <m:rPr>
            <m:sty m:val="p"/>
          </m:rPr>
          <m:t>%</m:t>
        </m:r>
      </m:oMath>
      <w:r>
        <w:t xml:space="preserve">.</w:t>
      </w:r>
      <w:r>
        <w:t xml:space="preserve"> </w:t>
      </w:r>
      <w:r>
        <w:t xml:space="preserve">Measured against that baseline the excess is</w:t>
      </w:r>
      <w:r>
        <w:t xml:space="preserve"> </w:t>
      </w:r>
      <m:oMath>
        <m:r>
          <m:rPr>
            <m:sty m:val="p"/>
          </m:rPr>
          <m:t>+</m:t>
        </m:r>
        <m:r>
          <m:t>4.9</m:t>
        </m:r>
      </m:oMath>
      <w:r>
        <w:t xml:space="preserve"> </w:t>
      </w:r>
      <w:r>
        <w:t xml:space="preserve">percentage points with an issuer-clustered</w:t>
      </w:r>
      <w:r>
        <w:t xml:space="preserve"> </w:t>
      </w:r>
      <w:r>
        <w:t xml:space="preserve">95% interval of</w:t>
      </w:r>
      <w:r>
        <w:t xml:space="preserve"> </w:t>
      </w:r>
      <m:oMath>
        <m:r>
          <m:rPr>
            <m:sty m:val="p"/>
          </m:rPr>
          <m:t>(</m:t>
        </m:r>
        <m:r>
          <m:rPr>
            <m:sty m:val="p"/>
          </m:rPr>
          <m:t>−</m:t>
        </m:r>
        <m:r>
          <m:t>7.9</m:t>
        </m:r>
        <m:r>
          <m:rPr>
            <m:sty m:val="p"/>
          </m:rPr>
          <m:t>,</m:t>
        </m:r>
        <m:r>
          <m:t> </m:t>
        </m:r>
        <m:r>
          <m:rPr>
            <m:sty m:val="p"/>
          </m:rPr>
          <m:t>+</m:t>
        </m:r>
        <m:r>
          <m:t>17.1</m:t>
        </m:r>
        <m:r>
          <m:rPr>
            <m:sty m:val="p"/>
          </m:rPr>
          <m:t>)</m:t>
        </m:r>
      </m:oMath>
      <w:r>
        <w:t xml:space="preserve">, and Cohen’s</w:t>
      </w:r>
      <w:r>
        <w:t xml:space="preserve"> </w:t>
      </w:r>
      <m:oMath>
        <m:r>
          <m:t>κ</m:t>
        </m:r>
      </m:oMath>
      <w:r>
        <w:t xml:space="preserve"> </w:t>
      </w:r>
      <w:r>
        <w:t xml:space="preserve">is</w:t>
      </w:r>
      <w:r>
        <w:t xml:space="preserve"> </w:t>
      </w:r>
      <m:oMath>
        <m:r>
          <m:t>0.095</m:t>
        </m:r>
      </m:oMath>
      <w:r>
        <w:t xml:space="preserve">.</w:t>
      </w:r>
      <w:r>
        <w:t xml:space="preserve"> </w:t>
      </w:r>
      <w:r>
        <w:rPr>
          <w:b/>
          <w:bCs/>
        </w:rPr>
        <w:t xml:space="preserve">Machine bands are</w:t>
      </w:r>
      <w:r>
        <w:rPr>
          <w:b/>
          <w:bCs/>
        </w:rPr>
        <w:t xml:space="preserve"> </w:t>
      </w:r>
      <w:r>
        <w:rPr>
          <w:b/>
          <w:bCs/>
        </w:rPr>
        <w:t xml:space="preserve">therefore not distinguishable from chance agreement with the agency benchmark once the observed</w:t>
      </w:r>
      <w:r>
        <w:rPr>
          <w:b/>
          <w:bCs/>
        </w:rPr>
        <w:t xml:space="preserve"> </w:t>
      </w:r>
      <w:r>
        <w:rPr>
          <w:b/>
          <w:bCs/>
        </w:rPr>
        <w:t xml:space="preserve">margins are accounted for</w:t>
      </w:r>
      <w:r>
        <w:t xml:space="preserve">, and we draw no accuracy claim from this comparison. What the real-firm</w:t>
      </w:r>
      <w:r>
        <w:t xml:space="preserve"> </w:t>
      </w:r>
      <w:r>
        <w:t xml:space="preserve">arm is used for is the</w:t>
      </w:r>
      <w:r>
        <w:t xml:space="preserve"> </w:t>
      </w:r>
      <w:r>
        <w:rPr>
          <w:i/>
          <w:iCs/>
        </w:rPr>
        <w:t xml:space="preserve">specification spread</w:t>
      </w:r>
      <w:r>
        <w:t xml:space="preserve"> </w:t>
      </w:r>
      <w:r>
        <w:t xml:space="preserve">reported above, which is a within-issuer</w:t>
      </w:r>
      <w:r>
        <w:t xml:space="preserve"> </w:t>
      </w:r>
      <w:r>
        <w:t xml:space="preserve">contrast and does not depend on the level of agreement.</w:t>
      </w:r>
    </w:p>
    <w:bookmarkStart w:id="40" w:name="tab:realarm"/>
    <w:p>
      <w:pPr>
        <w:pStyle w:val="TableCaption"/>
      </w:pPr>
      <w:r>
        <w:t xml:space="preserve">Real-firm arm: 31 perturbed and fingerprint-screened business-to-business issuers, agency-rating benchmark.</w:t>
      </w:r>
      <w:r>
        <w:t xml:space="preserve"> </w:t>
      </w:r>
      <w:r>
        <w:t xml:space="preserve">Parenthetical values are 95% confidence intervals (issuer-clustered percentile bootstrap).</w:t>
      </w:r>
    </w:p>
    <w:tbl>
      <w:tblPr>
        <w:tblStyle w:val="Table"/>
        <w:tblW w:type="auto" w:w="0"/>
        <w:tblLook w:firstRow="1" w:lastRow="0" w:firstColumn="0" w:lastColumn="0" w:noHBand="0" w:noVBand="0" w:val="0020"/>
        <w:tblCaption w:val="Real-firm arm: 31 perturbed and fingerprint-screened business-to-business issuers, agency-rating benchmark. Parenthetical values are 95% confidence intervals (issuer-clustered percentile bootstrap)."/>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Fingerprint identification, naive (exact figures)</w:t>
            </w:r>
          </w:p>
        </w:tc>
        <w:tc>
          <w:tcPr/>
          <w:p>
            <w:pPr>
              <w:pStyle w:val="Compact"/>
              <w:jc w:val="right"/>
            </w:pPr>
            <w:r>
              <w:t xml:space="preserve">22%</w:t>
            </w:r>
          </w:p>
        </w:tc>
      </w:tr>
      <w:tr>
        <w:tc>
          <w:tcPr/>
          <w:p>
            <w:pPr>
              <w:pStyle w:val="Compact"/>
              <w:jc w:val="left"/>
            </w:pPr>
            <w:r>
              <w:t xml:space="preserve">Fingerprint identification, after perturbation and screening</w:t>
            </w:r>
          </w:p>
        </w:tc>
        <w:tc>
          <w:tcPr/>
          <w:p>
            <w:pPr>
              <w:pStyle w:val="Compact"/>
              <w:jc w:val="right"/>
            </w:pPr>
            <w:r>
              <w:t xml:space="preserve">2.9%</w:t>
            </w:r>
          </w:p>
        </w:tc>
      </w:tr>
      <w:tr>
        <w:tc>
          <w:tcPr/>
          <w:p>
            <w:pPr>
              <w:pStyle w:val="Compact"/>
              <w:jc w:val="left"/>
            </w:pPr>
            <w:r>
              <w:t xml:space="preserve">WATCH-stratum flip-share, real arm</w:t>
            </w:r>
          </w:p>
        </w:tc>
        <w:tc>
          <w:tcPr/>
          <w:p>
            <w:pPr>
              <w:pStyle w:val="Compact"/>
              <w:jc w:val="right"/>
            </w:pPr>
            <w:r>
              <w:t xml:space="preserve">0.226 (0.147–0.308)</w:t>
            </w:r>
          </w:p>
        </w:tc>
      </w:tr>
      <w:tr>
        <w:tc>
          <w:tcPr/>
          <w:p>
            <w:pPr>
              <w:pStyle w:val="Compact"/>
              <w:jc w:val="left"/>
            </w:pPr>
            <w:r>
              <w:t xml:space="preserve">WATCH-stratum flip-share, battery (same 12 specs)</w:t>
            </w:r>
          </w:p>
        </w:tc>
        <w:tc>
          <w:tcPr/>
          <w:p>
            <w:pPr>
              <w:pStyle w:val="Compact"/>
              <w:jc w:val="right"/>
            </w:pPr>
            <w:r>
              <w:t xml:space="preserve">0.318 (0.223–0.406)</w:t>
            </w:r>
          </w:p>
        </w:tc>
      </w:tr>
      <w:tr>
        <w:tc>
          <w:tcPr/>
          <w:p>
            <w:pPr>
              <w:pStyle w:val="Compact"/>
              <w:jc w:val="left"/>
            </w:pPr>
            <w:r>
              <w:t xml:space="preserve">Difference (real</w:t>
            </w:r>
            <w:r>
              <w:t xml:space="preserve"> </w:t>
            </w:r>
            <m:oMath>
              <m:r>
                <m:rPr>
                  <m:sty m:val="p"/>
                </m:rPr>
                <m:t>−</m:t>
              </m:r>
            </m:oMath>
            <w:r>
              <w:t xml:space="preserve"> </w:t>
            </w:r>
            <w:r>
              <w:t xml:space="preserve">battery), 95% CI</w:t>
            </w:r>
          </w:p>
        </w:tc>
        <w:tc>
          <w:tcPr/>
          <w:p>
            <w:pPr>
              <w:pStyle w:val="Compact"/>
              <w:jc w:val="right"/>
            </w:pPr>
            <m:oMath>
              <m:r>
                <m:rPr>
                  <m:sty m:val="p"/>
                </m:rPr>
                <m:t>−</m:t>
              </m:r>
              <m:r>
                <m:t>0.091</m:t>
              </m:r>
            </m:oMath>
            <w:r>
              <w:t xml:space="preserve"> </w:t>
            </w:r>
            <w:r>
              <w:t xml:space="preserve">(</w:t>
            </w:r>
            <m:oMath>
              <m:r>
                <m:rPr>
                  <m:sty m:val="p"/>
                </m:rPr>
                <m:t>−</m:t>
              </m:r>
              <m:r>
                <m:t>0.213</m:t>
              </m:r>
            </m:oMath>
            <w:r>
              <w:t xml:space="preserve">,</w:t>
            </w:r>
            <w:r>
              <w:t xml:space="preserve"> </w:t>
            </w:r>
            <m:oMath>
              <m:r>
                <m:t>0.032</m:t>
              </m:r>
            </m:oMath>
            <w:r>
              <w:t xml:space="preserve">)</w:t>
            </w:r>
          </w:p>
        </w:tc>
      </w:tr>
      <w:tr>
        <w:tc>
          <w:tcPr/>
          <w:p>
            <w:pPr>
              <w:pStyle w:val="Compact"/>
              <w:jc w:val="left"/>
            </w:pPr>
            <w:r>
              <w:t xml:space="preserve">external-benchmark spec. curve, per-spec accuracy range</w:t>
            </w:r>
          </w:p>
        </w:tc>
        <w:tc>
          <w:tcPr/>
          <w:p>
            <w:pPr>
              <w:pStyle w:val="Compact"/>
              <w:jc w:val="right"/>
            </w:pPr>
            <w:r>
              <w:t xml:space="preserve">42.2–61.1% (spread perm.</w:t>
            </w:r>
            <w:r>
              <w:t xml:space="preserve"> </w:t>
            </w:r>
            <m:oMath>
              <m:r>
                <m:t>p</m:t>
              </m:r>
              <m:r>
                <m:rPr>
                  <m:sty m:val="p"/>
                </m:rPr>
                <m:t>=</m:t>
              </m:r>
              <m:r>
                <m:t>0.021</m:t>
              </m:r>
            </m:oMath>
            <w:r>
              <w:t xml:space="preserve">)</w:t>
            </w:r>
          </w:p>
        </w:tc>
      </w:tr>
      <w:tr>
        <w:tc>
          <w:tcPr/>
          <w:p>
            <w:pPr>
              <w:pStyle w:val="Compact"/>
              <w:jc w:val="left"/>
            </w:pPr>
            <w:r>
              <w:t xml:space="preserve">Interpretation</w:t>
            </w:r>
          </w:p>
        </w:tc>
        <w:tc>
          <w:tcPr/>
          <w:p>
            <w:pPr>
              <w:pStyle w:val="Compact"/>
              <w:jc w:val="right"/>
            </w:pPr>
            <w:r>
              <w:t xml:space="preserve">illustrative descriptive real-issuer check</w:t>
            </w:r>
          </w:p>
        </w:tc>
      </w:tr>
      <w:tr>
        <w:tc>
          <w:tcPr/>
          <w:p>
            <w:pPr>
              <w:pStyle w:val="Compact"/>
              <w:jc w:val="left"/>
            </w:pPr>
            <w:r>
              <w:t xml:space="preserve">Machine band vs. disclosed agency rating (descriptive)</w:t>
            </w:r>
          </w:p>
        </w:tc>
        <w:tc>
          <w:tcPr/>
          <w:p>
            <w:pPr>
              <w:pStyle w:val="Compact"/>
              <w:jc w:val="right"/>
            </w:pPr>
            <w:r>
              <w:t xml:space="preserve">53.7%</w:t>
            </w:r>
          </w:p>
        </w:tc>
      </w:tr>
      <w:tr>
        <w:tc>
          <w:tcPr/>
          <w:p>
            <w:pPr>
              <w:pStyle w:val="Compact"/>
              <w:jc w:val="left"/>
            </w:pPr>
            <w:r>
              <w:t xml:space="preserve">marginal-matching chance baseline</w:t>
            </w:r>
          </w:p>
        </w:tc>
        <w:tc>
          <w:tcPr/>
          <w:p>
            <w:pPr>
              <w:pStyle w:val="Compact"/>
              <w:jc w:val="right"/>
            </w:pPr>
            <w:r>
              <w:t xml:space="preserve">48.9%</w:t>
            </w:r>
          </w:p>
        </w:tc>
      </w:tr>
      <w:tr>
        <w:tc>
          <w:tcPr/>
          <w:p>
            <w:pPr>
              <w:pStyle w:val="Compact"/>
              <w:jc w:val="left"/>
            </w:pPr>
            <w:r>
              <w:t xml:space="preserve">excess over that baseline, 95% CI</w:t>
            </w:r>
          </w:p>
        </w:tc>
        <w:tc>
          <w:tcPr/>
          <w:p>
            <w:pPr>
              <w:pStyle w:val="Compact"/>
              <w:jc w:val="right"/>
            </w:pPr>
            <m:oMath>
              <m:r>
                <m:rPr>
                  <m:sty m:val="p"/>
                </m:rPr>
                <m:t>+</m:t>
              </m:r>
              <m:r>
                <m:t>4.9</m:t>
              </m:r>
            </m:oMath>
            <w:r>
              <w:t xml:space="preserve">pp (</w:t>
            </w:r>
            <m:oMath>
              <m:r>
                <m:rPr>
                  <m:sty m:val="p"/>
                </m:rPr>
                <m:t>−</m:t>
              </m:r>
              <m:r>
                <m:t>7.9</m:t>
              </m:r>
            </m:oMath>
            <w:r>
              <w:t xml:space="preserve">,</w:t>
            </w:r>
            <w:r>
              <w:t xml:space="preserve"> </w:t>
            </w:r>
            <m:oMath>
              <m:r>
                <m:rPr>
                  <m:sty m:val="p"/>
                </m:rPr>
                <m:t>+</m:t>
              </m:r>
              <m:r>
                <m:t>17.1</m:t>
              </m:r>
            </m:oMath>
            <w:r>
              <w:t xml:space="preserve">);</w:t>
            </w:r>
            <w:r>
              <w:t xml:space="preserve"> </w:t>
            </w:r>
            <m:oMath>
              <m:r>
                <m:t>κ</m:t>
              </m:r>
              <m:r>
                <m:rPr>
                  <m:sty m:val="p"/>
                </m:rPr>
                <m:t>=</m:t>
              </m:r>
              <m:r>
                <m:t>0.095</m:t>
              </m:r>
            </m:oMath>
          </w:p>
        </w:tc>
      </w:tr>
    </w:tbl>
    <w:bookmarkEnd w:id="40"/>
    <w:bookmarkEnd w:id="41"/>
    <w:bookmarkStart w:id="43" w:name="sec:decontam"/>
    <w:p>
      <w:pPr>
        <w:pStyle w:val="Heading2"/>
      </w:pPr>
      <w:r>
        <w:rPr>
          <w:rStyle w:val="SectionNumber"/>
        </w:rPr>
        <w:t xml:space="preserve">3.7</w:t>
      </w:r>
      <w:r>
        <w:tab/>
      </w:r>
      <w:r>
        <w:t xml:space="preserve">Decontamination of the real-issuer arm: two pre-registered experiments</w:t>
      </w:r>
    </w:p>
    <w:p>
      <w:pPr>
        <w:pStyle w:val="FirstParagraph"/>
      </w:pPr>
      <w:r>
        <w:t xml:space="preserve">Screening the real-issuer arm for</w:t>
      </w:r>
      <w:r>
        <w:t xml:space="preserve"> </w:t>
      </w:r>
      <w:r>
        <w:rPr>
          <w:i/>
          <w:iCs/>
        </w:rPr>
        <w:t xml:space="preserve">exact-figure</w:t>
      </w:r>
      <w:r>
        <w:t xml:space="preserve"> </w:t>
      </w:r>
      <w:r>
        <w:t xml:space="preserve">recall and applying one per-issuer scale draw leaves two distinct objections unaddressed. A uniform scaling preserves</w:t>
      </w:r>
      <w:r>
        <w:t xml:space="preserve"> </w:t>
      </w:r>
      <w:r>
        <w:t xml:space="preserve">every financial ratio by construction, so the</w:t>
      </w:r>
      <w:r>
        <w:t xml:space="preserve"> </w:t>
      </w:r>
      <w:r>
        <w:rPr>
          <w:i/>
          <w:iCs/>
        </w:rPr>
        <w:t xml:space="preserve">ratio pattern</w:t>
      </w:r>
      <w:r>
        <w:t xml:space="preserve"> </w:t>
      </w:r>
      <w:r>
        <w:t xml:space="preserve">may itself identify the issuer,</w:t>
      </w:r>
      <w:r>
        <w:t xml:space="preserve"> </w:t>
      </w:r>
      <w:r>
        <w:t xml:space="preserve">and with one draw per issuer the scale factor is confounded with issuer identity. We therefore</w:t>
      </w:r>
      <w:r>
        <w:t xml:space="preserve"> </w:t>
      </w:r>
      <w:r>
        <w:t xml:space="preserve">pre-registered and ran two experiments, hashing the specification before any call</w:t>
      </w:r>
      <w:r>
        <w:t xml:space="preserve"> </w:t>
      </w:r>
      <w:r>
        <w:t xml:space="preserve">(</w:t>
      </w:r>
      <w:r>
        <w:rPr>
          <w:rStyle w:val="VerbatimChar"/>
        </w:rPr>
        <w:t xml:space="preserve">SPEC_r3_realarm_experiments.md</w:t>
      </w:r>
      <w:r>
        <w:t xml:space="preserve">, deposited with the archive). In total 1</w:t>
      </w:r>
      <w:r>
        <w:t xml:space="preserve">,</w:t>
      </w:r>
      <w:r>
        <w:t xml:space="preserve">364 new elicitations across</w:t>
      </w:r>
      <w:r>
        <w:t xml:space="preserve"> </w:t>
      </w:r>
      <w:r>
        <w:t xml:space="preserve">both providers, of which 1</w:t>
      </w:r>
      <w:r>
        <w:t xml:space="preserve">,</w:t>
      </w:r>
      <w:r>
        <w:t xml:space="preserve">361 returned substantive content (three empty completions, all on one</w:t>
      </w:r>
      <w:r>
        <w:t xml:space="preserve"> </w:t>
      </w:r>
      <w:r>
        <w:t xml:space="preserve">provider, are dropped listwise as in the main corpus). Table 5 reports both at their value, and they point in opposite</w:t>
      </w:r>
      <w:r>
        <w:t xml:space="preserve"> </w:t>
      </w:r>
      <w:r>
        <w:t xml:space="preserve">directions.</w:t>
      </w:r>
    </w:p>
    <w:p>
      <w:pPr>
        <w:pStyle w:val="BodyText"/>
      </w:pPr>
      <w:r>
        <w:t xml:space="preserve">Experiment B returns a null. Re-eliciting every issuer at scale factors</w:t>
      </w:r>
      <w:r>
        <w:t xml:space="preserve"> </w:t>
      </w:r>
      <m:oMath>
        <m:r>
          <m:t>0.6</m:t>
        </m:r>
      </m:oMath>
      <w:r>
        <w:t xml:space="preserve">,</w:t>
      </w:r>
      <w:r>
        <w:t xml:space="preserve"> </w:t>
      </w:r>
      <m:oMath>
        <m:r>
          <m:t>1.0</m:t>
        </m:r>
      </m:oMath>
      <w:r>
        <w:t xml:space="preserve"> </w:t>
      </w:r>
      <w:r>
        <w:t xml:space="preserve">and</w:t>
      </w:r>
      <w:r>
        <w:t xml:space="preserve"> </w:t>
      </w:r>
      <m:oMath>
        <m:r>
          <m:t>1.7</m:t>
        </m:r>
      </m:oMath>
      <w:r>
        <w:t xml:space="preserve"> </w:t>
      </w:r>
      <w:r>
        <w:t xml:space="preserve">on the same frozen 12-specification grid makes scale vary</w:t>
      </w:r>
      <w:r>
        <w:t xml:space="preserve"> </w:t>
      </w:r>
      <w:r>
        <w:rPr>
          <w:i/>
          <w:iCs/>
        </w:rPr>
        <w:t xml:space="preserve">within</w:t>
      </w:r>
      <w:r>
        <w:t xml:space="preserve"> </w:t>
      </w:r>
      <w:r>
        <w:t xml:space="preserve">issuer, so each issuer is its own control. The three conditions are multiples of the arm’s</w:t>
      </w:r>
      <w:r>
        <w:t xml:space="preserve"> </w:t>
      </w:r>
      <w:r>
        <w:rPr>
          <w:i/>
          <w:iCs/>
        </w:rPr>
        <w:t xml:space="preserve">already perturbed</w:t>
      </w:r>
      <w:r>
        <w:t xml:space="preserve"> </w:t>
      </w:r>
      <w:r>
        <w:t xml:space="preserve">figures, not of the original filings: the frozen battery applies a</w:t>
      </w:r>
      <w:r>
        <w:t xml:space="preserve"> </w:t>
      </w:r>
      <w:r>
        <w:t xml:space="preserve">per-issuer</w:t>
      </w:r>
      <w:r>
        <w:t xml:space="preserve"> </w:t>
      </w:r>
      <m:oMath>
        <m:r>
          <m:rPr>
            <m:sty m:val="p"/>
          </m:rPr>
          <m:t>L</m:t>
        </m:r>
        <m:r>
          <m:rPr>
            <m:sty m:val="p"/>
          </m:rPr>
          <m:t>o</m:t>
        </m:r>
        <m:r>
          <m:rPr>
            <m:sty m:val="p"/>
          </m:rPr>
          <m:t>g</m:t>
        </m:r>
        <m:r>
          <m:rPr>
            <m:sty m:val="p"/>
          </m:rPr>
          <m:t>U</m:t>
        </m:r>
        <m:r>
          <m:rPr>
            <m:sty m:val="p"/>
          </m:rPr>
          <m:t>n</m:t>
        </m:r>
        <m:r>
          <m:rPr>
            <m:sty m:val="p"/>
          </m:rPr>
          <m:t>i</m:t>
        </m:r>
        <m:r>
          <m:rPr>
            <m:sty m:val="p"/>
          </m:rPr>
          <m:t>f</m:t>
        </m:r>
        <m:r>
          <m:rPr>
            <m:sty m:val="p"/>
          </m:rPr>
          <m:t>o</m:t>
        </m:r>
        <m:r>
          <m:rPr>
            <m:sty m:val="p"/>
          </m:rPr>
          <m:t>r</m:t>
        </m:r>
        <m:r>
          <m:rPr>
            <m:sty m:val="p"/>
          </m:rPr>
          <m:t>m</m:t>
        </m:r>
        <m:r>
          <m:rPr>
            <m:sty m:val="p"/>
          </m:rPr>
          <m:t>(</m:t>
        </m:r>
        <m:r>
          <m:t>0.6</m:t>
        </m:r>
        <m:r>
          <m:rPr>
            <m:sty m:val="p"/>
          </m:rPr>
          <m:t>,</m:t>
        </m:r>
        <m:r>
          <m:t>1.7</m:t>
        </m:r>
        <m:r>
          <m:rPr>
            <m:sty m:val="p"/>
          </m:rPr>
          <m:t>)</m:t>
        </m:r>
      </m:oMath>
      <w:r>
        <w:t xml:space="preserve"> </w:t>
      </w:r>
      <w:r>
        <w:t xml:space="preserve">draw with ratios preserved, the</w:t>
      </w:r>
      <w:r>
        <w:t xml:space="preserve"> </w:t>
      </w:r>
      <m:oMath>
        <m:r>
          <m:t>1.0</m:t>
        </m:r>
      </m:oMath>
      <w:r>
        <w:t xml:space="preserve"> </w:t>
      </w:r>
      <w:r>
        <w:t xml:space="preserve">condition reproduces</w:t>
      </w:r>
      <w:r>
        <w:t xml:space="preserve"> </w:t>
      </w:r>
      <w:r>
        <w:t xml:space="preserve">those perturbed figures unchanged, and</w:t>
      </w:r>
      <w:r>
        <w:t xml:space="preserve"> </w:t>
      </w:r>
      <m:oMath>
        <m:r>
          <m:t>0.6</m:t>
        </m:r>
      </m:oMath>
      <w:r>
        <w:t xml:space="preserve"> </w:t>
      </w:r>
      <w:r>
        <w:t xml:space="preserve">and</w:t>
      </w:r>
      <w:r>
        <w:t xml:space="preserve"> </w:t>
      </w:r>
      <m:oMath>
        <m:r>
          <m:t>1.7</m:t>
        </m:r>
      </m:oMath>
      <w:r>
        <w:t xml:space="preserve"> </w:t>
      </w:r>
      <w:r>
        <w:t xml:space="preserve">rescale them further. The real unscaled</w:t>
      </w:r>
      <w:r>
        <w:t xml:space="preserve"> </w:t>
      </w:r>
      <w:r>
        <w:t xml:space="preserve">figures exist only in the sealed crosswalk and never enter a prompt. The</w:t>
      </w:r>
      <w:r>
        <w:t xml:space="preserve"> </w:t>
      </w:r>
      <m:oMath>
        <m:r>
          <m:t>1.0</m:t>
        </m:r>
      </m:oMath>
      <w:r>
        <w:t xml:space="preserve"> </w:t>
      </w:r>
      <w:r>
        <w:t xml:space="preserve">condition therefore</w:t>
      </w:r>
      <w:r>
        <w:t xml:space="preserve"> </w:t>
      </w:r>
      <w:r>
        <w:t xml:space="preserve">carries no claim about contamination, and the decontamination-relevant contrast is</w:t>
      </w:r>
      <w:r>
        <w:t xml:space="preserve"> </w:t>
      </w:r>
      <m:oMath>
        <m:r>
          <m:t>0.6</m:t>
        </m:r>
      </m:oMath>
      <w:r>
        <w:t xml:space="preserve"> </w:t>
      </w:r>
      <w:r>
        <w:t xml:space="preserve">versus</w:t>
      </w:r>
      <w:r>
        <w:t xml:space="preserve"> </w:t>
      </w:r>
      <m:oMath>
        <m:r>
          <m:t>1.7</m:t>
        </m:r>
      </m:oMath>
      <w:r>
        <w:t xml:space="preserve">, a within-issuer factor of</w:t>
      </w:r>
      <w:r>
        <w:t xml:space="preserve"> </w:t>
      </w:r>
      <m:oMath>
        <m:r>
          <m:t>2.83</m:t>
        </m:r>
      </m:oMath>
      <w:r>
        <w:t xml:space="preserve"> </w:t>
      </w:r>
      <w:r>
        <w:t xml:space="preserve">applied to a common baseline. The IG/HY class differs between the extreme scales for</w:t>
      </w:r>
      <w:r>
        <w:t xml:space="preserve"> </w:t>
      </w:r>
      <w:r>
        <w:t xml:space="preserve">15.9% of (issuer, specification) cells, but the within-issuer permutation null, in which scale</w:t>
      </w:r>
      <w:r>
        <w:t xml:space="preserve"> </w:t>
      </w:r>
      <w:r>
        <w:t xml:space="preserve">labels are exchangeable, sits at 15.2%. The permutation test does not reject</w:t>
      </w:r>
      <w:r>
        <w:t xml:space="preserve"> </w:t>
      </w:r>
      <w:r>
        <w:t xml:space="preserve">(</w:t>
      </w:r>
      <m:oMath>
        <m:r>
          <m:t>p</m:t>
        </m:r>
        <m:r>
          <m:rPr>
            <m:sty m:val="p"/>
          </m:rPr>
          <m:t>=</m:t>
        </m:r>
        <m:r>
          <m:t>0.644</m:t>
        </m:r>
      </m:oMath>
      <w:r>
        <w:t xml:space="preserve">, 10</w:t>
      </w:r>
      <w:r>
        <w:t xml:space="preserve">,</w:t>
      </w:r>
      <w:r>
        <w:t xml:space="preserve">000 permutations). We therefore do not detect evidence that absolute scale</w:t>
      </w:r>
      <w:r>
        <w:t xml:space="preserve"> </w:t>
      </w:r>
      <w:r>
        <w:t xml:space="preserve">contributes additional instability beyond the re-elicitation variability this null represents.</w:t>
      </w:r>
      <w:r>
        <w:t xml:space="preserve"> </w:t>
      </w:r>
      <w:r>
        <w:t xml:space="preserve">Non-rejection is not proof that no scale effect exists. The comparison is a properly paired within-issuer test, so scale is not confounded with issuer identity.</w:t>
      </w:r>
    </w:p>
    <w:p>
      <w:pPr>
        <w:pStyle w:val="BodyText"/>
      </w:pPr>
      <w:r>
        <w:t xml:space="preserve">Experiment A detects residual identification and therefore limits how the real-issuer arm can be interpreted. Given only scale-invariant</w:t>
      </w:r>
      <w:r>
        <w:t xml:space="preserve"> </w:t>
      </w:r>
      <w:r>
        <w:t xml:space="preserve">ratios and asked to name the company, the models identify</w:t>
      </w:r>
      <w:r>
        <w:t xml:space="preserve"> </w:t>
      </w:r>
      <w:r>
        <w:rPr>
          <w:i/>
          <w:iCs/>
        </w:rPr>
        <w:t xml:space="preserve">none</w:t>
      </w:r>
      <w:r>
        <w:t xml:space="preserve"> </w:t>
      </w:r>
      <w:r>
        <w:t xml:space="preserve">of the 31 issuers, with zero hits in the 60 substantive completions of 62 attempted. Given the same ratios together with the 31 true issuer names in randomised</w:t>
      </w:r>
      <w:r>
        <w:t xml:space="preserve"> </w:t>
      </w:r>
      <w:r>
        <w:t xml:space="preserve">order, they select correctly in 19.4% of calls (95% CI 12.4–27.4%) against a chance rate of</w:t>
      </w:r>
      <w:r>
        <w:t xml:space="preserve"> </w:t>
      </w:r>
      <m:oMath>
        <m:r>
          <m:t>1</m:t>
        </m:r>
        <m:r>
          <m:rPr>
            <m:sty m:val="p"/>
          </m:rPr>
          <m:t>/</m:t>
        </m:r>
        <m:r>
          <m:t>31</m:t>
        </m:r>
        <m:r>
          <m:rPr>
            <m:sty m:val="p"/>
          </m:rPr>
          <m:t>=</m:t>
        </m:r>
        <m:r>
          <m:t>3.2</m:t>
        </m:r>
      </m:oMath>
      <w:r>
        <w:t xml:space="preserve">%, an exact binomial</w:t>
      </w:r>
      <w:r>
        <w:t xml:space="preserve"> </w:t>
      </w:r>
      <m:oMath>
        <m:r>
          <m:t>p</m:t>
        </m:r>
        <m:r>
          <m:rPr>
            <m:sty m:val="p"/>
          </m:rPr>
          <m:t>=</m:t>
        </m:r>
        <m:r>
          <m:t>5</m:t>
        </m:r>
        <m:r>
          <m:rPr>
            <m:sty m:val="p"/>
          </m:rPr>
          <m:t>×</m:t>
        </m:r>
        <m:sSup>
          <m:e>
            <m:r>
              <m:t>10</m:t>
            </m:r>
          </m:e>
          <m:sup>
            <m:r>
              <m:rPr>
                <m:sty m:val="p"/>
              </m:rPr>
              <m:t>−</m:t>
            </m:r>
            <m:r>
              <m:t>18</m:t>
            </m:r>
          </m:sup>
        </m:sSup>
      </m:oMath>
      <w:r>
        <w:t xml:space="preserve">. 19 of 31 issuers are identified at</w:t>
      </w:r>
      <w:r>
        <w:t xml:space="preserve"> </w:t>
      </w:r>
      <w:r>
        <w:t xml:space="preserve">least once. The signal is real but unstable. No issuer is identified under all three candidate</w:t>
      </w:r>
      <w:r>
        <w:t xml:space="preserve"> </w:t>
      </w:r>
      <w:r>
        <w:t xml:space="preserve">orderings, and the open-ended probe recovers nothing, so this is recognition assisted by a</w:t>
      </w:r>
      <w:r>
        <w:t xml:space="preserve"> </w:t>
      </w:r>
      <w:r>
        <w:t xml:space="preserve">candidate list rather than reliable recall. A closed-set probe that supplies the answers is an</w:t>
      </w:r>
      <w:r>
        <w:t xml:space="preserve"> </w:t>
      </w:r>
      <w:r>
        <w:rPr>
          <w:i/>
          <w:iCs/>
        </w:rPr>
        <w:t xml:space="preserve">upper bound</w:t>
      </w:r>
      <w:r>
        <w:t xml:space="preserve"> </w:t>
      </w:r>
      <w:r>
        <w:t xml:space="preserve">on identifiability, not an estimate of realistic leakage. It is nonetheless</w:t>
      </w:r>
      <w:r>
        <w:t xml:space="preserve"> </w:t>
      </w:r>
      <w:r>
        <w:t xml:space="preserve">above chance, and our pre-registered decision rule required the closed-set rate to be</w:t>
      </w:r>
      <w:r>
        <w:t xml:space="preserve"> </w:t>
      </w:r>
      <w:r>
        <w:t xml:space="preserve">indistinguishable from</w:t>
      </w:r>
      <w:r>
        <w:t xml:space="preserve"> </w:t>
      </w:r>
      <m:oMath>
        <m:r>
          <m:t>1</m:t>
        </m:r>
        <m:r>
          <m:rPr>
            <m:sty m:val="p"/>
          </m:rPr>
          <m:t>/</m:t>
        </m:r>
        <m:r>
          <m:t>31</m:t>
        </m:r>
      </m:oMath>
      <w:r>
        <w:t xml:space="preserve"> </w:t>
      </w:r>
      <w:r>
        <w:t xml:space="preserve">with a bootstrap upper bound below the</w:t>
      </w:r>
      <w:r>
        <w:t xml:space="preserve"> </w:t>
      </w:r>
      <m:oMath>
        <m:r>
          <m:t>5</m:t>
        </m:r>
      </m:oMath>
      <w:r>
        <w:t xml:space="preserve">% screening threshold.</w:t>
      </w:r>
      <w:r>
        <w:t xml:space="preserve"> </w:t>
      </w:r>
      <w:r>
        <w:t xml:space="preserve">It is not. Because the prespecified decontamination criterion is not met, we treat the real-issuer arm as an illustrative descriptive limitation and draw no external-validity claim from it. Scale-invariant ratios are evidently identifying enough that uniform scaling cannot be</w:t>
      </w:r>
      <w:r>
        <w:t xml:space="preserve"> </w:t>
      </w:r>
      <w:r>
        <w:t xml:space="preserve">treated as decontamination on its own, which we think is useful beyond this paper, since</w:t>
      </w:r>
      <w:r>
        <w:t xml:space="preserve"> </w:t>
      </w:r>
      <w:r>
        <w:t xml:space="preserve">ratio-preserving perturbation is the obvious design for anyone evaluating a model on real firms.</w:t>
      </w:r>
    </w:p>
    <w:bookmarkStart w:id="42" w:name="tab:decontam"/>
    <w:p>
      <w:pPr>
        <w:pStyle w:val="TableCaption"/>
      </w:pPr>
      <w:r>
        <w:t xml:space="preserve">Decontamination experiments for the real-issuer arm, pre-registered and hashed before</w:t>
      </w:r>
      <w:r>
        <w:t xml:space="preserve"> </w:t>
      </w:r>
      <w:r>
        <w:t xml:space="preserve">collection. 1</w:t>
      </w:r>
      <w:r>
        <w:t xml:space="preserve">,</w:t>
      </w:r>
      <w:r>
        <w:t xml:space="preserve">364 elicitations attempted and frozen, 1</w:t>
      </w:r>
      <w:r>
        <w:t xml:space="preserve">,</w:t>
      </w:r>
      <w:r>
        <w:t xml:space="preserve">361 substantive, two providers,</w:t>
      </w:r>
      <w:r>
        <w:t xml:space="preserve"> </w:t>
      </w:r>
      <w:r>
        <w:t xml:space="preserve">31 issuers. The</w:t>
      </w:r>
      <w:r>
        <w:t xml:space="preserve"> </w:t>
      </w:r>
      <w:r>
        <w:t xml:space="preserve">“calls”</w:t>
      </w:r>
      <w:r>
        <w:t xml:space="preserve"> </w:t>
      </w:r>
      <w:r>
        <w:t xml:space="preserve">column reports substantive completions. Intervals are issuer-clustered</w:t>
      </w:r>
      <w:r>
        <w:t xml:space="preserve"> </w:t>
      </w:r>
      <w:r>
        <w:t xml:space="preserve">bootstrap (2</w:t>
      </w:r>
      <w:r>
        <w:t xml:space="preserve">,</w:t>
      </w:r>
      <w:r>
        <w:t xml:space="preserve">000 draws). The bootstrap unit is the issuer. Experiment A’s closed-set probe</w:t>
      </w:r>
      <w:r>
        <w:t xml:space="preserve"> </w:t>
      </w:r>
      <w:r>
        <w:t xml:space="preserve">supplies the 31 true names as candidates and is therefore an upper bound on identifiability rather</w:t>
      </w:r>
      <w:r>
        <w:t xml:space="preserve"> </w:t>
      </w:r>
      <w:r>
        <w:t xml:space="preserve">than a realistic leakage estimate.</w:t>
      </w:r>
    </w:p>
    <w:tbl>
      <w:tblPr>
        <w:tblStyle w:val="Table"/>
        <w:tblW w:type="auto" w:w="0"/>
        <w:tblLook w:firstRow="1" w:lastRow="0" w:firstColumn="0" w:lastColumn="0" w:noHBand="0" w:noVBand="0" w:val="0020"/>
        <w:tblCaption w:val="Decontamination experiments for the real-issuer arm, pre-registered and hashed before collection. 1,364 elicitations attempted and frozen, 1,361 substantive, two providers, 31 issuers. The “calls” column reports substantive completions. Intervals are issuer-clustered bootstrap (2,000 draws). The bootstrap unit is the issuer. Experiment A’s closed-set probe supplies the 31 true names as candidates and is therefore an upper bound on identifiability rather than a realistic leakage estimate."/>
      </w:tblPr>
      <w:tblGrid>
        <w:gridCol w:w="1980"/>
        <w:gridCol w:w="1980"/>
        <w:gridCol w:w="1980"/>
        <w:gridCol w:w="1980"/>
      </w:tblGrid>
      <w:tr>
        <w:trPr>
          <w:tblHeader w:val="on"/>
        </w:trPr>
        <w:tc>
          <w:tcPr/>
          <w:p>
            <w:pPr>
              <w:pStyle w:val="Compact"/>
            </w:pPr>
          </w:p>
        </w:tc>
        <w:tc>
          <w:tcPr/>
          <w:p>
            <w:pPr>
              <w:pStyle w:val="Compact"/>
              <w:jc w:val="center"/>
            </w:pPr>
            <w:r>
              <w:t xml:space="preserve">calls / pairs</w:t>
            </w:r>
          </w:p>
        </w:tc>
        <w:tc>
          <w:tcPr/>
          <w:p>
            <w:pPr>
              <w:pStyle w:val="Compact"/>
              <w:jc w:val="center"/>
            </w:pPr>
            <w:r>
              <w:t xml:space="preserve">rate</w:t>
            </w:r>
          </w:p>
        </w:tc>
        <w:tc>
          <w:tcPr/>
          <w:p>
            <w:pPr>
              <w:pStyle w:val="Compact"/>
              <w:jc w:val="center"/>
            </w:pPr>
            <w:r>
              <w:t xml:space="preserve">95% CI</w:t>
            </w:r>
          </w:p>
        </w:tc>
      </w:tr>
      <w:tr>
        <w:tc>
          <w:tcPr/>
          <w:p>
            <w:pPr>
              <w:pStyle w:val="Compact"/>
              <w:jc w:val="left"/>
            </w:pPr>
            <w:r>
              <w:rPr>
                <w:i/>
                <w:iCs/>
              </w:rPr>
              <w:t xml:space="preserve">Experiment A: can the ratio pattern identify the issuer?</w:t>
            </w:r>
          </w:p>
        </w:tc>
        <w:tc>
          <w:tcPr/>
          <w:p>
            <w:pPr>
              <w:pStyle w:val="Compact"/>
            </w:pPr>
          </w:p>
        </w:tc>
        <w:tc>
          <w:tcPr/>
          <w:p>
            <w:pPr>
              <w:pStyle w:val="Compact"/>
            </w:pPr>
          </w:p>
        </w:tc>
        <w:tc>
          <w:tcPr/>
          <w:p>
            <w:pPr>
              <w:pStyle w:val="Compact"/>
            </w:pPr>
          </w:p>
        </w:tc>
      </w:tr>
      <w:tr>
        <w:tc>
          <w:tcPr/>
          <w:p>
            <w:pPr>
              <w:pStyle w:val="Compact"/>
              <w:jc w:val="left"/>
            </w:pPr>
            <w:r>
              <w:t xml:space="preserve">Open-ended (</w:t>
            </w:r>
            <w:r>
              <w:t xml:space="preserve">“name the company”</w:t>
            </w:r>
            <w:r>
              <w:t xml:space="preserve">)</w:t>
            </w:r>
          </w:p>
        </w:tc>
        <w:tc>
          <w:tcPr/>
          <w:p>
            <w:pPr>
              <w:pStyle w:val="Compact"/>
              <w:jc w:val="center"/>
            </w:pPr>
            <w:r>
              <w:t xml:space="preserve">60</w:t>
            </w:r>
          </w:p>
        </w:tc>
        <w:tc>
          <w:tcPr/>
          <w:p>
            <w:pPr>
              <w:pStyle w:val="Compact"/>
              <w:jc w:val="center"/>
            </w:pPr>
            <w:r>
              <w:t xml:space="preserve">0.000</w:t>
            </w:r>
          </w:p>
        </w:tc>
        <w:tc>
          <w:tcPr/>
          <w:p>
            <w:pPr>
              <w:pStyle w:val="Compact"/>
              <w:jc w:val="center"/>
            </w:pPr>
            <w:r>
              <w:t xml:space="preserve">(0.000, 0.000)</w:t>
            </w:r>
          </w:p>
        </w:tc>
      </w:tr>
      <w:tr>
        <w:tc>
          <w:tcPr/>
          <w:p>
            <w:pPr>
              <w:pStyle w:val="Compact"/>
              <w:jc w:val="left"/>
            </w:pPr>
            <w:r>
              <w:t xml:space="preserve">Closed-set, 31 candidates</w:t>
            </w:r>
          </w:p>
        </w:tc>
        <w:tc>
          <w:tcPr/>
          <w:p>
            <w:pPr>
              <w:pStyle w:val="Compact"/>
              <w:jc w:val="center"/>
            </w:pPr>
            <w:r>
              <w:t xml:space="preserve">185</w:t>
            </w:r>
          </w:p>
        </w:tc>
        <w:tc>
          <w:tcPr/>
          <w:p>
            <w:pPr>
              <w:pStyle w:val="Compact"/>
              <w:jc w:val="center"/>
            </w:pPr>
            <w:r>
              <w:t xml:space="preserve">0.194</w:t>
            </w:r>
          </w:p>
        </w:tc>
        <w:tc>
          <w:tcPr/>
          <w:p>
            <w:pPr>
              <w:pStyle w:val="Compact"/>
              <w:jc w:val="center"/>
            </w:pPr>
            <w:r>
              <w:t xml:space="preserve">(0.124, 0.274)</w:t>
            </w:r>
          </w:p>
        </w:tc>
      </w:tr>
      <w:tr>
        <w:tc>
          <w:tcPr/>
          <w:p>
            <w:pPr>
              <w:pStyle w:val="Compact"/>
              <w:jc w:val="left"/>
            </w:pPr>
            <w:r>
              <w:t xml:space="preserve">chance (</w:t>
            </w:r>
            <m:oMath>
              <m:r>
                <m:t>1</m:t>
              </m:r>
              <m:r>
                <m:rPr>
                  <m:sty m:val="p"/>
                </m:rPr>
                <m:t>/</m:t>
              </m:r>
              <m:r>
                <m:t>31</m:t>
              </m:r>
            </m:oMath>
            <w:r>
              <w:t xml:space="preserve">)</w:t>
            </w:r>
          </w:p>
        </w:tc>
        <w:tc>
          <w:tcPr/>
          <w:p>
            <w:pPr>
              <w:pStyle w:val="Compact"/>
              <w:jc w:val="center"/>
            </w:pPr>
            <w:r>
              <w:t xml:space="preserve">—</w:t>
            </w:r>
          </w:p>
        </w:tc>
        <w:tc>
          <w:tcPr/>
          <w:p>
            <w:pPr>
              <w:pStyle w:val="Compact"/>
              <w:jc w:val="center"/>
            </w:pPr>
            <w:r>
              <w:t xml:space="preserve">0.032</w:t>
            </w:r>
          </w:p>
        </w:tc>
        <w:tc>
          <w:tcPr/>
          <w:p>
            <w:pPr>
              <w:pStyle w:val="Compact"/>
              <w:jc w:val="center"/>
            </w:pPr>
            <w:r>
              <w:t xml:space="preserve">—</w:t>
            </w:r>
          </w:p>
        </w:tc>
      </w:tr>
      <w:tr>
        <w:tc>
          <w:tcPr/>
          <w:p>
            <w:pPr>
              <w:pStyle w:val="Compact"/>
              <w:jc w:val="left"/>
            </w:pPr>
            <w:r>
              <w:t xml:space="preserve">exact binomial vs chance</w:t>
            </w:r>
          </w:p>
        </w:tc>
        <w:tc>
          <w:tcPr/>
          <w:p>
            <w:pPr>
              <w:pStyle w:val="Compact"/>
              <w:jc w:val="center"/>
            </w:pPr>
            <w:r>
              <w:t xml:space="preserve">—</w:t>
            </w:r>
          </w:p>
        </w:tc>
        <w:tc>
          <w:tcPr/>
          <w:p>
            <w:pPr>
              <w:pStyle w:val="Compact"/>
              <w:jc w:val="center"/>
            </w:pPr>
            <m:oMath>
              <m:r>
                <m:t>p</m:t>
              </m:r>
              <m:r>
                <m:rPr>
                  <m:sty m:val="p"/>
                </m:rPr>
                <m:t>=</m:t>
              </m:r>
              <m:r>
                <m:t>5.2</m:t>
              </m:r>
              <m:r>
                <m:t>e</m:t>
              </m:r>
              <m:r>
                <m:rPr>
                  <m:sty m:val="p"/>
                </m:rPr>
                <m:t>−</m:t>
              </m:r>
              <m:r>
                <m:t>18</m:t>
              </m:r>
            </m:oMath>
            <w:r>
              <w:t xml:space="preserve">​</w:t>
            </w:r>
          </w:p>
        </w:tc>
        <w:tc>
          <w:tcPr/>
          <w:p>
            <w:pPr>
              <w:pStyle w:val="Compact"/>
              <w:jc w:val="center"/>
            </w:pPr>
            <w:r>
              <w:t xml:space="preserve">—</w:t>
            </w:r>
          </w:p>
        </w:tc>
      </w:tr>
      <w:tr>
        <w:tc>
          <w:tcPr/>
          <w:p>
            <w:pPr>
              <w:pStyle w:val="Compact"/>
              <w:jc w:val="left"/>
            </w:pPr>
            <w:r>
              <w:t xml:space="preserve">issuers identified at least once</w:t>
            </w:r>
          </w:p>
        </w:tc>
        <w:tc>
          <w:tcPr/>
          <w:p>
            <w:pPr>
              <w:pStyle w:val="Compact"/>
              <w:jc w:val="center"/>
            </w:pPr>
            <w:r>
              <w:t xml:space="preserve">—</w:t>
            </w:r>
          </w:p>
        </w:tc>
        <w:tc>
          <w:tcPr/>
          <w:p>
            <w:pPr>
              <w:pStyle w:val="Compact"/>
              <w:jc w:val="center"/>
            </w:pPr>
            <w:r>
              <w:t xml:space="preserve">19/31</w:t>
            </w:r>
          </w:p>
        </w:tc>
        <w:tc>
          <w:tcPr/>
          <w:p>
            <w:pPr>
              <w:pStyle w:val="Compact"/>
              <w:jc w:val="center"/>
            </w:pPr>
            <w:r>
              <w:t xml:space="preserve">—</w:t>
            </w:r>
          </w:p>
        </w:tc>
      </w:tr>
      <w:tr>
        <w:tc>
          <w:tcPr/>
          <w:p>
            <w:pPr>
              <w:pStyle w:val="Compact"/>
              <w:jc w:val="left"/>
            </w:pPr>
            <w:r>
              <w:t xml:space="preserve">issuers identified in every ordering</w:t>
            </w:r>
          </w:p>
        </w:tc>
        <w:tc>
          <w:tcPr/>
          <w:p>
            <w:pPr>
              <w:pStyle w:val="Compact"/>
              <w:jc w:val="center"/>
            </w:pPr>
            <w:r>
              <w:t xml:space="preserve">—</w:t>
            </w:r>
          </w:p>
        </w:tc>
        <w:tc>
          <w:tcPr/>
          <w:p>
            <w:pPr>
              <w:pStyle w:val="Compact"/>
              <w:jc w:val="center"/>
            </w:pPr>
            <w:r>
              <w:t xml:space="preserve">0/31</w:t>
            </w:r>
          </w:p>
        </w:tc>
        <w:tc>
          <w:tcPr/>
          <w:p>
            <w:pPr>
              <w:pStyle w:val="Compact"/>
              <w:jc w:val="center"/>
            </w:pPr>
            <w:r>
              <w:t xml:space="preserve">—</w:t>
            </w:r>
          </w:p>
        </w:tc>
      </w:tr>
      <w:tr>
        <w:tc>
          <w:tcPr/>
          <w:p>
            <w:pPr>
              <w:pStyle w:val="Compact"/>
              <w:jc w:val="left"/>
            </w:pPr>
            <w:r>
              <w:t xml:space="preserve">Exact-figure fingerprint gate (Section </w:t>
            </w:r>
            <w:hyperlink w:anchor="sec:realarm">
              <w:r>
                <w:rPr>
                  <w:rStyle w:val="Hyperlink"/>
                </w:rPr>
                <w:t xml:space="preserve">3.6</w:t>
              </w:r>
            </w:hyperlink>
            <w:r>
              <w:t xml:space="preserve">)</w:t>
            </w:r>
          </w:p>
        </w:tc>
        <w:tc>
          <w:tcPr/>
          <w:p>
            <w:pPr>
              <w:pStyle w:val="Compact"/>
              <w:jc w:val="center"/>
            </w:pPr>
            <w:r>
              <w:t xml:space="preserve">—</w:t>
            </w:r>
          </w:p>
        </w:tc>
        <w:tc>
          <w:tcPr/>
          <w:p>
            <w:pPr>
              <w:pStyle w:val="Compact"/>
              <w:jc w:val="center"/>
            </w:pPr>
            <w:r>
              <w:t xml:space="preserve">0.029</w:t>
            </w:r>
          </w:p>
        </w:tc>
        <w:tc>
          <w:tcPr/>
          <w:p>
            <w:pPr>
              <w:pStyle w:val="Compact"/>
              <w:jc w:val="center"/>
            </w:pPr>
            <w:r>
              <w:t xml:space="preserve">—</w:t>
            </w:r>
          </w:p>
        </w:tc>
      </w:tr>
      <w:tr>
        <w:tc>
          <w:tcPr/>
          <w:p>
            <w:pPr>
              <w:pStyle w:val="Compact"/>
              <w:jc w:val="left"/>
            </w:pPr>
            <w:r>
              <w:rPr>
                <w:i/>
                <w:iCs/>
              </w:rPr>
              <w:t xml:space="preserve">Experiment B: does absolute scale move the rating within issuer?</w:t>
            </w:r>
          </w:p>
        </w:tc>
        <w:tc>
          <w:tcPr/>
          <w:p>
            <w:pPr>
              <w:pStyle w:val="Compact"/>
            </w:pPr>
          </w:p>
        </w:tc>
        <w:tc>
          <w:tcPr/>
          <w:p>
            <w:pPr>
              <w:pStyle w:val="Compact"/>
            </w:pPr>
          </w:p>
        </w:tc>
        <w:tc>
          <w:tcPr/>
          <w:p>
            <w:pPr>
              <w:pStyle w:val="Compact"/>
            </w:pPr>
          </w:p>
        </w:tc>
      </w:tr>
      <w:tr>
        <w:tc>
          <w:tcPr/>
          <w:p>
            <w:pPr>
              <w:pStyle w:val="Compact"/>
              <w:jc w:val="left"/>
            </w:pPr>
            <w:r>
              <w:t xml:space="preserve">IG/HY class differs, scale 0.6 vs 1.7</w:t>
            </w:r>
          </w:p>
        </w:tc>
        <w:tc>
          <w:tcPr/>
          <w:p>
            <w:pPr>
              <w:pStyle w:val="Compact"/>
              <w:jc w:val="center"/>
            </w:pPr>
            <w:r>
              <w:t xml:space="preserve">372</w:t>
            </w:r>
          </w:p>
        </w:tc>
        <w:tc>
          <w:tcPr/>
          <w:p>
            <w:pPr>
              <w:pStyle w:val="Compact"/>
              <w:jc w:val="center"/>
            </w:pPr>
            <w:r>
              <w:t xml:space="preserve">0.159</w:t>
            </w:r>
          </w:p>
        </w:tc>
        <w:tc>
          <w:tcPr/>
          <w:p>
            <w:pPr>
              <w:pStyle w:val="Compact"/>
              <w:jc w:val="center"/>
            </w:pPr>
            <w:r>
              <w:t xml:space="preserve">(0.113, 0.207)</w:t>
            </w:r>
          </w:p>
        </w:tc>
      </w:tr>
      <w:tr>
        <w:tc>
          <w:tcPr/>
          <w:p>
            <w:pPr>
              <w:pStyle w:val="Compact"/>
              <w:jc w:val="left"/>
            </w:pPr>
            <w:r>
              <w:t xml:space="preserve">IG/HY class differs, scale 0.6 vs 1.0</w:t>
            </w:r>
          </w:p>
        </w:tc>
        <w:tc>
          <w:tcPr/>
          <w:p>
            <w:pPr>
              <w:pStyle w:val="Compact"/>
              <w:jc w:val="center"/>
            </w:pPr>
            <w:r>
              <w:t xml:space="preserve">372</w:t>
            </w:r>
          </w:p>
        </w:tc>
        <w:tc>
          <w:tcPr/>
          <w:p>
            <w:pPr>
              <w:pStyle w:val="Compact"/>
              <w:jc w:val="center"/>
            </w:pPr>
            <w:r>
              <w:t xml:space="preserve">0.156</w:t>
            </w:r>
          </w:p>
        </w:tc>
        <w:tc>
          <w:tcPr/>
          <w:p>
            <w:pPr>
              <w:pStyle w:val="Compact"/>
              <w:jc w:val="center"/>
            </w:pPr>
            <w:r>
              <w:t xml:space="preserve">(0.118, 0.196)</w:t>
            </w:r>
          </w:p>
        </w:tc>
      </w:tr>
      <w:tr>
        <w:tc>
          <w:tcPr/>
          <w:p>
            <w:pPr>
              <w:pStyle w:val="Compact"/>
              <w:jc w:val="left"/>
            </w:pPr>
            <w:r>
              <w:t xml:space="preserve">IG/HY class differs, scale 1.0 vs 1.7</w:t>
            </w:r>
          </w:p>
        </w:tc>
        <w:tc>
          <w:tcPr/>
          <w:p>
            <w:pPr>
              <w:pStyle w:val="Compact"/>
              <w:jc w:val="center"/>
            </w:pPr>
            <w:r>
              <w:t xml:space="preserve">372</w:t>
            </w:r>
          </w:p>
        </w:tc>
        <w:tc>
          <w:tcPr/>
          <w:p>
            <w:pPr>
              <w:pStyle w:val="Compact"/>
              <w:jc w:val="center"/>
            </w:pPr>
            <w:r>
              <w:t xml:space="preserve">0.142</w:t>
            </w:r>
          </w:p>
        </w:tc>
        <w:tc>
          <w:tcPr/>
          <w:p>
            <w:pPr>
              <w:pStyle w:val="Compact"/>
              <w:jc w:val="center"/>
            </w:pPr>
            <w:r>
              <w:t xml:space="preserve">(0.100, 0.183)</w:t>
            </w:r>
          </w:p>
        </w:tc>
      </w:tr>
      <w:tr>
        <w:tc>
          <w:tcPr/>
          <w:p>
            <w:pPr>
              <w:pStyle w:val="Compact"/>
              <w:jc w:val="left"/>
            </w:pPr>
            <w:r>
              <w:t xml:space="preserve">permutation null mean</w:t>
            </w:r>
          </w:p>
        </w:tc>
        <w:tc>
          <w:tcPr/>
          <w:p>
            <w:pPr>
              <w:pStyle w:val="Compact"/>
              <w:jc w:val="center"/>
            </w:pPr>
            <w:r>
              <w:t xml:space="preserve">372</w:t>
            </w:r>
          </w:p>
        </w:tc>
        <w:tc>
          <w:tcPr/>
          <w:p>
            <w:pPr>
              <w:pStyle w:val="Compact"/>
              <w:jc w:val="center"/>
            </w:pPr>
            <w:r>
              <w:t xml:space="preserve">0.152</w:t>
            </w:r>
          </w:p>
        </w:tc>
        <w:tc>
          <w:tcPr/>
          <w:p>
            <w:pPr>
              <w:pStyle w:val="Compact"/>
              <w:jc w:val="center"/>
            </w:pPr>
            <w:r>
              <w:t xml:space="preserve">—</w:t>
            </w:r>
          </w:p>
        </w:tc>
      </w:tr>
      <w:tr>
        <w:tc>
          <w:tcPr/>
          <w:p>
            <w:pPr>
              <w:pStyle w:val="Compact"/>
              <w:jc w:val="left"/>
            </w:pPr>
            <w:r>
              <w:t xml:space="preserve">within-issuer permutation test</w:t>
            </w:r>
          </w:p>
        </w:tc>
        <w:tc>
          <w:tcPr/>
          <w:p>
            <w:pPr>
              <w:pStyle w:val="Compact"/>
              <w:jc w:val="center"/>
            </w:pPr>
            <w:r>
              <w:t xml:space="preserve">—</w:t>
            </w:r>
          </w:p>
        </w:tc>
        <w:tc>
          <w:tcPr/>
          <w:p>
            <w:pPr>
              <w:pStyle w:val="Compact"/>
              <w:jc w:val="center"/>
            </w:pPr>
            <m:oMath>
              <m:r>
                <m:t>p</m:t>
              </m:r>
              <m:r>
                <m:rPr>
                  <m:sty m:val="p"/>
                </m:rPr>
                <m:t>=</m:t>
              </m:r>
              <m:r>
                <m:t>0.644</m:t>
              </m:r>
            </m:oMath>
            <w:r>
              <w:t xml:space="preserve">​</w:t>
            </w:r>
          </w:p>
        </w:tc>
        <w:tc>
          <w:tcPr/>
          <w:p>
            <w:pPr>
              <w:pStyle w:val="Compact"/>
              <w:jc w:val="center"/>
            </w:pPr>
            <w:r>
              <w:t xml:space="preserve">—</w:t>
            </w:r>
          </w:p>
        </w:tc>
      </w:tr>
    </w:tbl>
    <w:bookmarkEnd w:id="42"/>
    <w:bookmarkEnd w:id="43"/>
    <w:bookmarkStart w:id="45" w:name="sec:tier"/>
    <w:p>
      <w:pPr>
        <w:pStyle w:val="Heading2"/>
      </w:pPr>
      <w:r>
        <w:rPr>
          <w:rStyle w:val="SectionNumber"/>
        </w:rPr>
        <w:t xml:space="preserve">3.8</w:t>
      </w:r>
      <w:r>
        <w:tab/>
      </w:r>
      <w:r>
        <w:t xml:space="preserve">Robustness across model tiers (post-hoc)</w:t>
      </w:r>
    </w:p>
    <w:p>
      <w:pPr>
        <w:pStyle w:val="FirstParagraph"/>
      </w:pPr>
      <w:r>
        <w:t xml:space="preserve">This analysis is</w:t>
      </w:r>
      <w:r>
        <w:t xml:space="preserve"> </w:t>
      </w:r>
      <w:r>
        <w:rPr>
          <w:i/>
          <w:iCs/>
        </w:rPr>
        <w:t xml:space="preserve">post-hoc</w:t>
      </w:r>
      <w:r>
        <w:t xml:space="preserve">. It was not part of the pre-registered design and was carried out in a</w:t>
      </w:r>
      <w:r>
        <w:t xml:space="preserve"> </w:t>
      </w:r>
      <w:r>
        <w:t xml:space="preserve">separate run after the confirmatory corpus was frozen,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rPr>
            <m:sty m:val="p"/>
          </m:rPr>
          <m:t>−</m:t>
        </m:r>
        <m:r>
          <m:t>1.1</m:t>
        </m:r>
      </m:oMath>
      <w:r>
        <w:t xml:space="preserve"> </w:t>
      </w:r>
      <w:r>
        <w:t xml:space="preserve">percentage points (95% CI</w:t>
      </w:r>
      <w:r>
        <w:t xml:space="preserve"> </w:t>
      </w:r>
      <m:oMath>
        <m:r>
          <m:rPr>
            <m:sty m:val="p"/>
          </m:rPr>
          <m:t>−</m:t>
        </m:r>
        <m:r>
          <m:t>7.6</m:t>
        </m:r>
      </m:oMath>
      <w:r>
        <w:t xml:space="preserve"> </w:t>
      </w:r>
      <w:r>
        <w:t xml:space="preserve">to</w:t>
      </w:r>
      <w:r>
        <w:t xml:space="preserve"> </w:t>
      </w:r>
      <m:oMath>
        <m:r>
          <m:rPr>
            <m:sty m:val="p"/>
          </m:rPr>
          <m:t>+</m:t>
        </m:r>
        <m:r>
          <m:t>6.0</m:t>
        </m:r>
      </m:oMath>
      <w:r>
        <w:t xml:space="preserve">), not distinguishable from zero</w:t>
      </w:r>
      <w:r>
        <w:t xml:space="preserve"> </w:t>
      </w:r>
      <w:r>
        <w:t xml:space="preserve">(Table 6). The three-way band flip is likewise statistically indistinguishable</w:t>
      </w:r>
      <w:r>
        <w:t xml:space="preserve"> </w:t>
      </w:r>
      <w:r>
        <w:t xml:space="preserve">(</w:t>
      </w:r>
      <m:oMath>
        <m:r>
          <m:rPr>
            <m:sty m:val="p"/>
          </m:rPr>
          <m:t>−</m:t>
        </m:r>
        <m:r>
          <m:t>5.3</m:t>
        </m:r>
      </m:oMath>
      <w:r>
        <w:t xml:space="preserve"> </w:t>
      </w:r>
      <w:r>
        <w:t xml:space="preserve">points, 95% CI</w:t>
      </w:r>
      <w:r>
        <w:t xml:space="preserve"> </w:t>
      </w:r>
      <m:oMath>
        <m:r>
          <m:rPr>
            <m:sty m:val="p"/>
          </m:rPr>
          <m:t>−</m:t>
        </m:r>
        <m:r>
          <m:t>11.9</m:t>
        </m:r>
      </m:oMath>
      <w:r>
        <w:t xml:space="preserve"> </w:t>
      </w:r>
      <w:r>
        <w:t xml:space="preserve">to</w:t>
      </w:r>
      <w:r>
        <w:t xml:space="preserve"> </w:t>
      </w:r>
      <m:oMath>
        <m:r>
          <m:rPr>
            <m:sty m:val="p"/>
          </m:rP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consistent across elicitation choices. The comparison finds no detectable attenuation of specification sensitivity, although the wide</w:t>
      </w:r>
      <w:r>
        <w:t xml:space="preserve"> </w:t>
      </w:r>
      <w:r>
        <w:t xml:space="preserve">confidence interval does not establish equivalence.</w:t>
      </w:r>
    </w:p>
    <w:p>
      <w:pPr>
        <w:pStyle w:val="BodyText"/>
      </w:pPr>
      <w:r>
        <w:t xml:space="preserve">Two caveats attach to this comparison. First, the pooled figure masks provider heterogeneity. The 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do not recover the built</w:t>
      </w:r>
      <w:r>
        <w:t xml:space="preserve"> </w:t>
      </w:r>
      <w:r>
        <w:t xml:space="preserve">Altman labels more often despite being easier to meet: flagship design-label recovery is 36.7% compared to 44.3% for</w:t>
      </w:r>
      <w:r>
        <w:t xml:space="preserve"> </w:t>
      </w:r>
      <w:r>
        <w:t xml:space="preserve">nano/flash, so the 21-point investment-grade leniency shift reflects a more permissive rating posture,</w:t>
      </w:r>
      <w:r>
        <w:t xml:space="preserve"> </w:t>
      </w:r>
      <w:r>
        <w:t xml:space="preserve">less close correspondence with the constructed labels.</w:t>
      </w:r>
    </w:p>
    <w:bookmarkStart w:id="44" w:name="tab:tier"/>
    <w:p>
      <w:pPr>
        <w:pStyle w:val="TableCaption"/>
      </w:pPr>
      <w:r>
        <w:t xml:space="preserve">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profile-clustered bootstrap confidence intervals. The difference is paired by item.</w:t>
      </w:r>
    </w:p>
    <w:tbl>
      <w:tblPr>
        <w:tblStyle w:val="Table"/>
        <w:tblW w:type="auto" w:w="0"/>
        <w:tblLook w:firstRow="1" w:lastRow="0" w:firstColumn="0" w:lastColumn="0" w:noHBand="0" w:noVBand="0" w:val="0020"/>
        <w:tblCaption w:val="Model-tier robustness (post-hoc, not pre-registered): per-comparison flip share on the same frozen 12-specification grid (45 credit-health items, three seeds). Parenthetical values are 95% profile-clustered bootstrap confidence intervals. The difference is paired by item."/>
      </w:tblPr>
      <w:tblGrid>
        <w:gridCol w:w="1980"/>
        <w:gridCol w:w="1980"/>
        <w:gridCol w:w="1980"/>
        <w:gridCol w:w="1980"/>
      </w:tblGrid>
      <w:tr>
        <w:trPr>
          <w:tblHeader w:val="on"/>
        </w:trPr>
        <w:tc>
          <w:tcPr/>
          <w:p>
            <w:pPr>
              <w:pStyle w:val="Compact"/>
              <w:jc w:val="left"/>
            </w:pPr>
            <w:r>
              <w:t xml:space="preserve">Metric</w:t>
            </w:r>
          </w:p>
        </w:tc>
        <w:tc>
          <w:tcPr/>
          <w:p>
            <w:pPr>
              <w:pStyle w:val="Compact"/>
              <w:jc w:val="center"/>
            </w:pPr>
            <w:r>
              <w:t xml:space="preserve">Nano/flash</w:t>
            </w:r>
          </w:p>
        </w:tc>
        <w:tc>
          <w:tcPr/>
          <w:p>
            <w:pPr>
              <w:pStyle w:val="Compact"/>
              <w:jc w:val="center"/>
            </w:pPr>
            <w:r>
              <w:t xml:space="preserve">Flagship</w:t>
            </w:r>
          </w:p>
        </w:tc>
        <w:tc>
          <w:tcPr/>
          <w:p>
            <w:pPr>
              <w:pStyle w:val="Compact"/>
              <w:jc w:val="center"/>
            </w:pPr>
            <w:r>
              <w:t xml:space="preserve">Difference (95% CI)</w:t>
            </w:r>
          </w:p>
        </w:tc>
      </w:tr>
      <w:tr>
        <w:tc>
          <w:tcPr/>
          <w:p>
            <w:pPr>
              <w:pStyle w:val="Compact"/>
              <w:jc w:val="left"/>
            </w:pPr>
            <w:r>
              <w:t xml:space="preserve">IG/HY flip (pooled)</w:t>
            </w:r>
          </w:p>
        </w:tc>
        <w:tc>
          <w:tcPr/>
          <w:p>
            <w:pPr>
              <w:pStyle w:val="Compact"/>
              <w:jc w:val="center"/>
            </w:pPr>
            <w:r>
              <w:t xml:space="preserve">24.7% (19.1–30.6)</w:t>
            </w:r>
          </w:p>
        </w:tc>
        <w:tc>
          <w:tcPr/>
          <w:p>
            <w:pPr>
              <w:pStyle w:val="Compact"/>
              <w:jc w:val="center"/>
            </w:pPr>
            <w:r>
              <w:t xml:space="preserve">23.6% (19.4–27.8)</w:t>
            </w:r>
          </w:p>
        </w:tc>
        <w:tc>
          <w:tcPr/>
          <w:p>
            <w:pPr>
              <w:pStyle w:val="Compact"/>
              <w:jc w:val="center"/>
            </w:pPr>
            <m:oMath>
              <m:r>
                <m:rPr>
                  <m:sty m:val="p"/>
                </m:rPr>
                <m:t>−</m:t>
              </m:r>
              <m:r>
                <m:t>1.1</m:t>
              </m:r>
            </m:oMath>
            <w:r>
              <w:t xml:space="preserve"> </w:t>
            </w:r>
            <w:r>
              <w:t xml:space="preserve">(</w:t>
            </w:r>
            <m:oMath>
              <m:r>
                <m:rPr>
                  <m:sty m:val="p"/>
                </m:rPr>
                <m:t>−</m:t>
              </m:r>
              <m:r>
                <m:t>7.6</m:t>
              </m:r>
            </m:oMath>
            <w:r>
              <w:t xml:space="preserve">,</w:t>
            </w:r>
            <w:r>
              <w:t xml:space="preserve"> </w:t>
            </w:r>
            <m:oMath>
              <m:r>
                <m:rPr>
                  <m:sty m:val="p"/>
                </m:rPr>
                <m:t>+</m:t>
              </m:r>
              <m:r>
                <m:t>6.0</m:t>
              </m:r>
            </m:oMath>
            <w:r>
              <w:t xml:space="preserve">)</w:t>
            </w:r>
          </w:p>
        </w:tc>
      </w:tr>
      <w:tr>
        <w:tc>
          <w:tcPr/>
          <w:p>
            <w:pPr>
              <w:pStyle w:val="Compact"/>
              <w:jc w:val="left"/>
            </w:pPr>
            <w:r>
              <w:t xml:space="preserve">IG/HY flip, OpenAI</w:t>
            </w:r>
          </w:p>
        </w:tc>
        <w:tc>
          <w:tcPr/>
          <w:p>
            <w:pPr>
              <w:pStyle w:val="Compact"/>
              <w:jc w:val="center"/>
            </w:pPr>
            <w:r>
              <w:t xml:space="preserve">17.3%</w:t>
            </w:r>
          </w:p>
        </w:tc>
        <w:tc>
          <w:tcPr/>
          <w:p>
            <w:pPr>
              <w:pStyle w:val="Compact"/>
              <w:jc w:val="center"/>
            </w:pPr>
            <w:r>
              <w:t xml:space="preserve">26.7%</w:t>
            </w:r>
          </w:p>
        </w:tc>
        <w:tc>
          <w:tcPr/>
          <w:p>
            <w:pPr>
              <w:pStyle w:val="Compact"/>
            </w:pPr>
          </w:p>
        </w:tc>
      </w:tr>
      <w:tr>
        <w:tc>
          <w:tcPr/>
          <w:p>
            <w:pPr>
              <w:pStyle w:val="Compact"/>
              <w:jc w:val="left"/>
            </w:pPr>
            <w:r>
              <w:t xml:space="preserve">IG/HY flip, Google</w:t>
            </w:r>
          </w:p>
        </w:tc>
        <w:tc>
          <w:tcPr/>
          <w:p>
            <w:pPr>
              <w:pStyle w:val="Compact"/>
              <w:jc w:val="center"/>
            </w:pPr>
            <w:r>
              <w:t xml:space="preserve">20.5%</w:t>
            </w:r>
          </w:p>
        </w:tc>
        <w:tc>
          <w:tcPr/>
          <w:p>
            <w:pPr>
              <w:pStyle w:val="Compact"/>
              <w:jc w:val="center"/>
            </w:pPr>
            <w:r>
              <w:t xml:space="preserve">16.7%</w:t>
            </w:r>
          </w:p>
        </w:tc>
        <w:tc>
          <w:tcPr/>
          <w:p>
            <w:pPr>
              <w:pStyle w:val="Compact"/>
            </w:pPr>
          </w:p>
        </w:tc>
      </w:tr>
      <w:tr>
        <w:tc>
          <w:tcPr/>
          <w:p>
            <w:pPr>
              <w:pStyle w:val="Compact"/>
              <w:jc w:val="left"/>
            </w:pPr>
            <w:r>
              <w:t xml:space="preserve">Three-way band flip</w:t>
            </w:r>
          </w:p>
        </w:tc>
        <w:tc>
          <w:tcPr/>
          <w:p>
            <w:pPr>
              <w:pStyle w:val="Compact"/>
              <w:jc w:val="center"/>
            </w:pPr>
            <w:r>
              <w:t xml:space="preserve">30.5%</w:t>
            </w:r>
          </w:p>
        </w:tc>
        <w:tc>
          <w:tcPr/>
          <w:p>
            <w:pPr>
              <w:pStyle w:val="Compact"/>
              <w:jc w:val="center"/>
            </w:pPr>
            <w:r>
              <w:t xml:space="preserve">25.2%</w:t>
            </w:r>
          </w:p>
        </w:tc>
        <w:tc>
          <w:tcPr/>
          <w:p>
            <w:pPr>
              <w:pStyle w:val="Compact"/>
              <w:jc w:val="center"/>
            </w:pPr>
            <m:oMath>
              <m:r>
                <m:rPr>
                  <m:sty m:val="p"/>
                </m:rPr>
                <m:t>−</m:t>
              </m:r>
              <m:r>
                <m:t>5.3</m:t>
              </m:r>
            </m:oMath>
            <w:r>
              <w:t xml:space="preserve"> </w:t>
            </w:r>
            <w:r>
              <w:t xml:space="preserve">(</w:t>
            </w:r>
            <m:oMath>
              <m:r>
                <m:rPr>
                  <m:sty m:val="p"/>
                </m:rPr>
                <m:t>−</m:t>
              </m:r>
              <m:r>
                <m:t>11.9</m:t>
              </m:r>
            </m:oMath>
            <w:r>
              <w:t xml:space="preserve">,</w:t>
            </w:r>
            <w:r>
              <w:t xml:space="preserve"> </w:t>
            </w:r>
            <m:oMath>
              <m:r>
                <m:rPr>
                  <m:sty m:val="p"/>
                </m:rPr>
                <m:t>+</m:t>
              </m:r>
              <m:r>
                <m:t>1.3</m:t>
              </m:r>
            </m:oMath>
            <w:r>
              <w:t xml:space="preserve">)</w:t>
            </w:r>
          </w:p>
        </w:tc>
      </w:tr>
      <w:tr>
        <w:tc>
          <w:tcPr/>
          <w:p>
            <w:pPr>
              <w:pStyle w:val="Compact"/>
              <w:jc w:val="left"/>
            </w:pPr>
            <w:r>
              <w:t xml:space="preserve">Design-label recovery vs Altman</w:t>
            </w:r>
          </w:p>
        </w:tc>
        <w:tc>
          <w:tcPr/>
          <w:p>
            <w:pPr>
              <w:pStyle w:val="Compact"/>
              <w:jc w:val="center"/>
            </w:pPr>
            <w:r>
              <w:t xml:space="preserve">44.3%</w:t>
            </w:r>
          </w:p>
        </w:tc>
        <w:tc>
          <w:tcPr/>
          <w:p>
            <w:pPr>
              <w:pStyle w:val="Compact"/>
              <w:jc w:val="center"/>
            </w:pPr>
            <w:r>
              <w:t xml:space="preserve">36.7%</w:t>
            </w:r>
          </w:p>
        </w:tc>
        <w:tc>
          <w:tcPr/>
          <w:p>
            <w:pPr>
              <w:pStyle w:val="Compact"/>
            </w:pPr>
          </w:p>
        </w:tc>
      </w:tr>
      <w:tr>
        <w:tc>
          <w:tcPr/>
          <w:p>
            <w:pPr>
              <w:pStyle w:val="Compact"/>
              <w:jc w:val="left"/>
            </w:pPr>
            <w:r>
              <w:t xml:space="preserve">IG rate (leniency)</w:t>
            </w:r>
          </w:p>
        </w:tc>
        <w:tc>
          <w:tcPr/>
          <w:p>
            <w:pPr>
              <w:pStyle w:val="Compact"/>
              <w:jc w:val="center"/>
            </w:pPr>
            <w:r>
              <w:t xml:space="preserve">58.6%</w:t>
            </w:r>
          </w:p>
        </w:tc>
        <w:tc>
          <w:tcPr/>
          <w:p>
            <w:pPr>
              <w:pStyle w:val="Compact"/>
              <w:jc w:val="center"/>
            </w:pPr>
            <w:r>
              <w:t xml:space="preserve">79.9%</w:t>
            </w:r>
          </w:p>
        </w:tc>
        <w:tc>
          <w:tcPr/>
          <w:p>
            <w:pPr>
              <w:pStyle w:val="Compact"/>
            </w:pPr>
          </w:p>
        </w:tc>
      </w:tr>
      <w:tr>
        <w:tc>
          <w:tcPr>
            <w:gridSpan w:val="4"/>
          </w:tcPr>
          <w:p>
            <w:pPr>
              <w:pStyle w:val="Compact"/>
              <w:jc w:val="left"/>
            </w:pPr>
            <w:r>
              <w:t xml:space="preserve">Nano/flash:</w:t>
            </w:r>
            <w:r>
              <w:t xml:space="preserve"> </w:t>
            </w:r>
            <w:r>
              <w:rPr>
                <w:rStyle w:val="VerbatimChar"/>
              </w:rPr>
              <w:t xml:space="preserve">gpt-5.4-nano</w:t>
            </w:r>
            <w:r>
              <w:t xml:space="preserve"> </w:t>
            </w:r>
            <w:r>
              <w:t xml:space="preserve">+</w:t>
            </w:r>
            <w:r>
              <w:t xml:space="preserve"> </w:t>
            </w:r>
            <w:r>
              <w:rPr>
                <w:rStyle w:val="VerbatimChar"/>
              </w:rPr>
              <w:t xml:space="preserve">gemini-3.5-flash</w:t>
            </w:r>
            <w:r>
              <w:t xml:space="preserve">. Flagship:</w:t>
            </w:r>
            <w:r>
              <w:t xml:space="preserve"> </w:t>
            </w:r>
            <w:r>
              <w:rPr>
                <w:rStyle w:val="VerbatimChar"/>
              </w:rPr>
              <w:t xml:space="preserve">gpt-5.4</w:t>
            </w:r>
            <w:r>
              <w:t xml:space="preserve"> </w:t>
            </w:r>
            <w:r>
              <w:t xml:space="preserve">+</w:t>
            </w:r>
            <w:r>
              <w:t xml:space="preserve"> </w:t>
            </w:r>
            <w:r>
              <w:rPr>
                <w:rStyle w:val="VerbatimChar"/>
              </w:rPr>
              <w:t xml:space="preserve">gemini-3.1-pro-preview</w:t>
            </w:r>
            <w:r>
              <w:t xml:space="preserve">.</w:t>
            </w:r>
          </w:p>
        </w:tc>
      </w:tr>
      <w:tr>
        <w:tc>
          <w:tcPr>
            <w:gridSpan w:val="4"/>
          </w:tcPr>
          <w:p>
            <w:pPr>
              <w:pStyle w:val="Compact"/>
              <w:jc w:val="left"/>
            </w:pPr>
            <w:r>
              <w:t xml:space="preserve">At the nano/flash tier the pooled IG/HY flip exceeds both per-provider figures because</w:t>
            </w:r>
          </w:p>
        </w:tc>
      </w:tr>
      <w:tr>
        <w:tc>
          <w:tcPr>
            <w:gridSpan w:val="4"/>
          </w:tcPr>
          <w:p>
            <w:pPr>
              <w:pStyle w:val="Compact"/>
              <w:jc w:val="left"/>
            </w:pPr>
            <w:r>
              <w:t xml:space="preserve">pooling adds cross-provider disagreement absent within a single provider</w:t>
            </w:r>
          </w:p>
        </w:tc>
      </w:tr>
      <w:tr>
        <w:tc>
          <w:tcPr>
            <w:gridSpan w:val="4"/>
          </w:tcPr>
          <w:p>
            <w:pPr>
              <w:pStyle w:val="Compact"/>
              <w:jc w:val="left"/>
            </w:pPr>
            <w:r>
              <w:t xml:space="preserve">(Section 3.3). At the flagship tier it lies between them, reflecting the provider</w:t>
            </w:r>
          </w:p>
        </w:tc>
      </w:tr>
      <w:tr>
        <w:tc>
          <w:tcPr>
            <w:gridSpan w:val="4"/>
          </w:tcPr>
          <w:p>
            <w:pPr>
              <w:pStyle w:val="Compact"/>
              <w:jc w:val="left"/>
            </w:pPr>
            <w:r>
              <w:t xml:space="preserve">heterogeneity noted in Section 3.8.</w:t>
            </w:r>
          </w:p>
        </w:tc>
      </w:tr>
      <w:tr>
        <w:tc>
          <w:tcPr>
            <w:gridSpan w:val="4"/>
          </w:tcPr>
          <w:p>
            <w:pPr>
              <w:pStyle w:val="Compact"/>
              <w:jc w:val="left"/>
            </w:pPr>
            <w:r>
              <w:t xml:space="preserve">Google flagship is one minor generation behind its flash counterpart (no Gemini-3.5 Pro exists).</w:t>
            </w:r>
          </w:p>
        </w:tc>
      </w:tr>
    </w:tbl>
    <w:bookmarkEnd w:id="44"/>
    <w:bookmarkEnd w:id="45"/>
    <w:bookmarkStart w:id="47" w:name="sec:reasoning"/>
    <w:p>
      <w:pPr>
        <w:pStyle w:val="Heading2"/>
      </w:pPr>
      <w:r>
        <w:rPr>
          <w:rStyle w:val="SectionNumber"/>
        </w:rPr>
        <w:t xml:space="preserve">3.9</w:t>
      </w:r>
      <w:r>
        <w:tab/>
      </w:r>
      <w:r>
        <w:t xml:space="preserve">Model class robustness: a reasoning architecture (post-hoc)</w:t>
      </w:r>
    </w:p>
    <w:p>
      <w:pPr>
        <w:pStyle w:val="FirstParagraph"/>
      </w:pPr>
      <w:r>
        <w:t xml:space="preserve">This analysis is</w:t>
      </w:r>
      <w:r>
        <w:t xml:space="preserve"> </w:t>
      </w:r>
      <w:r>
        <w:rPr>
          <w:i/>
          <w:iCs/>
        </w:rPr>
        <w:t xml:space="preserve">post-hoc</w:t>
      </w:r>
      <w:r>
        <w:t xml:space="preserve">. It was not pre-registered and was collected in a separate run to address</w:t>
      </w:r>
      <w:r>
        <w:t xml:space="preserve"> </w:t>
      </w:r>
      <w:r>
        <w:t xml:space="preserve">the worry that instability could be resolved by an explicit reasoning pipeline. We ran the frozen</w:t>
      </w:r>
      <w:r>
        <w:t xml:space="preserve"> </w:t>
      </w:r>
      <w:r>
        <w:t xml:space="preserve">12-specification grid over the 45 credit-health profiles at three seeds on an open-weight model with a</w:t>
      </w:r>
      <w:r>
        <w:t xml:space="preserve"> </w:t>
      </w:r>
      <w:r>
        <w:t xml:space="preserve">native chain-of-thought, DeepSeek-R1 (via the OpenRouter API, frozen under</w:t>
      </w:r>
      <w:r>
        <w:t xml:space="preserve"> </w:t>
      </w:r>
      <w:r>
        <w:rPr>
          <w:rStyle w:val="VerbatimChar"/>
        </w:rPr>
        <w:t xml:space="preserve">MANIFEST_REASONING.sha256</w:t>
      </w:r>
      <w:r>
        <w:t xml:space="preserve">), adding a third model family and reasoning architecture. Because a</w:t>
      </w:r>
      <w:r>
        <w:t xml:space="preserve"> </w:t>
      </w:r>
      <w:r>
        <w:t xml:space="preserve">single model instantiates the grid, this arm exercises the three non-provider axes (paraphrase, output</w:t>
      </w:r>
      <w:r>
        <w:t xml:space="preserve"> </w:t>
      </w:r>
      <w:r>
        <w:t xml:space="preserve">format, presentation) and holds the fourth grid axis, provider, constant.</w:t>
      </w:r>
    </w:p>
    <w:p>
      <w:pPr>
        <w:pStyle w:val="BodyText"/>
      </w:pPr>
      <w:r>
        <w:t xml:space="preserve">The per-comparison IG/HY flip is 25.5% (95% CI 20.9–30.1%), and the paired difference against the</w:t>
      </w:r>
      <w:r>
        <w:t xml:space="preserve"> </w:t>
      </w:r>
      <w:r>
        <w:t xml:space="preserve">nano/flash tier is</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 </w:t>
      </w:r>
      <w:r>
        <w:t xml:space="preserve">to</w:t>
      </w:r>
      <w:r>
        <w:t xml:space="preserve"> </w:t>
      </w:r>
      <m:oMath>
        <m:r>
          <m:rPr>
            <m:sty m:val="p"/>
          </m:rPr>
          <m:t>+</m:t>
        </m:r>
        <m:r>
          <m:t>8.8</m:t>
        </m:r>
      </m:oMath>
      <w:r>
        <w:t xml:space="preserve">), indistinguishable from zero</w:t>
      </w:r>
      <w:r>
        <w:t xml:space="preserve"> </w:t>
      </w:r>
      <w:r>
        <w:t xml:space="preserve">(Table 7). Two design differences qualify the comparison rather than make it strictly</w:t>
      </w:r>
      <w:r>
        <w:t xml:space="preserve"> </w:t>
      </w:r>
      <w:r>
        <w:t xml:space="preserve">like-for-like. The reasoning arm shows no cross-provider variation (the largest single agreement gap,</w:t>
      </w:r>
      <w:r>
        <w:t xml:space="preserve"> </w:t>
      </w:r>
      <w:r>
        <w:t xml:space="preserve">Section 3.3), and DeepSeek-R1 has a much more skewed marginal, giving</w:t>
      </w:r>
      <w:r>
        <w:t xml:space="preserve"> </w:t>
      </w:r>
      <w:r>
        <w:t xml:space="preserve">investment grade to only 31.4% of elicitations, compared with 79.9% for the flagship tier. We therefore read</w:t>
      </w:r>
      <w:r>
        <w:t xml:space="preserve"> </w:t>
      </w:r>
      <w:r>
        <w:t xml:space="preserve">the 25.5% flip as evidence of specification sensitivity within the evaluated reasoning model. In this arm,</w:t>
      </w:r>
      <w:r>
        <w:t xml:space="preserve"> </w:t>
      </w:r>
      <w:r>
        <w:t xml:space="preserve">we do not detect attenuation of elicitation sensitivity under chain-of-thought reasoning.</w:t>
      </w:r>
    </w:p>
    <w:bookmarkStart w:id="46" w:name="tab:reason"/>
    <w:p>
      <w:pPr>
        <w:pStyle w:val="TableCaption"/>
      </w:pPr>
      <w:r>
        <w:t xml:space="preserve">Reasoning-architecture arm (post-hoc, not pre-registered): per-comparison IG/HY flip on the</w:t>
      </w:r>
      <w:r>
        <w:t xml:space="preserve"> </w:t>
      </w:r>
      <w:r>
        <w:t xml:space="preserve">frozen 12-specification grid (45 credit-health items, three seeds), and two-provider tiers for</w:t>
      </w:r>
      <w:r>
        <w:t xml:space="preserve"> </w:t>
      </w:r>
      <w:r>
        <w:t xml:space="preserve">reference. The reasoning arm holds provider constant (single model). The paired difference is item-wise.</w:t>
      </w:r>
    </w:p>
    <w:tbl>
      <w:tblPr>
        <w:tblStyle w:val="Table"/>
        <w:tblW w:type="auto" w:w="0"/>
        <w:tblLook w:firstRow="1" w:lastRow="0" w:firstColumn="0" w:lastColumn="0" w:noHBand="0" w:noVBand="0" w:val="0020"/>
        <w:tblCaption w:val="Reasoning-architecture arm (post-hoc, not pre-registered): per-comparison IG/HY flip on the frozen 12-specification grid (45 credit-health items, three seeds), and two-provider tiers for reference. The reasoning arm holds provider constant (single model). The paired difference is item-wise."/>
      </w:tblPr>
      <w:tblGrid>
        <w:gridCol w:w="2640"/>
        <w:gridCol w:w="2640"/>
        <w:gridCol w:w="2640"/>
      </w:tblGrid>
      <w:tr>
        <w:trPr>
          <w:tblHeader w:val="on"/>
        </w:trPr>
        <w:tc>
          <w:tcPr/>
          <w:p>
            <w:pPr>
              <w:pStyle w:val="Compact"/>
              <w:jc w:val="left"/>
            </w:pPr>
            <w:r>
              <w:t xml:space="preserve">Tier</w:t>
            </w:r>
          </w:p>
        </w:tc>
        <w:tc>
          <w:tcPr/>
          <w:p>
            <w:pPr>
              <w:pStyle w:val="Compact"/>
              <w:jc w:val="center"/>
            </w:pPr>
            <w:r>
              <w:t xml:space="preserve">IG/HY flip (95% CI)</w:t>
            </w:r>
          </w:p>
        </w:tc>
        <w:tc>
          <w:tcPr/>
          <w:p>
            <w:pPr>
              <w:pStyle w:val="Compact"/>
              <w:jc w:val="center"/>
            </w:pPr>
            <w:r>
              <w:t xml:space="preserve">IG rate</w:t>
            </w:r>
          </w:p>
        </w:tc>
      </w:tr>
      <w:tr>
        <w:tc>
          <w:tcPr/>
          <w:p>
            <w:pPr>
              <w:pStyle w:val="Compact"/>
              <w:jc w:val="left"/>
            </w:pPr>
            <w:r>
              <w:t xml:space="preserve">Nano/flash (two providers)</w:t>
            </w:r>
          </w:p>
        </w:tc>
        <w:tc>
          <w:tcPr/>
          <w:p>
            <w:pPr>
              <w:pStyle w:val="Compact"/>
              <w:jc w:val="center"/>
            </w:pPr>
            <w:r>
              <w:t xml:space="preserve">24.7% (19.1–30.6)</w:t>
            </w:r>
          </w:p>
        </w:tc>
        <w:tc>
          <w:tcPr/>
          <w:p>
            <w:pPr>
              <w:pStyle w:val="Compact"/>
              <w:jc w:val="center"/>
            </w:pPr>
            <w:r>
              <w:t xml:space="preserve">58.6%</w:t>
            </w:r>
          </w:p>
        </w:tc>
      </w:tr>
      <w:tr>
        <w:tc>
          <w:tcPr/>
          <w:p>
            <w:pPr>
              <w:pStyle w:val="Compact"/>
              <w:jc w:val="left"/>
            </w:pPr>
            <w:r>
              <w:t xml:space="preserve">Flagship (two providers)</w:t>
            </w:r>
          </w:p>
        </w:tc>
        <w:tc>
          <w:tcPr/>
          <w:p>
            <w:pPr>
              <w:pStyle w:val="Compact"/>
              <w:jc w:val="center"/>
            </w:pPr>
            <w:r>
              <w:t xml:space="preserve">23.6% (19.4–27.8)</w:t>
            </w:r>
          </w:p>
        </w:tc>
        <w:tc>
          <w:tcPr/>
          <w:p>
            <w:pPr>
              <w:pStyle w:val="Compact"/>
              <w:jc w:val="center"/>
            </w:pPr>
            <w:r>
              <w:t xml:space="preserve">79.9%</w:t>
            </w:r>
          </w:p>
        </w:tc>
      </w:tr>
      <w:tr>
        <w:tc>
          <w:tcPr/>
          <w:p>
            <w:pPr>
              <w:pStyle w:val="Compact"/>
              <w:jc w:val="left"/>
            </w:pPr>
            <w:r>
              <w:t xml:space="preserve">Reasoning</w:t>
            </w:r>
            <w:r>
              <w:t xml:space="preserve"> </w:t>
            </w:r>
            <w:r>
              <w:rPr>
                <w:rStyle w:val="VerbatimChar"/>
              </w:rPr>
              <w:t xml:space="preserve">deepseek-r1</w:t>
            </w:r>
            <w:r>
              <w:t xml:space="preserve"> </w:t>
            </w:r>
            <w:r>
              <w:t xml:space="preserve">(single model)</w:t>
            </w:r>
          </w:p>
        </w:tc>
        <w:tc>
          <w:tcPr/>
          <w:p>
            <w:pPr>
              <w:pStyle w:val="Compact"/>
              <w:jc w:val="center"/>
            </w:pPr>
            <w:r>
              <w:t xml:space="preserve">25.5% (20.9–30.1)</w:t>
            </w:r>
          </w:p>
        </w:tc>
        <w:tc>
          <w:tcPr/>
          <w:p>
            <w:pPr>
              <w:pStyle w:val="Compact"/>
              <w:jc w:val="center"/>
            </w:pPr>
            <w:r>
              <w:t xml:space="preserve">31.4%</w:t>
            </w:r>
          </w:p>
        </w:tc>
      </w:tr>
      <w:tr>
        <w:tc>
          <w:tcPr>
            <w:gridSpan w:val="3"/>
          </w:tcPr>
          <w:p>
            <w:pPr>
              <w:pStyle w:val="Compact"/>
              <w:jc w:val="left"/>
            </w:pPr>
            <w:r>
              <w:t xml:space="preserve">Paired difference, reasoning</w:t>
            </w:r>
            <w:r>
              <w:t xml:space="preserve"> </w:t>
            </w:r>
            <m:oMath>
              <m:r>
                <m:rPr>
                  <m:sty m:val="p"/>
                </m:rPr>
                <m:t>−</m:t>
              </m:r>
            </m:oMath>
            <w:r>
              <w:t xml:space="preserve"> </w:t>
            </w:r>
            <w:r>
              <w:t xml:space="preserve">nano/flash:</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w:t>
            </w:r>
            <w:r>
              <w:t xml:space="preserve"> </w:t>
            </w:r>
            <m:oMath>
              <m:r>
                <m:rPr>
                  <m:sty m:val="p"/>
                </m:rPr>
                <m:t>+</m:t>
              </m:r>
              <m:r>
                <m:t>8.8</m:t>
              </m:r>
            </m:oMath>
            <w:r>
              <w:t xml:space="preserve">).</w:t>
            </w:r>
          </w:p>
        </w:tc>
      </w:tr>
      <w:tr>
        <w:tc>
          <w:tcPr>
            <w:gridSpan w:val="3"/>
          </w:tcPr>
          <w:p>
            <w:pPr>
              <w:pStyle w:val="Compact"/>
              <w:jc w:val="left"/>
            </w:pPr>
            <w:r>
              <w:t xml:space="preserve">Reasoning arm varies three non-provider axes, provider is held constant.</w:t>
            </w:r>
          </w:p>
        </w:tc>
      </w:tr>
    </w:tbl>
    <w:bookmarkEnd w:id="46"/>
    <w:bookmarkEnd w:id="47"/>
    <w:bookmarkStart w:id="52" w:name="sec:selfcons"/>
    <w:p>
      <w:pPr>
        <w:pStyle w:val="Heading2"/>
      </w:pPr>
      <w:r>
        <w:rPr>
          <w:rStyle w:val="SectionNumber"/>
        </w:rPr>
        <w:t xml:space="preserve">3.10</w:t>
      </w:r>
      <w:r>
        <w:tab/>
      </w:r>
      <w:r>
        <w:t xml:space="preserve">Self-consistency: does aggregation remove the instability? (post-hoc)</w:t>
      </w:r>
    </w:p>
    <w:p>
      <w:pPr>
        <w:pStyle w:val="FirstParagraph"/>
      </w:pPr>
      <w:r>
        <w:t xml:space="preserve">This analysis is post-hoc and was not part of the pre-registration. A natural remedy is self-consistency. Instead of acting on a single elicitation, aggregate</w:t>
      </w:r>
      <w:r>
        <w:t xml:space="preserve"> </w:t>
      </w:r>
      <m:oMath>
        <m:r>
          <m:t>k</m:t>
        </m:r>
      </m:oMath>
      <w:r>
        <w:t xml:space="preserve"> </w:t>
      </w:r>
      <w:r>
        <w:t xml:space="preserve">elicitation observations 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rPr>
            <m:sty m:val="p"/>
          </m:rPr>
          <m:t>=</m:t>
        </m:r>
        <m:r>
          <m:t>1</m:t>
        </m:r>
        <m:r>
          <m:rPr>
            <m:sty m:val="p"/>
          </m:rPr>
          <m:t>,</m:t>
        </m:r>
        <m:r>
          <m:t>3</m:t>
        </m:r>
        <m:r>
          <m:rPr>
            <m:sty m:val="p"/>
          </m:rPr>
          <m:t>,</m:t>
        </m:r>
        <m:r>
          <m:t>5</m:t>
        </m:r>
        <m:r>
          <m:rPr>
            <m:sty m:val="p"/>
          </m:rPr>
          <m:t>,</m:t>
        </m:r>
        <m:r>
          <m:t>9</m:t>
        </m:r>
        <m:r>
          <m:rPr>
            <m:sty m:val="p"/>
          </m:rPr>
          <m:t>,</m:t>
        </m:r>
        <m:r>
          <m:t>15</m:t>
        </m:r>
      </m:oMath>
      <w:r>
        <w:t xml:space="preserve"> </w:t>
      </w:r>
      <w:r>
        <w:t xml:space="preserve">(Fig. 4).</w:t>
      </w:r>
      <w:r>
        <w:t xml:space="preserve"> </w:t>
      </w:r>
      <w:r>
        <w:t xml:space="preserve">Aggregation reduces but does not remove the instability. The residual flip falls from 25.2% at</w:t>
      </w:r>
      <w:r>
        <w:t xml:space="preserve"> </w:t>
      </w:r>
      <m:oMath>
        <m:r>
          <m:t>k</m:t>
        </m:r>
        <m:r>
          <m:rPr>
            <m:sty m:val="p"/>
          </m:rPr>
          <m:t>=</m:t>
        </m:r>
        <m:r>
          <m:t>1</m:t>
        </m:r>
      </m:oMath>
      <w:r>
        <w:t xml:space="preserve"> </w:t>
      </w:r>
      <w:r>
        <w:t xml:space="preserve">to</w:t>
      </w:r>
      <w:r>
        <w:t xml:space="preserve"> </w:t>
      </w:r>
      <w:r>
        <w:t xml:space="preserve">19.4% (</w:t>
      </w:r>
      <m:oMath>
        <m:r>
          <m:t>k</m:t>
        </m:r>
        <m:r>
          <m:rPr>
            <m:sty m:val="p"/>
          </m:rPr>
          <m:t>=</m:t>
        </m:r>
        <m:r>
          <m:t>3</m:t>
        </m:r>
      </m:oMath>
      <w:r>
        <w:t xml:space="preserve">), 16.6% (</w:t>
      </w:r>
      <m:oMath>
        <m:r>
          <m:t>k</m:t>
        </m:r>
        <m:r>
          <m:rPr>
            <m:sty m:val="p"/>
          </m:rPr>
          <m:t>=</m:t>
        </m:r>
        <m:r>
          <m:t>5</m:t>
        </m:r>
      </m:oMath>
      <w:r>
        <w:t xml:space="preserve">), 13.6% (</w:t>
      </w:r>
      <m:oMath>
        <m:r>
          <m:t>k</m:t>
        </m:r>
        <m:r>
          <m:rPr>
            <m:sty m:val="p"/>
          </m:rPr>
          <m:t>=</m:t>
        </m:r>
        <m:r>
          <m:t>9</m:t>
        </m:r>
      </m:oMath>
      <w:r>
        <w:t xml:space="preserve">), and 11.1% at</w:t>
      </w:r>
      <w:r>
        <w:t xml:space="preserve"> </w:t>
      </w:r>
      <m:oMath>
        <m:r>
          <m:t>k</m:t>
        </m:r>
        <m:r>
          <m:rPr>
            <m:sty m:val="p"/>
          </m:rP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bookmarkStart w:id="51" w:name="fig:selfcons"/>
    <w:p>
      <w:pPr>
        <w:pStyle w:val="CaptionedFigure"/>
      </w:pPr>
      <w:r>
        <w:drawing>
          <wp:inline>
            <wp:extent cx="3307080" cy="2002301"/>
            <wp:effectExtent b="0" l="0" r="0" t="0"/>
            <wp:docPr descr="" title="" id="49" name="Picture"/>
            <a:graphic>
              <a:graphicData uri="http://schemas.openxmlformats.org/drawingml/2006/picture">
                <pic:pic>
                  <pic:nvPicPr>
                    <pic:cNvPr descr="fig_selfconsistency.pdf" id="50" name="Picture"/>
                    <pic:cNvPicPr>
                      <a:picLocks noChangeArrowheads="1" noChangeAspect="1"/>
                    </pic:cNvPicPr>
                  </pic:nvPicPr>
                  <pic:blipFill>
                    <a:blip r:embed="rId48"/>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rPr>
            <m:sty m:val="p"/>
          </m:rPr>
          <m:t>=</m:t>
        </m:r>
        <m:r>
          <m:t>15</m:t>
        </m:r>
      </m:oMath>
      <w:r>
        <w:t xml:space="preserve">. The curve is analytic rather than sampled. For each profile,</w:t>
      </w:r>
      <w:r>
        <w:t xml:space="preserve"> </w:t>
      </w:r>
      <m:oMath>
        <m:r>
          <m:t>p</m:t>
        </m:r>
      </m:oMath>
      <w:r>
        <w:t xml:space="preserve"> </w:t>
      </w:r>
      <w:r>
        <w:t xml:space="preserve">is its empirical share of investment-grade elicitations over all of its</w:t>
      </w:r>
      <w:r>
        <w:t xml:space="preserve"> </w:t>
      </w:r>
      <m:oMath>
        <m:sSub>
          <m:e>
            <m:r>
              <m:t>n</m:t>
            </m:r>
          </m:e>
          <m:sub>
            <m:r>
              <m:t>i</m:t>
            </m:r>
          </m:sub>
        </m:sSub>
      </m:oMath>
      <w:r>
        <w:t xml:space="preserve"> </w:t>
      </w:r>
      <w:r>
        <w:t xml:space="preserve">elicitations (</w:t>
      </w:r>
      <m:oMath>
        <m:r>
          <m:t>96</m:t>
        </m:r>
      </m:oMath>
      <w:r>
        <w:t xml:space="preserve"> </w:t>
      </w:r>
      <w:r>
        <w:t xml:space="preserve">for 41 profiles,</w:t>
      </w:r>
      <w:r>
        <w:t xml:space="preserve"> </w:t>
      </w:r>
      <m:oMath>
        <m:r>
          <m:t>95</m:t>
        </m:r>
      </m:oMath>
      <w:r>
        <w:t xml:space="preserve"> </w:t>
      </w:r>
      <w:r>
        <w:t xml:space="preserve">for four). The</w:t>
      </w:r>
      <w:r>
        <w:t xml:space="preserve"> </w:t>
      </w:r>
      <m:oMath>
        <m:r>
          <m:t>k</m:t>
        </m:r>
      </m:oMath>
      <w:r>
        <w:t xml:space="preserve"> </w:t>
      </w:r>
      <w:r>
        <w:t xml:space="preserve">votes are modelled as independent Bernoulli</w:t>
      </w:r>
      <m:oMath>
        <m:r>
          <m:rPr>
            <m:sty m:val="p"/>
          </m:rPr>
          <m:t>(</m:t>
        </m:r>
        <m:r>
          <m:t>p</m:t>
        </m:r>
        <m:r>
          <m:rPr>
            <m:sty m:val="p"/>
          </m:rPr>
          <m:t>)</m:t>
        </m:r>
      </m:oMath>
      <w:r>
        <w:t xml:space="preserve"> </w:t>
      </w:r>
      <w:r>
        <w:t xml:space="preserve">draws, so</w:t>
      </w:r>
      <w:r>
        <w:t xml:space="preserve"> </w:t>
      </w:r>
      <m:oMath>
        <m:r>
          <m:t>q</m:t>
        </m:r>
        <m:r>
          <m:rPr>
            <m:sty m:val="p"/>
          </m:rPr>
          <m:t>=</m:t>
        </m:r>
        <m:r>
          <m:rPr>
            <m:sty m:val="p"/>
          </m:rPr>
          <m:t>Pr</m:t>
        </m:r>
        <m:r>
          <m:rPr>
            <m:sty m:val="p"/>
          </m:rPr>
          <m:t>(</m:t>
        </m:r>
        <m:r>
          <m:t>k</m:t>
        </m:r>
        <m:r>
          <m:rPr>
            <m:nor/>
            <m:sty m:val="p"/>
          </m:rPr>
          <m:t>-vote returns IG</m:t>
        </m:r>
        <m:r>
          <m:rPr>
            <m:sty m:val="p"/>
          </m:rPr>
          <m:t>)</m:t>
        </m:r>
      </m:oMath>
      <w:r>
        <w:t xml:space="preserve"> </w:t>
      </w:r>
      <w:r>
        <w:t xml:space="preserve">follows in closed form from the binomial, with ties at even</w:t>
      </w:r>
      <w:r>
        <w:t xml:space="preserve"> </w:t>
      </w:r>
      <m:oMath>
        <m:r>
          <m:t>k</m:t>
        </m:r>
      </m:oMath>
      <w:r>
        <w:t xml:space="preserve"> </w:t>
      </w:r>
      <w:r>
        <w:t xml:space="preserve">resolved to either class with probability one half. The plotted residual is the mean over profiles of</w:t>
      </w:r>
      <w:r>
        <w:t xml:space="preserve"> </w:t>
      </w:r>
      <m:oMath>
        <m:r>
          <m:t>2</m:t>
        </m:r>
        <m:r>
          <m:t>q</m:t>
        </m:r>
        <m:r>
          <m:rPr>
            <m:sty m:val="p"/>
          </m:rPr>
          <m:t>(</m:t>
        </m:r>
        <m:r>
          <m:t>1</m:t>
        </m:r>
        <m:r>
          <m:rPr>
            <m:sty m:val="p"/>
          </m:rPr>
          <m:t>−</m:t>
        </m:r>
        <m:r>
          <m:t>q</m:t>
        </m:r>
        <m:r>
          <m:rPr>
            <m:sty m:val="p"/>
          </m:rPr>
          <m:t>)</m:t>
        </m:r>
      </m:oMath>
      <w:r>
        <w:t xml:space="preserve">, the probability that two independent</w:t>
      </w:r>
      <w:r>
        <w:t xml:space="preserve"> </w:t>
      </w:r>
      <m:oMath>
        <m:r>
          <m:t>k</m:t>
        </m:r>
      </m:oMath>
      <w:r>
        <w:t xml:space="preserve">-vote assessments of the same profile disagree.</w:t>
      </w:r>
    </w:p>
    <w:bookmarkEnd w:id="51"/>
    <w:bookmarkEnd w:id="52"/>
    <w:bookmarkEnd w:id="53"/>
    <w:bookmarkStart w:id="68" w:name="sec:sis"/>
    <w:p>
      <w:pPr>
        <w:pStyle w:val="Heading1"/>
      </w:pPr>
      <w:r>
        <w:rPr>
          <w:rStyle w:val="SectionNumber"/>
        </w:rPr>
        <w:t xml:space="preserve">4</w:t>
      </w:r>
      <w:r>
        <w:tab/>
      </w:r>
      <w:r>
        <w:t xml:space="preserve">A specification-instability dispersion index and review rule</w:t>
      </w:r>
    </w:p>
    <w:p>
      <w:pPr>
        <w:pStyle w:val="FirstParagraph"/>
      </w:pPr>
      <w:r>
        <w:t xml:space="preserve">Because the instability is a property of the elicitation process, it can be measured at inference</w:t>
      </w:r>
      <w:r>
        <w:t xml:space="preserve"> </w:t>
      </w:r>
      <w:r>
        <w:t xml:space="preserve">time from the model’s own outputs and reported alongside every rating. This section defines a</w:t>
      </w:r>
      <w:r>
        <w:t xml:space="preserve"> </w:t>
      </w:r>
      <w:r>
        <w:t xml:space="preserve">descriptive dispersion index, benchmarks it against simpler measures of disagreement, and specifies</w:t>
      </w:r>
      <w:r>
        <w:t xml:space="preserve"> </w:t>
      </w:r>
      <w:r>
        <w:t xml:space="preserve">the cost and governance use of a review rule based on disagreement. It does not validate an</w:t>
      </w:r>
      <w:r>
        <w:t xml:space="preserve"> </w:t>
      </w:r>
      <w:r>
        <w:t xml:space="preserve">operational control, and Section 4.3 shows the index carries no incremental</w:t>
      </w:r>
      <w:r>
        <w:t xml:space="preserve"> </w:t>
      </w:r>
      <w:r>
        <w:t xml:space="preserve">discrimination over counting dissenting elicitations at the resolutions tested.</w:t>
      </w:r>
    </w:p>
    <w:bookmarkStart w:id="55" w:name="definition"/>
    <w:p>
      <w:pPr>
        <w:pStyle w:val="Heading2"/>
      </w:pPr>
      <w:r>
        <w:rPr>
          <w:rStyle w:val="SectionNumber"/>
        </w:rPr>
        <w:t xml:space="preserve">4.1</w:t>
      </w:r>
      <w:r>
        <w:tab/>
      </w:r>
      <w:r>
        <w:t xml:space="preserve">Definition</w:t>
      </w:r>
    </w:p>
    <w:p>
      <w:pPr>
        <w:pStyle w:val="FirstParagraph"/>
      </w:pPr>
      <w:r>
        <w:t xml:space="preserve">For an issuer</w:t>
      </w:r>
      <w:r>
        <w:t xml:space="preserve"> </w:t>
      </w:r>
      <m:oMath>
        <m:r>
          <m:t>x</m:t>
        </m:r>
      </m:oMath>
      <w:r>
        <w:t xml:space="preserve">, fix a plan of</w:t>
      </w:r>
      <w:r>
        <w:t xml:space="preserve"> </w:t>
      </w:r>
      <m:oMath>
        <m:r>
          <m:t>k</m:t>
        </m:r>
      </m:oMath>
      <w:r>
        <w:t xml:space="preserve"> </w:t>
      </w:r>
      <w:r>
        <w:t xml:space="preserve">elicitation observations drawn from defensible specifications, and a decision</w:t>
      </w:r>
      <w:r>
        <w:t xml:space="preserve"> </w:t>
      </w:r>
      <w:r>
        <w:t xml:space="preserve">resolution</w:t>
      </w:r>
      <w:r>
        <w:t xml:space="preserve"> </w:t>
      </w:r>
      <m:oMath>
        <m:r>
          <m:t>g</m:t>
        </m:r>
      </m:oMath>
      <w:r>
        <w:t xml:space="preserve"> </w:t>
      </w:r>
      <w:r>
        <w:t xml:space="preserve">(for example, the map from letter grade to the IG/HY class). For each of the</w:t>
      </w:r>
      <w:r>
        <w:t xml:space="preserve"> </w:t>
      </w:r>
      <m:oMath>
        <m:r>
          <m:t>k</m:t>
        </m:r>
      </m:oMath>
      <w:r>
        <w:t xml:space="preserve"> </w:t>
      </w:r>
      <w:r>
        <w:t xml:space="preserve">planned elicitation</w:t>
      </w:r>
      <w:r>
        <w:t xml:space="preserve"> </w:t>
      </w:r>
      <w:r>
        <w:t xml:space="preserve">observations, query the model under its assigned specification, map the resulting rating to its</w:t>
      </w:r>
      <w:r>
        <w:t xml:space="preserve"> </w:t>
      </w:r>
      <w:r>
        <w:t xml:space="preserve">decision class, and let</w:t>
      </w:r>
      <w:r>
        <w:t xml:space="preserve"> </w:t>
      </w:r>
      <m:oMath>
        <m:sSub>
          <m:e>
            <m:r>
              <m:t>p</m:t>
            </m:r>
          </m:e>
          <m:sub>
            <m:r>
              <m:t>x</m:t>
            </m:r>
            <m:r>
              <m:rPr>
                <m:sty m:val="p"/>
              </m:rPr>
              <m:t>,</m:t>
            </m:r>
            <m:r>
              <m:t>c</m:t>
            </m:r>
          </m:sub>
        </m:sSub>
      </m:oMath>
      <w:r>
        <w:t xml:space="preserve"> </w:t>
      </w:r>
      <w:r>
        <w:t xml:space="preserve">denote the resulting class proportion. The</w:t>
      </w:r>
      <w:r>
        <w:t xml:space="preserve"> </w:t>
      </w:r>
      <w:r>
        <w:rPr>
          <w:i/>
          <w:iCs/>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rPr>
              <m:sty m:val="p"/>
            </m:rPr>
            <m:t>(</m:t>
          </m:r>
          <m:r>
            <m:t>x</m:t>
          </m:r>
          <m:r>
            <m:rPr>
              <m:sty m:val="p"/>
            </m:rPr>
            <m:t>)</m:t>
          </m:r>
          <m:r>
            <m:t> </m:t>
          </m:r>
          <m:r>
            <m:rPr>
              <m:sty m:val="p"/>
            </m:rPr>
            <m:t>=</m:t>
          </m:r>
          <m:r>
            <m:t> </m:t>
          </m:r>
          <m:r>
            <m:t>1</m:t>
          </m:r>
          <m:r>
            <m:rPr>
              <m:sty m:val="p"/>
            </m:rPr>
            <m:t>−</m:t>
          </m:r>
          <m:nary>
            <m:naryPr>
              <m:chr m:val="∑"/>
              <m:limLoc m:val="undOvr"/>
              <m:subHide m:val="off"/>
              <m:supHide m:val="on"/>
            </m:naryPr>
            <m:sub>
              <m:r>
                <m:t>c</m:t>
              </m:r>
            </m:sub>
            <m:sup>
              <m:r>
                <m:t>​</m:t>
              </m:r>
            </m:sup>
            <m:e>
              <m:sSubSup>
                <m:e>
                  <m:r>
                    <m:t>p</m:t>
                  </m:r>
                </m:e>
                <m:sub>
                  <m:r>
                    <m:t>x</m:t>
                  </m:r>
                  <m:r>
                    <m:rPr>
                      <m:sty m:val="p"/>
                    </m:rPr>
                    <m:t>,</m:t>
                  </m:r>
                  <m:r>
                    <m:t>c</m:t>
                  </m:r>
                </m:sub>
                <m:sup>
                  <m:r>
                    <m:t>2</m:t>
                  </m:r>
                </m:sup>
              </m:sSubSup>
            </m:e>
          </m:nary>
          <m:r>
            <m:rPr>
              <m:sty m:val="p"/>
            </m:rPr>
            <m:t>,</m:t>
          </m:r>
        </m:oMath>
      </m:oMathPara>
    </w:p>
    <w:p>
      <w:pPr>
        <w:pStyle w:val="FirstParagraph"/>
      </w:pPr>
      <w:r>
        <w:t xml:space="preserve">reported alongside the modal rating</w:t>
      </w:r>
      <w:r>
        <w:t xml:space="preserve"> </w:t>
      </w:r>
      <m:oMath>
        <m:acc>
          <m:accPr>
            <m:chr m:val="̂"/>
          </m:accPr>
          <m:e>
            <m:r>
              <m:t>r</m:t>
            </m:r>
          </m:e>
        </m:acc>
        <m:r>
          <m:rPr>
            <m:sty m:val="p"/>
          </m:rPr>
          <m:t>(</m:t>
        </m:r>
        <m:r>
          <m:t>x</m:t>
        </m:r>
        <m:r>
          <m:rPr>
            <m:sty m:val="p"/>
          </m:rPr>
          <m:t>)</m:t>
        </m:r>
        <m:r>
          <m:rPr>
            <m:sty m:val="p"/>
          </m:rPr>
          <m:t>=</m:t>
        </m:r>
        <m:r>
          <m:rPr>
            <m:sty m:val="p"/>
          </m:rPr>
          <m:t>arg</m:t>
        </m:r>
        <m:sSub>
          <m:e>
            <m:r>
              <m:rPr>
                <m:sty m:val="p"/>
              </m:rPr>
              <m:t>max</m:t>
            </m:r>
          </m:e>
          <m:sub>
            <m:r>
              <m:t>c</m:t>
            </m:r>
          </m:sub>
        </m:sSub>
        <m:sSub>
          <m:e>
            <m:r>
              <m:t>p</m:t>
            </m:r>
          </m:e>
          <m:sub>
            <m:r>
              <m:t>x</m:t>
            </m:r>
            <m:r>
              <m:rPr>
                <m:sty m:val="p"/>
              </m:rPr>
              <m:t>,</m:t>
            </m:r>
            <m:r>
              <m:t>c</m:t>
            </m:r>
          </m:sub>
        </m:sSub>
      </m:oMath>
      <w:r>
        <w:t xml:space="preserve">. A score of zero denotes an invariant decision class at the chosen resolution across the evaluated elicitations. Higher values indicate greater sensitivity of the decision class to elicitation choices (the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5). The Gini–Simpson form itself is a standard dispersion index. The contribution here is not a new mathematical index. Section 4.3 shows that the index is ordinally equivalent to counting dissents at the binary IG/HY gate and provides no incremental discrimination at the three-band resolution in the present analyses, despite the measures not being exactly rank-equivalent. What the section offers is the</w:t>
      </w:r>
      <w:r>
        <w:t xml:space="preserve"> </w:t>
      </w:r>
      <w:r>
        <w:t xml:space="preserve">held-out-specification evidence that early disagreement predicts later disagreement, a governance</w:t>
      </w:r>
      <w:r>
        <w:t xml:space="preserve"> </w:t>
      </w:r>
      <w:r>
        <w:t xml:space="preserve">trigger built on it, and a cost model for running it.</w:t>
      </w:r>
    </w:p>
    <w:bookmarkStart w:id="54" w:name="alg:sis"/>
    <w:tbl>
      <w:tblPr>
        <w:tblStyle w:val="FigureTable"/>
        <w:tblW w:type="auto" w:w="0"/>
        <w:jc w:val="center"/>
        <w:tblLook w:firstRow="0" w:lastRow="0" w:firstColumn="0" w:lastColumn="0"/>
      </w:tblPr>
      <w:tblGrid/>
    </w:tbl>
    <w:p>
      <w:pPr>
        <w:pStyle w:val="ImageCaption"/>
      </w:pPr>
      <w:r>
        <w:t xml:space="preserve">Dispersion index and review rule. Computable from any model served via API without</w:t>
      </w:r>
      <w:r>
        <w:t xml:space="preserve"> </w:t>
      </w:r>
      <w:r>
        <w:t xml:space="preserve">access to model internals. Here</w:t>
      </w:r>
      <w:r>
        <w:t xml:space="preserve"> </w:t>
      </w:r>
      <m:oMath>
        <m:r>
          <m:t>k</m:t>
        </m:r>
      </m:oMath>
      <w:r>
        <w:t xml:space="preserve"> </w:t>
      </w:r>
      <w:r>
        <w:t xml:space="preserve">is the number of elicitation</w:t>
      </w:r>
      <w:r>
        <w:t xml:space="preserve"> </w:t>
      </w:r>
      <w:r>
        <w:rPr>
          <w:i/>
          <w:iCs/>
        </w:rPr>
        <w:t xml:space="preserve">observations</w:t>
      </w:r>
      <w:r>
        <w:t xml:space="preserve"> </w:t>
      </w:r>
      <w:r>
        <w:t xml:space="preserve">entering the</w:t>
      </w:r>
      <w:r>
        <w:t xml:space="preserve"> </w:t>
      </w:r>
      <w:r>
        <w:t xml:space="preserve">calculation, which need not equal the number of distinct specifications: a one-call-per-specification</w:t>
      </w:r>
      <w:r>
        <w:t xml:space="preserve"> </w:t>
      </w:r>
      <w:r>
        <w:t xml:space="preserve">workflow has</w:t>
      </w:r>
      <w:r>
        <w:t xml:space="preserve"> </w:t>
      </w:r>
      <m:oMath>
        <m:r>
          <m:t>k</m:t>
        </m:r>
        <m:r>
          <m:rPr>
            <m:sty m:val="p"/>
          </m:rPr>
          <m:t>=</m:t>
        </m:r>
        <m:r>
          <m:rPr>
            <m:sty m:val="p"/>
          </m:rPr>
          <m:t>|</m:t>
        </m:r>
        <m:r>
          <m:t>S</m:t>
        </m:r>
        <m:r>
          <m:rPr>
            <m:sty m:val="p"/>
          </m:rPr>
          <m:t>|</m:t>
        </m:r>
      </m:oMath>
      <w:r>
        <w:t xml:space="preserve">, whereas the retrospective validation of Section 4.2 retains</w:t>
      </w:r>
      <w:r>
        <w:t xml:space="preserve"> </w:t>
      </w:r>
      <w:r>
        <w:t xml:space="preserve">three seeds per specification and so has</w:t>
      </w:r>
      <w:r>
        <w:t xml:space="preserve"> </w:t>
      </w:r>
      <m:oMath>
        <m:r>
          <m:t>k</m:t>
        </m:r>
        <m:r>
          <m:rPr>
            <m:sty m:val="p"/>
          </m:rPr>
          <m:t>=</m:t>
        </m:r>
        <m:r>
          <m:t>16</m:t>
        </m:r>
        <m:r>
          <m:rPr>
            <m:sty m:val="p"/>
          </m:rPr>
          <m:t>×</m:t>
        </m:r>
        <m:r>
          <m:t>3</m:t>
        </m:r>
        <m:r>
          <m:rPr>
            <m:sty m:val="p"/>
          </m:rPr>
          <m:t>=</m:t>
        </m:r>
        <m:r>
          <m:t>48</m:t>
        </m:r>
      </m:oMath>
      <w:r>
        <w:t xml:space="preserve">. The operational quantity is the integer</w:t>
      </w:r>
      <w:r>
        <w:t xml:space="preserve"> </w:t>
      </w:r>
      <w:r>
        <w:t xml:space="preserve">dissent count</w:t>
      </w:r>
      <w:r>
        <w:t xml:space="preserve"> </w:t>
      </w:r>
      <m:oMath>
        <m:r>
          <m:t>d</m:t>
        </m:r>
      </m:oMath>
      <w:r>
        <w:t xml:space="preserve">, referred when</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for a governance threshold</w:t>
      </w:r>
      <w:r>
        <w:t xml:space="preserve"> </w:t>
      </w:r>
      <m:oMath>
        <m:sSub>
          <m:e>
            <m:r>
              <m:t>c</m:t>
            </m:r>
          </m:e>
          <m:sub>
            <m:r>
              <m:rPr>
                <m:sty m:val="p"/>
              </m:rPr>
              <m:t>r</m:t>
            </m:r>
            <m:r>
              <m:rPr>
                <m:sty m:val="p"/>
              </m:rPr>
              <m:t>e</m:t>
            </m:r>
            <m:r>
              <m:rPr>
                <m:sty m:val="p"/>
              </m:rPr>
              <m:t>f</m:t>
            </m:r>
          </m:sub>
        </m:sSub>
      </m:oMath>
      <w:r>
        <w:t xml:space="preserve"> </w:t>
      </w:r>
      <w:r>
        <w:t xml:space="preserve">set by referral cost and capacity. Proximity to the boundary is returned as a severity indicator rather than a mandatory</w:t>
      </w:r>
      <w:r>
        <w:t xml:space="preserve"> </w:t>
      </w:r>
      <w:r>
        <w:t xml:space="preserve">conjunct, because conjoining it with dissent cuts recall to 0.176 in our data. The near-boundary test is evaluated on the modal</w:t>
      </w:r>
      <w:r>
        <w:t xml:space="preserve"> </w:t>
      </w:r>
      <w:r>
        <w:rPr>
          <w:i/>
          <w:iCs/>
        </w:rPr>
        <w:t xml:space="preserve">letter</w:t>
      </w:r>
      <w:r>
        <w:t xml:space="preserve"> </w:t>
      </w:r>
      <w:r>
        <w:t xml:space="preserve">rating</w:t>
      </w:r>
      <w:r>
        <w:t xml:space="preserve"> </w:t>
      </w:r>
      <m:oMath>
        <m:acc>
          <m:accPr>
            <m:chr m:val="̂"/>
          </m:accPr>
          <m:e>
            <m:r>
              <m:t>ℓ</m:t>
            </m:r>
          </m:e>
        </m:acc>
      </m:oMath>
      <w:r>
        <w:t xml:space="preserve"> </w:t>
      </w:r>
      <w:r>
        <w:t xml:space="preserve">and not on the modal decision class</w:t>
      </w:r>
      <w:r>
        <w:t xml:space="preserve"> </w:t>
      </w:r>
      <m:oMath>
        <m:acc>
          <m:accPr>
            <m:chr m:val="̂"/>
          </m:accPr>
          <m:e>
            <m:r>
              <m:t>r</m:t>
            </m:r>
          </m:e>
        </m:acc>
      </m:oMath>
      <w:r>
        <w:t xml:space="preserve">: at the investment-grade/high-yield</w:t>
      </w:r>
      <w:r>
        <w:t xml:space="preserve"> </w:t>
      </w:r>
      <w:r>
        <w:t xml:space="preserve">resolution</w:t>
      </w:r>
      <w:r>
        <w:t xml:space="preserve"> </w:t>
      </w:r>
      <m:oMath>
        <m:acc>
          <m:accPr>
            <m:chr m:val="̂"/>
          </m:accPr>
          <m:e>
            <m:r>
              <m:t>r</m:t>
            </m:r>
          </m:e>
        </m:acc>
      </m:oMath>
      <w:r>
        <w:t xml:space="preserve"> </w:t>
      </w:r>
      <w:r>
        <w:t xml:space="preserve">takes only two values, so no subset of its range can express proximity to the</w:t>
      </w:r>
      <w:r>
        <w:t xml:space="preserve"> </w:t>
      </w:r>
      <w:r>
        <w:t xml:space="preserve">boundary. With</w:t>
      </w:r>
      <w:r>
        <w:t xml:space="preserve"> </w:t>
      </w:r>
      <m:oMath>
        <m:r>
          <m:rPr>
            <m:scr m:val="script"/>
            <m:sty m:val="p"/>
          </m:rPr>
          <m:t>L</m:t>
        </m:r>
      </m:oMath>
      <w:r>
        <w:t xml:space="preserve"> </w:t>
      </w:r>
      <w:r>
        <w:t xml:space="preserve">the 21-grade letter scale, the boundary index is placed on a</w:t>
      </w:r>
      <w:r>
        <w:t xml:space="preserve"> </w:t>
      </w:r>
      <w:r>
        <w:t xml:space="preserve">half-step convention,</w:t>
      </w:r>
      <w:r>
        <w:t xml:space="preserve"> </w:t>
      </w:r>
      <m:oMath>
        <m:r>
          <m:t>b</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B</m:t>
        </m:r>
        <m:r>
          <m:rPr>
            <m:sty m:val="p"/>
          </m:rPr>
          <m:t>−</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m:t>
        </m:r>
        <m:r>
          <m:rPr>
            <m:sty m:val="p"/>
          </m:rPr>
          <m:t>)</m:t>
        </m:r>
        <m:r>
          <m:rPr>
            <m:sty m:val="p"/>
          </m:rPr>
          <m:t>}</m:t>
        </m:r>
        <m:r>
          <m:rPr>
            <m:sty m:val="p"/>
          </m:rPr>
          <m:t>/</m:t>
        </m:r>
        <m:r>
          <m:t>2</m:t>
        </m:r>
      </m:oMath>
      <w:r>
        <w:t xml:space="preserve">, so that</w:t>
      </w:r>
      <w:r>
        <w:t xml:space="preserve"> </w:t>
      </w:r>
      <m:oMath>
        <m:r>
          <m:t>w</m:t>
        </m:r>
        <m:r>
          <m:rPr>
            <m:sty m:val="p"/>
          </m:rPr>
          <m:t>=</m:t>
        </m:r>
        <m:r>
          <m:t>1</m:t>
        </m:r>
      </m:oMath>
      <w:r>
        <w:t xml:space="preserve"> </w:t>
      </w:r>
      <w:r>
        <w:t xml:space="preserve">admits exactly the two grades straddling the cut,</w:t>
      </w:r>
      <w:r>
        <w:t xml:space="preserve"> </w:t>
      </w:r>
      <m:oMath>
        <m:r>
          <m:rPr>
            <m:sty m:val="p"/>
          </m:rPr>
          <m:t>{</m:t>
        </m:r>
        <m:r>
          <m:rPr>
            <m:sty m:val="p"/>
          </m:rPr>
          <m:t>B</m:t>
        </m:r>
        <m:r>
          <m:rPr>
            <m:sty m:val="p"/>
          </m:rPr>
          <m:t>B</m:t>
        </m:r>
        <m:r>
          <m:rPr>
            <m:sty m:val="p"/>
          </m:rPr>
          <m:t>B</m:t>
        </m:r>
        <m:r>
          <m:rPr>
            <m:sty m:val="p"/>
          </m:rPr>
          <m:t>−</m:t>
        </m:r>
        <m:r>
          <m:rPr>
            <m:sty m:val="p"/>
          </m:rPr>
          <m:t>,</m:t>
        </m:r>
        <m:r>
          <m:rPr>
            <m:sty m:val="p"/>
          </m:rPr>
          <m:t>B</m:t>
        </m:r>
        <m:r>
          <m:rPr>
            <m:sty m:val="p"/>
          </m:rPr>
          <m:t>B</m:t>
        </m:r>
        <m:r>
          <m:rPr>
            <m:sty m:val="p"/>
          </m:rPr>
          <m:t>+</m:t>
        </m:r>
        <m:r>
          <m:rPr>
            <m:sty m:val="p"/>
          </m:rPr>
          <m:t>}</m:t>
        </m:r>
      </m:oMath>
      <w:r>
        <w:t xml:space="preserve">, and</w:t>
      </w:r>
      <w:r>
        <w:t xml:space="preserve"> </w:t>
      </w:r>
      <m:oMath>
        <m:r>
          <m:t>w</m:t>
        </m:r>
        <m:r>
          <m:rPr>
            <m:sty m:val="p"/>
          </m:rPr>
          <m:t>=</m:t>
        </m:r>
        <m:r>
          <m:t>2</m:t>
        </m:r>
      </m:oMath>
      <w:r>
        <w:t xml:space="preserve"> </w:t>
      </w:r>
      <w:r>
        <w:t xml:space="preserve">additionally admits BBB and BB. This is an</w:t>
      </w:r>
      <w:r>
        <w:t xml:space="preserve"> </w:t>
      </w:r>
      <w:r>
        <w:rPr>
          <w:i/>
          <w:iCs/>
        </w:rPr>
        <w:t xml:space="preserve">operational near-boundary band</w:t>
      </w:r>
      <w:r>
        <w:t xml:space="preserve"> </w:t>
      </w:r>
      <w:r>
        <w:t xml:space="preserve">and is not the Altman Z</w:t>
      </w:r>
      <m:oMath>
        <m:r>
          <m:rPr>
            <m:sty m:val="p"/>
          </m:rPr>
          <m:t>″</m:t>
        </m:r>
      </m:oMath>
      <w:r>
        <w:t xml:space="preserve"> </w:t>
      </w:r>
      <w:r>
        <w:t xml:space="preserve">WATCH stratum, which spans</w:t>
      </w:r>
      <w:r>
        <w:t xml:space="preserve"> </w:t>
      </w:r>
      <w:r>
        <w:t xml:space="preserve">BB</w:t>
      </w:r>
      <m:oMath>
        <m:r>
          <m:rPr>
            <m:sty m:val="p"/>
          </m:rPr>
          <m:t>+</m:t>
        </m:r>
      </m:oMath>
      <w:r>
        <w:t xml:space="preserve"> </w:t>
      </w:r>
      <w:r>
        <w:t xml:space="preserve">through B</w:t>
      </w:r>
      <m:oMath>
        <m:r>
          <m:rPr>
            <m:sty m:val="p"/>
          </m:rPr>
          <m:t>−</m:t>
        </m:r>
      </m:oMath>
      <w:r>
        <w:t xml:space="preserve"> </w:t>
      </w:r>
      <w:r>
        <w:t xml:space="preserve">and is a different construct. Thresholds on the continuous index would be</w:t>
      </w:r>
      <w:r>
        <w:t xml:space="preserve"> </w:t>
      </w:r>
      <m:oMath>
        <m:r>
          <m:t>k</m:t>
        </m:r>
      </m:oMath>
      <w:r>
        <w:t xml:space="preserve">-dependent, which is</w:t>
      </w:r>
      <w:r>
        <w:t xml:space="preserve"> </w:t>
      </w:r>
      <w:r>
        <w:t xml:space="preserve">one reason the operational rule is stated directly on the dissent count</w:t>
      </w:r>
      <w:r>
        <w:t xml:space="preserve"> </w:t>
      </w:r>
      <m:oMath>
        <m:r>
          <m:t>d</m:t>
        </m:r>
      </m:oMath>
      <w:r>
        <w:t xml:space="preserve">.</w:t>
      </w:r>
    </w:p>
    <w:bookmarkEnd w:id="54"/>
    <w:bookmarkEnd w:id="55"/>
    <w:bookmarkStart w:id="56" w:name="sec:sis-val"/>
    <w:p>
      <w:pPr>
        <w:pStyle w:val="Heading2"/>
      </w:pPr>
      <w:r>
        <w:rPr>
          <w:rStyle w:val="SectionNumber"/>
        </w:rPr>
        <w:t xml:space="preserve">4.2</w:t>
      </w:r>
      <w:r>
        <w:tab/>
      </w:r>
      <w:r>
        <w:t xml:space="preserve">Post-hoc validation on held-out specifications</w:t>
      </w:r>
    </w:p>
    <w:p>
      <w:pPr>
        <w:pStyle w:val="FirstParagraph"/>
      </w:pPr>
      <w:r>
        <w:t xml:space="preserve">This validation is</w:t>
      </w:r>
      <w:r>
        <w:t xml:space="preserve"> </w:t>
      </w:r>
      <w:r>
        <w:rPr>
          <w:i/>
          <w:iCs/>
        </w:rPr>
        <w:t xml:space="preserve">post-hoc</w:t>
      </w:r>
      <w:r>
        <w:t xml:space="preserve"> </w:t>
      </w:r>
      <w:r>
        <w:t xml:space="preserve">(it was not part of the pre-registration) and tests generalization</w:t>
      </w:r>
      <w:r>
        <w:t xml:space="preserve"> </w:t>
      </w:r>
      <w:r>
        <w:t xml:space="preserve">across specifications, not across an external issuer sample. To test whether early disagreement is informative about later disagreement, we split the 32 specifications into a 16-specification calibration set and 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rPr>
            <m:sty m:val="p"/>
          </m:rPr>
          <m:t>=</m:t>
        </m:r>
        <m:r>
          <m:t>0.89</m:t>
        </m:r>
      </m:oMath>
      <w:r>
        <w:t xml:space="preserve">). Treating</w:t>
      </w:r>
      <w:r>
        <w:t xml:space="preserve"> </w:t>
      </w:r>
      <w:r>
        <w:t xml:space="preserve">“the issuer’s modal IG/HY call flips on at least one held-out specification”</w:t>
      </w:r>
      <w:r>
        <w:t xml:space="preserve"> </w:t>
      </w:r>
      <w:r>
        <w:t xml:space="preserve">as the event to be flagged</w:t>
      </w:r>
      <w:r>
        <w:t xml:space="preserve"> </w:t>
      </w:r>
      <w:r>
        <w:t xml:space="preserve">(base rate</w:t>
      </w:r>
      <w:r>
        <w:t xml:space="preserve"> </w:t>
      </w:r>
      <m:oMath>
        <m:r>
          <m:t>0.76</m:t>
        </m:r>
      </m:oMath>
      <w:r>
        <w:t xml:space="preserve">), the calibration score has a ROC-AUC of</w:t>
      </w:r>
      <w:r>
        <w:t xml:space="preserve"> </w:t>
      </w:r>
      <m:oMath>
        <m:r>
          <m:t>0.94</m:t>
        </m:r>
      </m:oMath>
      <w:r>
        <w:t xml:space="preserve"> </w:t>
      </w:r>
      <w:r>
        <w:t xml:space="preserve">(profile-clustered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 splits. The median AUC is</w:t>
      </w:r>
      <w:r>
        <w:t xml:space="preserve"> </w:t>
      </w:r>
      <m:oMath>
        <m:r>
          <m:t>0.88</m:t>
        </m:r>
      </m:oMath>
      <w:r>
        <w:t xml:space="preserve"> </w:t>
      </w:r>
      <w:r>
        <w:t xml:space="preserve">(interquartile range</w:t>
      </w:r>
      <w:r>
        <w:t xml:space="preserve"> </w:t>
      </w:r>
      <m:oMath>
        <m:r>
          <m:t>0.86</m:t>
        </m:r>
      </m:oMath>
      <w:r>
        <w:t xml:space="preserve">–</w:t>
      </w:r>
      <m:oMath>
        <m:r>
          <m:t>0.91</m:t>
        </m:r>
      </m:oMath>
      <w:r>
        <w:t xml:space="preserve">, full range</w:t>
      </w:r>
      <w:r>
        <w:t xml:space="preserve"> </w:t>
      </w:r>
      <m:oMath>
        <m:r>
          <m:t>0.73</m:t>
        </m:r>
      </m:oMath>
      <w:r>
        <w:t xml:space="preserve">–</w:t>
      </w:r>
      <m:oMath>
        <m:r>
          <m:t>0.98</m:t>
        </m:r>
      </m:oMath>
      <w:r>
        <w:t xml:space="preserve">). Calibration-set disagreement therefore identifies profiles that are also unstable on held-out specifications, under specifications not yet</w:t>
      </w:r>
      <w:r>
        <w:t xml:space="preserve"> </w:t>
      </w:r>
      <w:r>
        <w:t xml:space="preserve">tried. Section 4.3 shows that this discrimination is not attributable to the</w:t>
      </w:r>
      <w:r>
        <w:t xml:space="preserve"> </w:t>
      </w:r>
      <w:r>
        <w:t xml:space="preserve">index itself, because counting dissenting elicitations does as well, so the result is reported as evidence</w:t>
      </w:r>
      <w:r>
        <w:t xml:space="preserve"> </w:t>
      </w:r>
      <w:r>
        <w:t xml:space="preserve">that</w:t>
      </w:r>
      <w:r>
        <w:t xml:space="preserve"> </w:t>
      </w:r>
      <w:r>
        <w:rPr>
          <w:i/>
          <w:iCs/>
        </w:rPr>
        <w:t xml:space="preserve">disagreement observed on one subset of specifications predicts disagreement on a disjoint subset</w:t>
      </w:r>
      <w:r>
        <w:t xml:space="preserve">, not as validation of a new instrument.</w:t>
      </w:r>
    </w:p>
    <w:p>
      <w:pPr>
        <w:pStyle w:val="BodyText"/>
      </w:pPr>
      <w:r>
        <w:t xml:space="preserve">We also repeat the calculation on the 31 perturbed real issuers as an illustrative descriptive real-issuer check only (Section 3.6), for which the same 12-specification</w:t>
      </w:r>
      <w:r>
        <w:t xml:space="preserve"> </w:t>
      </w:r>
      <w:r>
        <w:t xml:space="preserve">grid was collected. Splitting those specifications 6/6, the calibration-set score gives ROC-AUC 0.70 (issuer-clustered bootstrap 95% CI 0.51–0.87, Spearman</w:t>
      </w:r>
      <w:r>
        <w:t xml:space="preserve"> </w:t>
      </w:r>
      <m:oMath>
        <m:r>
          <m:t>ρ</m:t>
        </m:r>
        <m:r>
          <m:rPr>
            <m:sty m:val="p"/>
          </m:rPr>
          <m:t>=</m:t>
        </m:r>
        <m:r>
          <m:t>0.41</m:t>
        </m:r>
      </m:oMath>
      <w:r>
        <w:t xml:space="preserve">, base rate 0.61). This is descriptive only and is not evidence of generalization to real issuers, because residual ratio-pattern identification remains in this arm (Section 3.7). Discrimination is weaker than on the synthetic battery</w:t>
      </w:r>
      <w:r>
        <w:t xml:space="preserve"> </w:t>
      </w:r>
      <w:r>
        <w:t xml:space="preserve">and the interval is wide, expected given only 31 issuers and a coarser six-specification</w:t>
      </w:r>
      <w:r>
        <w:t xml:space="preserve"> </w:t>
      </w:r>
      <w:r>
        <w:t xml:space="preserve">calibration.</w:t>
      </w:r>
      <w:r>
        <w:t xml:space="preserve"> </w:t>
      </w:r>
      <w:r>
        <w:t xml:space="preserve">We also</w:t>
      </w:r>
      <w:r>
        <w:t xml:space="preserve"> </w:t>
      </w:r>
      <w:r>
        <w:t xml:space="preserve">report the recalibration requirement for a new model directly: cross-model transfer of the score is</w:t>
      </w:r>
      <w:r>
        <w:t xml:space="preserve"> </w:t>
      </w:r>
      <w:r>
        <w:t xml:space="preserve">moderate but inconsistent across model pairs (per-item Spearman between one model’s score and another’s</w:t>
      </w:r>
      <w:r>
        <w:t xml:space="preserve"> </w:t>
      </w:r>
      <w:r>
        <w:t xml:space="preserve">ranges from</w:t>
      </w:r>
      <w:r>
        <w:t xml:space="preserve"> </w:t>
      </w:r>
      <m:oMath>
        <m:r>
          <m:t>0.14</m:t>
        </m:r>
      </m:oMath>
      <w:r>
        <w:t xml:space="preserve"> </w:t>
      </w:r>
      <w:r>
        <w:t xml:space="preserve">to</w:t>
      </w:r>
      <w:r>
        <w:t xml:space="preserve"> </w:t>
      </w:r>
      <m:oMath>
        <m:r>
          <m:t>0.73</m:t>
        </m:r>
      </m:oMath>
      <w:r>
        <w:t xml:space="preserve">, median</w:t>
      </w:r>
      <w:r>
        <w:t xml:space="preserve"> </w:t>
      </w:r>
      <m:oMath>
        <m:r>
          <m:rPr>
            <m:sty m:val="p"/>
          </m:rPr>
          <m:t>≈</m:t>
        </m:r>
        <m:r>
          <m:t>0.45</m:t>
        </m:r>
      </m:oMath>
      <w:r>
        <w:t xml:space="preserve">, and</w:t>
      </w:r>
      <w:r>
        <w:t xml:space="preserve"> </w:t>
      </w:r>
      <m:oMath>
        <m:r>
          <m:rPr>
            <m:sty m:val="p"/>
          </m:rPr>
          <m:t>≈</m:t>
        </m:r>
        <m:r>
          <m:t>0.55</m:t>
        </m:r>
      </m:oMath>
      <w:r>
        <w:t xml:space="preserve"> </w:t>
      </w:r>
      <w:r>
        <w:t xml:space="preserve">across provider families, the AUC of</w:t>
      </w:r>
      <w:r>
        <w:t xml:space="preserve"> </w:t>
      </w:r>
      <w:r>
        <w:t xml:space="preserve">one model’s score for flagging another’s above-median-instability items has median</w:t>
      </w:r>
      <w:r>
        <w:t xml:space="preserve"> </w:t>
      </w:r>
      <m:oMath>
        <m:r>
          <m:rPr>
            <m:sty m:val="p"/>
          </m:rPr>
          <m:t>≈</m:t>
        </m:r>
        <m:r>
          <m:t>0.72</m:t>
        </m:r>
      </m:oMath>
      <w:r>
        <w:t xml:space="preserve">). Because</w:t>
      </w:r>
      <w:r>
        <w:t xml:space="preserve"> </w:t>
      </w:r>
      <w:r>
        <w:t xml:space="preserve">this transfer is too variable to rely on, a new model should be re-scored on the grid rather than reusing</w:t>
      </w:r>
      <w:r>
        <w:t xml:space="preserve"> </w:t>
      </w:r>
      <w:r>
        <w:t xml:space="preserve">another model’s scores, at about $7.43 per 1</w:t>
      </w:r>
      <w:r>
        <w:t xml:space="preserve">,</w:t>
      </w:r>
      <w:r>
        <w:t xml:space="preserve">000 issuers at</w:t>
      </w:r>
      <w:r>
        <w:t xml:space="preserve"> </w:t>
      </w:r>
      <m:oMath>
        <m:r>
          <m:t>k</m:t>
        </m:r>
        <m:r>
          <m:rPr>
            <m:sty m:val="p"/>
          </m:rPr>
          <m:t>=</m:t>
        </m:r>
        <m:r>
          <m:t>9</m:t>
        </m:r>
      </m:oMath>
      <w:r>
        <w:t xml:space="preserve"> </w:t>
      </w:r>
      <w:r>
        <w:t xml:space="preserve">on a</w:t>
      </w:r>
      <w:r>
        <w:t xml:space="preserve"> </w:t>
      </w:r>
      <w:r>
        <w:t xml:space="preserve">nano/flash tier (Table 10).</w:t>
      </w:r>
    </w:p>
    <w:p>
      <w:pPr>
        <w:pStyle w:val="BodyText"/>
      </w:pPr>
      <w:r>
        <w:t xml:space="preserve">We state the operating rule in terms of the integer dissent count</w:t>
      </w:r>
      <w:r>
        <w:t xml:space="preserve"> </w:t>
      </w:r>
      <m:oMath>
        <m:r>
          <m:t>d</m:t>
        </m:r>
      </m:oMath>
      <w:r>
        <w:t xml:space="preserve"> </w:t>
      </w:r>
      <w:r>
        <w:t xml:space="preserve">rather than a cutoff on the</w:t>
      </w:r>
      <w:r>
        <w:t xml:space="preserve"> </w:t>
      </w:r>
      <w:r>
        <w:t xml:space="preserve">continuous index, since Section 4.3 shows that the index is a monotonic transformation of</w:t>
      </w:r>
      <w:r>
        <w:t xml:space="preserve"> </w:t>
      </w:r>
      <m:oMath>
        <m:r>
          <m:t>d</m:t>
        </m:r>
      </m:oMath>
      <w:r>
        <w:t xml:space="preserve"> </w:t>
      </w:r>
      <w:r>
        <w:t xml:space="preserve">at the binary IG/HY gate and provides no incremental discrimination over</w:t>
      </w:r>
      <w:r>
        <w:t xml:space="preserve"> </w:t>
      </w:r>
      <m:oMath>
        <m:r>
          <m:t>d</m:t>
        </m:r>
      </m:oMath>
      <w:r>
        <w:t xml:space="preserve"> </w:t>
      </w:r>
      <w:r>
        <w:t xml:space="preserve">at the three-band resolution in the evaluated analyses. The rule is</w:t>
      </w:r>
      <w:r>
        <w:t xml:space="preserve"> </w:t>
      </w:r>
      <m:oMath>
        <m:r>
          <m:t>d</m:t>
        </m:r>
        <m:r>
          <m:rPr>
            <m:sty m:val="p"/>
          </m:rPr>
          <m:t>≥</m:t>
        </m:r>
        <m:sSub>
          <m:e>
            <m:r>
              <m:t>c</m:t>
            </m:r>
          </m:e>
          <m:sub>
            <m:r>
              <m:rPr>
                <m:sty m:val="p"/>
              </m:rPr>
              <m:t>r</m:t>
            </m:r>
            <m:r>
              <m:rPr>
                <m:sty m:val="p"/>
              </m:rPr>
              <m:t>e</m:t>
            </m:r>
            <m:r>
              <m:rPr>
                <m:sty m:val="p"/>
              </m:rPr>
              <m:t>f</m:t>
            </m:r>
          </m:sub>
        </m:sSub>
      </m:oMath>
      <w:r>
        <w:t xml:space="preserve">, with the governance threshold</w:t>
      </w:r>
      <w:r>
        <w:t xml:space="preserve"> </w:t>
      </w:r>
      <m:oMath>
        <m:sSub>
          <m:e>
            <m:r>
              <m:t>c</m:t>
            </m:r>
          </m:e>
          <m:sub>
            <m:r>
              <m:rPr>
                <m:sty m:val="p"/>
              </m:rPr>
              <m:t>r</m:t>
            </m:r>
            <m:r>
              <m:rPr>
                <m:sty m:val="p"/>
              </m:rPr>
              <m:t>e</m:t>
            </m:r>
            <m:r>
              <m:rPr>
                <m:sty m:val="p"/>
              </m:rPr>
              <m:t>f</m:t>
            </m:r>
          </m:sub>
        </m:sSub>
      </m:oMath>
      <w:r>
        <w:t xml:space="preserve"> </w:t>
      </w:r>
      <w:r>
        <w:t xml:space="preserve">chosen</w:t>
      </w:r>
      <w:r>
        <w:t xml:space="preserve"> </w:t>
      </w:r>
      <w:r>
        <w:t xml:space="preserve">according to referral cost and capacity.</w:t>
      </w:r>
      <w:r>
        <w:t xml:space="preserve"> </w:t>
      </w:r>
      <w:r>
        <w:t xml:space="preserve">“Refer on any disagreement”</w:t>
      </w:r>
      <w:r>
        <w:t xml:space="preserve"> </w:t>
      </w:r>
      <w:r>
        <w:t xml:space="preserve">is the special case</w:t>
      </w:r>
      <w:r>
        <w:t xml:space="preserve"> </w:t>
      </w:r>
      <m:oMath>
        <m:sSub>
          <m:e>
            <m:r>
              <m:t>c</m:t>
            </m:r>
          </m:e>
          <m:sub>
            <m:r>
              <m:rPr>
                <m:sty m:val="p"/>
              </m:rPr>
              <m:t>r</m:t>
            </m:r>
            <m:r>
              <m:rPr>
                <m:sty m:val="p"/>
              </m:rPr>
              <m:t>e</m:t>
            </m:r>
            <m:r>
              <m:rPr>
                <m:sty m:val="p"/>
              </m:rPr>
              <m:t>f</m:t>
            </m:r>
          </m:sub>
        </m:sSub>
        <m:r>
          <m:rPr>
            <m:sty m:val="p"/>
          </m:rPr>
          <m:t>=</m:t>
        </m:r>
        <m:r>
          <m:t>1</m:t>
        </m:r>
      </m:oMath>
      <w:r>
        <w:t xml:space="preserve">,</w:t>
      </w:r>
      <w:r>
        <w:t xml:space="preserve"> </w:t>
      </w:r>
      <w:r>
        <w:t xml:space="preserve">and we keep it only as a benchmark, because it is not the best choice once review is costly. On the held-out split,</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refers 88.9% of profiles at precision 0.825 and recall 0.971, whereas</w:t>
      </w:r>
      <w:r>
        <w:t xml:space="preserve"> </w:t>
      </w:r>
      <m:oMath>
        <m:sSub>
          <m:e>
            <m:r>
              <m:t>c</m:t>
            </m:r>
          </m:e>
          <m:sub>
            <m:r>
              <m:rPr>
                <m:sty m:val="p"/>
              </m:rPr>
              <m:t>r</m:t>
            </m:r>
            <m:r>
              <m:rPr>
                <m:sty m:val="p"/>
              </m:rPr>
              <m:t>e</m:t>
            </m:r>
            <m:r>
              <m:rPr>
                <m:sty m:val="p"/>
              </m:rPr>
              <m:t>f</m:t>
            </m:r>
          </m:sub>
        </m:sSub>
        <m:r>
          <m:rPr>
            <m:sty m:val="p"/>
          </m:rPr>
          <m:t>=</m:t>
        </m:r>
        <m:r>
          <m:t>3</m:t>
        </m:r>
      </m:oMath>
      <w:r>
        <w:t xml:space="preserve"> </w:t>
      </w:r>
      <w:r>
        <w:t xml:space="preserve">refers 66.7% at precision 1.000 and recall 0.882. At</w:t>
      </w:r>
      <w:r>
        <w:t xml:space="preserve"> </w:t>
      </w:r>
      <m:oMath>
        <m:sSub>
          <m:e>
            <m:r>
              <m:t>p</m:t>
            </m:r>
          </m:e>
          <m:sub>
            <m:r>
              <m:t>t</m:t>
            </m:r>
          </m:sub>
        </m:sSub>
        <m:r>
          <m:rPr>
            <m:sty m:val="p"/>
          </m:rPr>
          <m:t>=</m:t>
        </m:r>
        <m:r>
          <m:t>0.60</m:t>
        </m:r>
      </m:oMath>
      <w:r>
        <w:t xml:space="preserve">, the net benefit is 0.6667 for</w:t>
      </w:r>
      <w:r>
        <w:t xml:space="preserve"> </w:t>
      </w:r>
      <m:oMath>
        <m:sSub>
          <m:e>
            <m:r>
              <m:t>c</m:t>
            </m:r>
          </m:e>
          <m:sub>
            <m:r>
              <m:rPr>
                <m:sty m:val="p"/>
              </m:rPr>
              <m:t>r</m:t>
            </m:r>
            <m:r>
              <m:rPr>
                <m:sty m:val="p"/>
              </m:rPr>
              <m:t>e</m:t>
            </m:r>
            <m:r>
              <m:rPr>
                <m:sty m:val="p"/>
              </m:rPr>
              <m:t>f</m:t>
            </m:r>
          </m:sub>
        </m:sSub>
        <m:r>
          <m:rPr>
            <m:sty m:val="p"/>
          </m:rPr>
          <m:t>=</m:t>
        </m:r>
        <m:r>
          <m:t>3</m:t>
        </m:r>
      </m:oMath>
      <w:r>
        <w:t xml:space="preserve">, compared with 0.5000 for</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(Table 9). The net benefit of</w:t>
      </w:r>
      <w:r>
        <w:t xml:space="preserve"> </w:t>
      </w:r>
      <m:oMath>
        <m:sSub>
          <m:e>
            <m:r>
              <m:t>c</m:t>
            </m:r>
          </m:e>
          <m:sub>
            <m:r>
              <m:rPr>
                <m:sty m:val="p"/>
              </m:rPr>
              <m:t>r</m:t>
            </m:r>
            <m:r>
              <m:rPr>
                <m:sty m:val="p"/>
              </m:rPr>
              <m:t>e</m:t>
            </m:r>
            <m:r>
              <m:rPr>
                <m:sty m:val="p"/>
              </m:rPr>
              <m:t>f</m:t>
            </m:r>
          </m:sub>
        </m:sSub>
        <m:r>
          <m:rPr>
            <m:sty m:val="p"/>
          </m:rPr>
          <m:t>=</m:t>
        </m:r>
        <m:r>
          <m:t>3</m:t>
        </m:r>
      </m:oMath>
      <w:r>
        <w:t xml:space="preserve"> </w:t>
      </w:r>
      <w:r>
        <w:t xml:space="preserve">is constant across threshold probabilities because this rule produces no false positives in the evaluated sample. These are</w:t>
      </w:r>
      <w:r>
        <w:t xml:space="preserve"> </w:t>
      </w:r>
      <w:r>
        <w:t xml:space="preserve">descriptive operating points on a split that also selected the operating point, not evidence of a</w:t>
      </w:r>
      <w:r>
        <w:t xml:space="preserve"> </w:t>
      </w:r>
      <w:r>
        <w:t xml:space="preserve">validated instrument.</w:t>
      </w:r>
    </w:p>
    <w:p>
      <w:pPr>
        <w:pStyle w:val="BodyText"/>
      </w:pPr>
      <w:r>
        <w:t xml:space="preserve">The number of observations matters for how any threshold reads, and</w:t>
      </w:r>
      <w:r>
        <w:t xml:space="preserve"> </w:t>
      </w:r>
      <m:oMath>
        <m:r>
          <m:t>k</m:t>
        </m:r>
      </m:oMath>
      <w:r>
        <w:t xml:space="preserve"> </w:t>
      </w:r>
      <w:r>
        <w:t xml:space="preserve">counts elicitation</w:t>
      </w:r>
      <w:r>
        <w:t xml:space="preserve"> </w:t>
      </w:r>
      <w:r>
        <w:t xml:space="preserve">observations rather than distinct specifications. The retrospective validation retains three seeds</w:t>
      </w:r>
      <w:r>
        <w:t xml:space="preserve"> </w:t>
      </w:r>
      <w:r>
        <w:t xml:space="preserve">per specification, so its calibration set has</w:t>
      </w:r>
      <w:r>
        <w:t xml:space="preserve"> </w:t>
      </w:r>
      <m:oMath>
        <m:r>
          <m:t>k</m:t>
        </m:r>
        <m:r>
          <m:rPr>
            <m:sty m:val="p"/>
          </m:rPr>
          <m:t>=</m:t>
        </m:r>
        <m:r>
          <m:t>16</m:t>
        </m:r>
        <m:r>
          <m:rPr>
            <m:sty m:val="p"/>
          </m:rPr>
          <m:t>×</m:t>
        </m:r>
        <m:r>
          <m:t>3</m:t>
        </m:r>
        <m:r>
          <m:rPr>
            <m:sty m:val="p"/>
          </m:rPr>
          <m:t>=</m:t>
        </m:r>
        <m:r>
          <m:t>48</m:t>
        </m:r>
      </m:oMath>
      <w:r>
        <w:t xml:space="preserve">, whereas a practical</w:t>
      </w:r>
      <w:r>
        <w:t xml:space="preserve"> </w:t>
      </w:r>
      <w:r>
        <w:t xml:space="preserve">one-call-per-specification workflow has</w:t>
      </w:r>
      <w:r>
        <w:t xml:space="preserve"> </w:t>
      </w:r>
      <m:oMath>
        <m:r>
          <m:t>k</m:t>
        </m:r>
        <m:r>
          <m:rPr>
            <m:sty m:val="p"/>
          </m:rPr>
          <m:t>=</m:t>
        </m:r>
        <m:r>
          <m:rPr>
            <m:sty m:val="p"/>
          </m:rPr>
          <m:t>|</m:t>
        </m:r>
        <m:r>
          <m:t>S</m:t>
        </m:r>
        <m:r>
          <m:rPr>
            <m:sty m:val="p"/>
          </m:rPr>
          <m:t>|</m:t>
        </m:r>
      </m:oMath>
      <w:r>
        <w:t xml:space="preserve">. Thresholds on the continuous index are therefore</w:t>
      </w:r>
      <w:r>
        <w:t xml:space="preserve"> </w:t>
      </w:r>
      <m:oMath>
        <m:r>
          <m:t>k</m:t>
        </m:r>
      </m:oMath>
      <w:r>
        <w:t xml:space="preserve">-dependent in a way that</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is not, which is the second reason for preferring the count.</w:t>
      </w:r>
    </w:p>
    <w:p>
      <w:pPr>
        <w:pStyle w:val="BodyText"/>
      </w:pPr>
      <w:r>
        <w:t xml:space="preserve">Proximity to the boundary is reported as a severity indicator rather than a mandatory conjunct.</w:t>
      </w:r>
      <w:r>
        <w:t xml:space="preserve"> </w:t>
      </w:r>
      <w:r>
        <w:t xml:space="preserve">Instability is not confined to the boundary region, and requiring both conditions would cut recall</w:t>
      </w:r>
      <w:r>
        <w:t xml:space="preserve"> </w:t>
      </w:r>
      <w:r>
        <w:t xml:space="preserve">to 0.176 while referring only 13.3% of profiles, trading referral volume against missed</w:t>
      </w:r>
      <w:r>
        <w:t xml:space="preserve"> </w:t>
      </w:r>
      <w:r>
        <w:t xml:space="preserve">instability. Disagreement therefore determines whether a rating is referred, and proximity to the</w:t>
      </w:r>
      <w:r>
        <w:t xml:space="preserve"> </w:t>
      </w:r>
      <w:r>
        <w:t xml:space="preserve">BBB</w:t>
      </w:r>
      <m:oMath>
        <m:r>
          <m:rPr>
            <m:sty m:val="p"/>
          </m:rPr>
          <m:t>−</m:t>
        </m:r>
      </m:oMath>
      <w:r>
        <w:t xml:space="preserve">/BB</w:t>
      </w:r>
      <m:oMath>
        <m:r>
          <m:rPr>
            <m:sty m:val="p"/>
          </m:rPr>
          <m:t>+</m:t>
        </m:r>
      </m:oMath>
      <w:r>
        <w:t xml:space="preserve"> </w:t>
      </w:r>
      <w:r>
        <w:t xml:space="preserve">cut determines how urgently. The ROC-AUC of</w:t>
      </w:r>
      <w:r>
        <w:t xml:space="preserve"> </w:t>
      </w:r>
      <m:oMath>
        <m:r>
          <m:t>0.94</m:t>
        </m:r>
      </m:oMath>
      <w:r>
        <w:t xml:space="preserve"> </w:t>
      </w:r>
      <w:r>
        <w:t xml:space="preserve">is computed at the IG/HY</w:t>
      </w:r>
      <w:r>
        <w:t xml:space="preserve"> </w:t>
      </w:r>
      <w:r>
        <w:t xml:space="preserve">resolution, where the index ranks issuers identically to the dissent count</w:t>
      </w:r>
      <w:r>
        <w:t xml:space="preserve"> </w:t>
      </w:r>
      <w:r>
        <w:t xml:space="preserve">(Section 4.3). That figure describes the retrospective</w:t>
      </w:r>
      <w:r>
        <w:t xml:space="preserve"> </w:t>
      </w:r>
      <m:oMath>
        <m:r>
          <m:t>k</m:t>
        </m:r>
        <m:r>
          <m:rPr>
            <m:sty m:val="p"/>
          </m:rPr>
          <m:t>=</m:t>
        </m:r>
        <m:r>
          <m:t>48</m:t>
        </m:r>
      </m:oMath>
      <w:r>
        <w:t xml:space="preserve"> </w:t>
      </w:r>
      <w:r>
        <w:t xml:space="preserve">construction and is not evidence about the</w:t>
      </w:r>
      <w:r>
        <w:t xml:space="preserve"> </w:t>
      </w:r>
      <m:oMath>
        <m:r>
          <m:t>k</m:t>
        </m:r>
        <m:r>
          <m:rPr>
            <m:sty m:val="p"/>
          </m:rPr>
          <m:t>≈</m:t>
        </m:r>
        <m:r>
          <m:t>9</m:t>
        </m:r>
      </m:oMath>
      <w:r>
        <w:t xml:space="preserve"> </w:t>
      </w:r>
      <w:r>
        <w:t xml:space="preserve">aggregation level, which comes from the separate cost analysis of</w:t>
      </w:r>
      <w:r>
        <w:t xml:space="preserve"> </w:t>
      </w:r>
      <w:r>
        <w:t xml:space="preserve">Section 4.4.</w:t>
      </w:r>
    </w:p>
    <w:bookmarkEnd w:id="56"/>
    <w:bookmarkStart w:id="60" w:name="sec:sis-baselines"/>
    <w:p>
      <w:pPr>
        <w:pStyle w:val="Heading2"/>
      </w:pPr>
      <w:r>
        <w:rPr>
          <w:rStyle w:val="SectionNumber"/>
        </w:rPr>
        <w:t xml:space="preserve">4.3</w:t>
      </w:r>
      <w:r>
        <w:tab/>
      </w:r>
      <w:r>
        <w:t xml:space="preserve">Benchmark against simple baselines</w:t>
      </w:r>
    </w:p>
    <w:p>
      <w:pPr>
        <w:pStyle w:val="FirstParagraph"/>
      </w:pPr>
      <w:r>
        <w:t xml:space="preserve">To assess whether the dispersion index adds information beyond simpler alternatives, we benchmark</w:t>
      </w:r>
      <w:r>
        <w:t xml:space="preserve"> </w:t>
      </w:r>
      <w:r>
        <w:t xml:space="preserve">it against three baselines computable from the same</w:t>
      </w:r>
      <w:r>
        <w:t xml:space="preserve"> </w:t>
      </w:r>
      <m:oMath>
        <m:r>
          <m:t>k</m:t>
        </m:r>
      </m:oMath>
      <w:r>
        <w:t xml:space="preserve"> </w:t>
      </w:r>
      <w:r>
        <w:t xml:space="preserve">observations: the number of dissenting</w:t>
      </w:r>
      <w:r>
        <w:t xml:space="preserve"> </w:t>
      </w:r>
      <w:r>
        <w:t xml:space="preserve">elicitations, the self-consistency vote margin, and the modal letter rating’s distance to the</w:t>
      </w:r>
      <w:r>
        <w:t xml:space="preserve"> </w:t>
      </w:r>
      <w:r>
        <w:t xml:space="preserve">investment-grade/high-yield boundary. Two further candidates are semantic entropy and token-level confidence. We compute the first and explain why the second cannot be computed. Farquhar, Kossen, Kuhn and Gal (2024) give a</w:t>
      </w:r>
      <w:r>
        <w:t xml:space="preserve"> </w:t>
      </w:r>
      <w:r>
        <w:rPr>
          <w:i/>
          <w:iCs/>
        </w:rPr>
        <w:t xml:space="preserve">discrete</w:t>
      </w:r>
      <w:r>
        <w:t xml:space="preserve"> </w:t>
      </w:r>
      <w:r>
        <w:t xml:space="preserve">semantic</w:t>
      </w:r>
      <w:r>
        <w:t xml:space="preserve"> </w:t>
      </w:r>
      <w:r>
        <w:t xml:space="preserve">entropy estimator that approximates the probability of each semantic cluster from the number of</w:t>
      </w:r>
      <w:r>
        <w:t xml:space="preserve"> </w:t>
      </w:r>
      <w:r>
        <w:t xml:space="preserve">generations falling in it, disregarding token probabilities, and recommend it precisely for models</w:t>
      </w:r>
      <w:r>
        <w:t xml:space="preserve"> </w:t>
      </w:r>
      <w:r>
        <w:t xml:space="preserve">that do not expose probabilities. Our outputs are categorical ratings on a fixed ordinal scale, so</w:t>
      </w:r>
      <w:r>
        <w:t xml:space="preserve"> </w:t>
      </w:r>
      <w:r>
        <w:t xml:space="preserve">the semantic-equivalence clustering those authors obtain by bidirectional entailment over free text</w:t>
      </w:r>
      <w:r>
        <w:t xml:space="preserve"> </w:t>
      </w:r>
      <w:r>
        <w:t xml:space="preserve">is given here by construction, because two elicitations share a cluster exactly when they share a rating at</w:t>
      </w:r>
      <w:r>
        <w:t xml:space="preserve"> </w:t>
      </w:r>
      <w:r>
        <w:t xml:space="preserve">the resolution analysed. Discrete semantic entropy then reduces to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 </w:t>
      </w:r>
      <w:r>
        <w:t xml:space="preserve">of the rating distribution, which the frozen corpus does support, and we</w:t>
      </w:r>
      <w:r>
        <w:t xml:space="preserve"> </w:t>
      </w:r>
      <w:r>
        <w:t xml:space="preserve">report it as a fifth predictor. Two scope limits must be stated. First,</w:t>
      </w:r>
      <w:r>
        <w:t xml:space="preserve"> </w:t>
      </w:r>
      <w:r>
        <w:t xml:space="preserve">Farquhar et al. (2024) draw repeated generations under a</w:t>
      </w:r>
      <w:r>
        <w:t xml:space="preserve"> </w:t>
      </w:r>
      <w:r>
        <w:rPr>
          <w:i/>
          <w:iCs/>
        </w:rPr>
        <w:t xml:space="preserve">fixed</w:t>
      </w:r>
      <w:r>
        <w:t xml:space="preserve"> </w:t>
      </w:r>
      <w:r>
        <w:t xml:space="preserve">prompt to detect</w:t>
      </w:r>
      <w:r>
        <w:t xml:space="preserve"> </w:t>
      </w:r>
      <w:r>
        <w:t xml:space="preserve">confabulation, whereas our ensemble deliberately varies the elicitation specification. What we</w:t>
      </w:r>
      <w:r>
        <w:t xml:space="preserve"> </w:t>
      </w:r>
      <w:r>
        <w:t xml:space="preserve">compute is therefore a specification-level analogue of their estimator applied to a categorical</w:t>
      </w:r>
      <w:r>
        <w:t xml:space="preserve"> </w:t>
      </w:r>
      <w:r>
        <w:t xml:space="preserve">outcome, not a replication of their hallucination-detection task. Second, token-level confidence</w:t>
      </w:r>
      <w:r>
        <w:t xml:space="preserve"> </w:t>
      </w:r>
      <w:r>
        <w:t xml:space="preserve">genuinely</w:t>
      </w:r>
      <w:r>
        <w:t xml:space="preserve"> </w:t>
      </w:r>
      <w:r>
        <w:rPr>
          <w:i/>
          <w:iCs/>
        </w:rPr>
        <w:t xml:space="preserve">cannot</w:t>
      </w:r>
      <w:r>
        <w:t xml:space="preserve"> </w:t>
      </w:r>
      <w:r>
        <w:t xml:space="preserve">be computed, because the corpus retains parsed text and no log-probabilities, and</w:t>
      </w:r>
      <w:r>
        <w:t xml:space="preserve"> </w:t>
      </w:r>
      <w:r>
        <w:t xml:space="preserve">obtaining them would require re-elicitation with log-probabilities enabled, which is not uniformly</w:t>
      </w:r>
      <w:r>
        <w:t xml:space="preserve"> </w:t>
      </w:r>
      <w:r>
        <w:t xml:space="preserve">available across the providers evaluated.</w:t>
      </w:r>
    </w:p>
    <w:p>
      <w:pPr>
        <w:pStyle w:val="BodyText"/>
      </w:pPr>
      <w:r>
        <w:t xml:space="preserve">We run the comparison in both the held-out-specification setting and a profile-split subsampling analysis, and report them separately in Table 8 rather than merging</w:t>
      </w:r>
      <w:r>
        <w:t xml:space="preserve"> </w:t>
      </w:r>
      <w:r>
        <w:t xml:space="preserve">them. The profile-split analysis splits the 45 credit-health profiles at random into</w:t>
      </w:r>
      <w:r>
        <w:t xml:space="preserve"> </w:t>
      </w:r>
      <w:r>
        <w:t xml:space="preserve">halves over 300 draws and evaluates discrimination only on the held-out half. The conclusion is identical, with mean AUC</w:t>
      </w:r>
      <w:r>
        <w:t xml:space="preserve"> </w:t>
      </w:r>
      <w:r>
        <w:t xml:space="preserve">0.936 at the gate and 0.950 at three bands and an index-minus-dissent-count difference of exactly</w:t>
      </w:r>
      <w:r>
        <w:t xml:space="preserve"> </w:t>
      </w:r>
      <w:r>
        <w:t xml:space="preserve">zero on every split. At the binary gate this is expected rather than reassuring, because the equivalence there is</w:t>
      </w:r>
      <w:r>
        <w:t xml:space="preserve"> </w:t>
      </w:r>
      <w:r>
        <w:t xml:space="preserve">algebraic and so cannot depend on which profiles are evaluated. At three bands the measures are not</w:t>
      </w:r>
      <w:r>
        <w:t xml:space="preserve"> </w:t>
      </w:r>
      <w:r>
        <w:t xml:space="preserve">rank-identical and the agreement in AUC is an empirical finding of these data rather than an</w:t>
      </w:r>
      <w:r>
        <w:t xml:space="preserve"> </w:t>
      </w:r>
      <w:r>
        <w:t xml:space="preserve">identity.</w:t>
      </w:r>
    </w:p>
    <w:p>
      <w:pPr>
        <w:pStyle w:val="BodyText"/>
      </w:pPr>
      <w:r>
        <w:t xml:space="preserve">At a binary resolution with</w:t>
      </w:r>
      <w:r>
        <w:t xml:space="preserve"> </w:t>
      </w:r>
      <m:oMath>
        <m:r>
          <m:t>k</m:t>
        </m:r>
      </m:oMath>
      <w:r>
        <w:t xml:space="preserve"> </w:t>
      </w:r>
      <w:r>
        <w:t xml:space="preserve">elicitations and minority count</w:t>
      </w:r>
      <w:r>
        <w:t xml:space="preserve"> </w:t>
      </w:r>
      <m:oMath>
        <m:r>
          <m:t>m</m:t>
        </m:r>
      </m:oMath>
      <w:r>
        <w:t xml:space="preserve">, the index equals</w:t>
      </w:r>
      <w:r>
        <w:t xml:space="preserve"> </w:t>
      </w:r>
      <m:oMath>
        <m:r>
          <m:t>1</m:t>
        </m:r>
        <m:r>
          <m:rPr>
            <m:sty m:val="p"/>
          </m:rPr>
          <m:t>−</m:t>
        </m:r>
        <m:d>
          <m:dPr>
            <m:begChr m:val="["/>
            <m:sepChr m:val=""/>
            <m:endChr m:val="]"/>
            <m:grow/>
          </m:dPr>
          <m:e>
            <m:r>
              <m:rPr>
                <m:sty m:val="p"/>
              </m:rPr>
              <m:t>(</m:t>
            </m:r>
            <m:r>
              <m:t>m</m:t>
            </m:r>
            <m:r>
              <m:rPr>
                <m:sty m:val="p"/>
              </m:rPr>
              <m:t>/</m:t>
            </m:r>
            <m:r>
              <m:t>k</m:t>
            </m:r>
            <m:sSup>
              <m:e>
                <m:r>
                  <m:rPr>
                    <m:sty m:val="p"/>
                  </m:rPr>
                  <m:t>)</m:t>
                </m:r>
              </m:e>
              <m:sup>
                <m:r>
                  <m:t>2</m:t>
                </m:r>
              </m:sup>
            </m:sSup>
            <m:r>
              <m:rPr>
                <m:sty m:val="p"/>
              </m:rPr>
              <m:t>+</m:t>
            </m:r>
            <m:r>
              <m:rPr>
                <m:sty m:val="p"/>
              </m:rPr>
              <m:t>(</m:t>
            </m:r>
            <m:r>
              <m:t>1</m:t>
            </m:r>
            <m:r>
              <m:rPr>
                <m:sty m:val="p"/>
              </m:rPr>
              <m:t>−</m:t>
            </m:r>
            <m:r>
              <m:t>m</m:t>
            </m:r>
            <m:r>
              <m:rPr>
                <m:sty m:val="p"/>
              </m:rPr>
              <m:t>/</m:t>
            </m:r>
            <m:r>
              <m:t>k</m:t>
            </m:r>
            <m:sSup>
              <m:e>
                <m:r>
                  <m:rPr>
                    <m:sty m:val="p"/>
                  </m:rPr>
                  <m:t>)</m:t>
                </m:r>
              </m:e>
              <m:sup>
                <m:r>
                  <m:t>2</m:t>
                </m:r>
              </m:sup>
            </m:sSup>
          </m:e>
        </m:d>
        <m:r>
          <m:rPr>
            <m:sty m:val="p"/>
          </m:rPr>
          <m:t>=</m:t>
        </m:r>
        <m:r>
          <m:t>2</m:t>
        </m:r>
        <m:r>
          <m:rPr>
            <m:sty m:val="p"/>
          </m:rPr>
          <m:t>(</m:t>
        </m:r>
        <m:r>
          <m:t>m</m:t>
        </m:r>
        <m:r>
          <m:rPr>
            <m:sty m:val="p"/>
          </m:rPr>
          <m:t>/</m:t>
        </m:r>
        <m:r>
          <m:t>k</m:t>
        </m:r>
        <m:r>
          <m:rPr>
            <m:sty m:val="p"/>
          </m:rPr>
          <m:t>)</m:t>
        </m:r>
        <m:r>
          <m:rPr>
            <m:sty m:val="p"/>
          </m:rPr>
          <m:t>(</m:t>
        </m:r>
        <m:r>
          <m:t>1</m:t>
        </m:r>
        <m:r>
          <m:rPr>
            <m:sty m:val="p"/>
          </m:rPr>
          <m:t>−</m:t>
        </m:r>
        <m:r>
          <m:t>m</m:t>
        </m:r>
        <m:r>
          <m:rPr>
            <m:sty m:val="p"/>
          </m:rPr>
          <m:t>/</m:t>
        </m:r>
        <m:r>
          <m:t>k</m:t>
        </m:r>
        <m:r>
          <m:rPr>
            <m:sty m:val="p"/>
          </m:rPr>
          <m:t>)</m:t>
        </m:r>
      </m:oMath>
      <w:r>
        <w:t xml:space="preserve">, which is strictly increasing in</w:t>
      </w:r>
      <w:r>
        <w:t xml:space="preserve"> </w:t>
      </w:r>
      <m:oMath>
        <m:r>
          <m:t>m</m:t>
        </m:r>
      </m:oMath>
      <w:r>
        <w:t xml:space="preserve"> </w:t>
      </w:r>
      <w:r>
        <w:t xml:space="preserve">for</w:t>
      </w:r>
      <w:r>
        <w:t xml:space="preserve"> </w:t>
      </w:r>
      <m:oMath>
        <m:r>
          <m:t>m</m:t>
        </m:r>
        <m:r>
          <m:rPr>
            <m:sty m:val="p"/>
          </m:rPr>
          <m:t>&lt;</m:t>
        </m:r>
        <m:r>
          <m:t>k</m:t>
        </m:r>
        <m:r>
          <m:rPr>
            <m:sty m:val="p"/>
          </m:rPr>
          <m:t>/</m:t>
        </m:r>
        <m:r>
          <m:t>2</m:t>
        </m:r>
      </m:oMath>
      <w:r>
        <w:t xml:space="preserve">. The</w:t>
      </w:r>
      <w:r>
        <w:t xml:space="preserve"> </w:t>
      </w:r>
      <w:r>
        <w:t xml:space="preserve">score is therefore an order-isomorphic transform of the dissent count at the binary gate, and any</w:t>
      </w:r>
      <w:r>
        <w:t xml:space="preserve"> </w:t>
      </w:r>
      <w:r>
        <w:t xml:space="preserve">rank-based discrimination measure must give the two identical values there. The same argument covers</w:t>
      </w:r>
      <w:r>
        <w:t xml:space="preserve"> </w:t>
      </w:r>
      <w:r>
        <w:t xml:space="preserve">discrete semantic entropy, since the binary entropy function</w:t>
      </w:r>
      <w:r>
        <w:t xml:space="preserve"> </w:t>
      </w:r>
      <m:oMath>
        <m:sSub>
          <m:e>
            <m:r>
              <m:t>H</m:t>
            </m:r>
          </m:e>
          <m:sub>
            <m:r>
              <m:t>b</m:t>
            </m:r>
          </m:sub>
        </m:sSub>
        <m:r>
          <m:rPr>
            <m:sty m:val="p"/>
          </m:rPr>
          <m:t>(</m:t>
        </m:r>
        <m:r>
          <m:t>m</m:t>
        </m:r>
        <m:r>
          <m:rPr>
            <m:sty m:val="p"/>
          </m:rPr>
          <m:t>/</m:t>
        </m:r>
        <m:r>
          <m:t>k</m:t>
        </m:r>
        <m:r>
          <m:rPr>
            <m:sty m:val="p"/>
          </m:rPr>
          <m:t>)</m:t>
        </m:r>
      </m:oMath>
      <w:r>
        <w:t xml:space="preserve"> </w:t>
      </w:r>
      <w:r>
        <w:t xml:space="preserve">is also strictly increasing</w:t>
      </w:r>
      <w:r>
        <w:t xml:space="preserve"> </w:t>
      </w:r>
      <w:r>
        <w:t xml:space="preserve">on</w:t>
      </w:r>
      <w:r>
        <w:t xml:space="preserve"> </w:t>
      </w:r>
      <m:oMath>
        <m:r>
          <m:t>m</m:t>
        </m:r>
        <m:r>
          <m:rPr>
            <m:sty m:val="p"/>
          </m:rPr>
          <m:t>&lt;</m:t>
        </m:r>
        <m:r>
          <m:t>k</m:t>
        </m:r>
        <m:r>
          <m:rPr>
            <m:sty m:val="p"/>
          </m:rPr>
          <m:t>/</m:t>
        </m:r>
        <m:r>
          <m:t>2</m:t>
        </m:r>
      </m:oMath>
      <w:r>
        <w:t xml:space="preserve">, so at the decision gate the dispersion measure one chooses is immaterial. The scope of</w:t>
      </w:r>
      <w:r>
        <w:t xml:space="preserve"> </w:t>
      </w:r>
      <w:r>
        <w:t xml:space="preserve">this statement matters. At the binary gate the equivalence is algebraic. At three bands the measures</w:t>
      </w:r>
      <w:r>
        <w:t xml:space="preserve"> </w:t>
      </w:r>
      <w:r>
        <w:t xml:space="preserve">are</w:t>
      </w:r>
      <w:r>
        <w:t xml:space="preserve"> </w:t>
      </w:r>
      <w:r>
        <w:rPr>
          <w:i/>
          <w:iCs/>
        </w:rPr>
        <w:t xml:space="preserve">not</w:t>
      </w:r>
      <w:r>
        <w:t xml:space="preserve"> </w:t>
      </w:r>
      <w:r>
        <w:t xml:space="preserve">rank-identical, with a Spearman correlation of</w:t>
      </w:r>
      <w:r>
        <w:t xml:space="preserve"> </w:t>
      </w:r>
      <m:oMath>
        <m:r>
          <m:t>0.971</m:t>
        </m:r>
      </m:oMath>
      <w:r>
        <w:t xml:space="preserve"> </w:t>
      </w:r>
      <w:r>
        <w:t xml:space="preserve">between the index and the</w:t>
      </w:r>
      <w:r>
        <w:t xml:space="preserve"> </w:t>
      </w:r>
      <w:r>
        <w:t xml:space="preserve">dissent count, yet they yield the same AUC in the present specification-split and profile-split</w:t>
      </w:r>
      <w:r>
        <w:t xml:space="preserve"> </w:t>
      </w:r>
      <w:r>
        <w:t xml:space="preserve">analyses. Table 8 confirms this</w:t>
      </w:r>
      <w:r>
        <w:t xml:space="preserve"> </w:t>
      </w:r>
      <w:r>
        <w:t xml:space="preserve">numerically and extends it: at the three-band resolution the two agree to within numerical</w:t>
      </w:r>
      <w:r>
        <w:t xml:space="preserve"> </w:t>
      </w:r>
      <w:r>
        <w:t xml:space="preserve">precision as well, and at the full letter resolution the exercise is vacuous because every item</w:t>
      </w:r>
      <w:r>
        <w:t xml:space="preserve"> </w:t>
      </w:r>
      <w:r>
        <w:t xml:space="preserve">changes letter on some held-out specification, so the event to be predicted has a base rate of one.</w:t>
      </w:r>
    </w:p>
    <w:bookmarkStart w:id="57" w:name="tab:sisbase"/>
    <w:p>
      <w:pPr>
        <w:pStyle w:val="TableCaption"/>
      </w:pPr>
      <w:r>
        <w:t xml:space="preserve">Discrimination of the instability index against baselines computable from the same</w:t>
      </w:r>
      <w:r>
        <w:t xml:space="preserve"> </w:t>
      </w:r>
      <m:oMath>
        <m:r>
          <m:t>k</m:t>
        </m:r>
      </m:oMath>
      <w:r>
        <w:t xml:space="preserve"> </w:t>
      </w:r>
      <w:r>
        <w:t xml:space="preserve">calibration elicitations, predicting whether an issuer’s call changes on at least one held-out</w:t>
      </w:r>
      <w:r>
        <w:t xml:space="preserve"> </w:t>
      </w:r>
      <w:r>
        <w:t xml:space="preserve">specification. The upper block uses the 16/16 specification split over all 45 credit-health</w:t>
      </w:r>
      <w:r>
        <w:t xml:space="preserve"> </w:t>
      </w:r>
      <w:r>
        <w:t xml:space="preserve">profiles. The lower block repeats the comparison in the profile-split analysis, splitting those</w:t>
      </w:r>
      <w:r>
        <w:t xml:space="preserve"> </w:t>
      </w:r>
      <w:r>
        <w:t xml:space="preserve">profiles at random into halves over 300 draws and scoring only the held-out half. Throughout</w:t>
      </w:r>
      <w:r>
        <w:t xml:space="preserve"> </w:t>
      </w:r>
      <w:r>
        <w:t xml:space="preserve">this section the unit is a constructed credit-health profile, not one of the 31 real issuers of</w:t>
      </w:r>
      <w:r>
        <w:t xml:space="preserve"> </w:t>
      </w:r>
      <w:r>
        <w:t xml:space="preserve">Section 3.6. AUC uses mid-rank tie correction, which the</w:t>
      </w:r>
      <w:r>
        <w:t xml:space="preserve"> </w:t>
      </w:r>
      <w:r>
        <w:t xml:space="preserve">heavily tied baselines require. Discrete semantic (Shannon) entropy is the estimator of</w:t>
      </w:r>
      <w:r>
        <w:t xml:space="preserve"> </w:t>
      </w:r>
      <w:r>
        <w:t xml:space="preserve">Farquhar et al. (2024) applied to our categorical outcome, for which semantic clusters are</w:t>
      </w:r>
      <w:r>
        <w:t xml:space="preserve"> </w:t>
      </w:r>
      <w:r>
        <w:t xml:space="preserve">the rating categories. Letter-resolution AUC is undefined because every profile changes letter on</w:t>
      </w:r>
      <w:r>
        <w:t xml:space="preserve"> </w:t>
      </w:r>
      <w:r>
        <w:t xml:space="preserve">some held-out specification, so the event base rate is one.</w:t>
      </w:r>
    </w:p>
    <w:tbl>
      <w:tblPr>
        <w:tblStyle w:val="Table"/>
        <w:tblW w:type="auto" w:w="0"/>
        <w:tblLook w:firstRow="1" w:lastRow="0" w:firstColumn="0" w:lastColumn="0" w:noHBand="0" w:noVBand="0" w:val="0020"/>
        <w:tblCaption w:val="Discrimination of the instability index against baselines computable from the same k calibration elicitations, predicting whether an issuer’s call changes on at least one held-out specification. The upper block uses the 16/16 specification split over all 45 credit-health profiles. The lower block repeats the comparison in the profile-split analysis, splitting those profiles at random into halves over 300 draws and scoring only the held-out half. Throughout this section the unit is a constructed credit-health profile, not one of the 31 real issuers of Section 3.6. AUC uses mid-rank tie correction, which the heavily tied baselines require. Discrete semantic (Shannon) entropy is the estimator of Farquhar et al. (2024) applied to our categorical outcome, for which semantic clusters are the rating categories. Letter-resolution AUC is undefined because every profile changes letter on some held-out specification, so the event base rate is one."/>
      </w:tblPr>
      <w:tblGrid>
        <w:gridCol w:w="1980"/>
        <w:gridCol w:w="1980"/>
        <w:gridCol w:w="1980"/>
        <w:gridCol w:w="1980"/>
      </w:tblGrid>
      <w:tr>
        <w:trPr>
          <w:tblHeader w:val="on"/>
        </w:trPr>
        <w:tc>
          <w:tcPr/>
          <w:p>
            <w:pPr>
              <w:pStyle w:val="Compact"/>
              <w:jc w:val="left"/>
            </w:pPr>
            <w:r>
              <w:t xml:space="preserve">Predictor</w:t>
            </w:r>
          </w:p>
        </w:tc>
        <w:tc>
          <w:tcPr/>
          <w:p>
            <w:pPr>
              <w:pStyle w:val="Compact"/>
              <w:jc w:val="center"/>
            </w:pPr>
            <w:r>
              <w:t xml:space="preserve">IG/HY</w:t>
            </w:r>
          </w:p>
        </w:tc>
        <w:tc>
          <w:tcPr/>
          <w:p>
            <w:pPr>
              <w:pStyle w:val="Compact"/>
              <w:jc w:val="center"/>
            </w:pPr>
            <w:r>
              <w:t xml:space="preserve">3 bands</w:t>
            </w:r>
          </w:p>
        </w:tc>
        <w:tc>
          <w:tcPr/>
          <w:p>
            <w:pPr>
              <w:pStyle w:val="Compact"/>
              <w:jc w:val="center"/>
            </w:pPr>
            <w:r>
              <w:t xml:space="preserve">letter</w:t>
            </w: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0.763</w:t>
            </w:r>
          </w:p>
        </w:tc>
        <w:tc>
          <w:tcPr/>
          <w:p>
            <w:pPr>
              <w:pStyle w:val="Compact"/>
              <w:jc w:val="center"/>
            </w:pPr>
            <w:r>
              <w:t xml:space="preserve">0.655</w:t>
            </w:r>
          </w:p>
        </w:tc>
        <w:tc>
          <w:tcPr/>
          <w:p>
            <w:pPr>
              <w:pStyle w:val="Compact"/>
              <w:jc w:val="center"/>
            </w:pPr>
            <w:r>
              <w:t xml:space="preserve">—</w:t>
            </w:r>
          </w:p>
        </w:tc>
      </w:tr>
      <w:tr>
        <w:tc>
          <w:tcPr/>
          <w:p>
            <w:pPr>
              <w:pStyle w:val="Compact"/>
              <w:jc w:val="left"/>
            </w:pPr>
            <w:r>
              <w:t xml:space="preserve">Event base rate</w:t>
            </w:r>
          </w:p>
        </w:tc>
        <w:tc>
          <w:tcPr/>
          <w:p>
            <w:pPr>
              <w:pStyle w:val="Compact"/>
              <w:jc w:val="center"/>
            </w:pPr>
            <w:r>
              <w:t xml:space="preserve">0.76</w:t>
            </w:r>
          </w:p>
        </w:tc>
        <w:tc>
          <w:tcPr/>
          <w:p>
            <w:pPr>
              <w:pStyle w:val="Compact"/>
              <w:jc w:val="center"/>
            </w:pPr>
            <w:r>
              <w:t xml:space="preserve">0.82</w:t>
            </w:r>
          </w:p>
        </w:tc>
        <w:tc>
          <w:tcPr/>
          <w:p>
            <w:pPr>
              <w:pStyle w:val="Compact"/>
              <w:jc w:val="center"/>
            </w:pPr>
            <w:r>
              <w:t xml:space="preserve">1.00</w:t>
            </w:r>
          </w:p>
        </w:tc>
      </w:tr>
      <w:tr>
        <w:tc>
          <w:tcPr/>
          <w:p>
            <w:pPr>
              <w:pStyle w:val="Compact"/>
              <w:jc w:val="left"/>
            </w:pPr>
            <w:r>
              <w:t xml:space="preserve">Spearman (index, dissent count)</w:t>
            </w:r>
          </w:p>
        </w:tc>
        <w:tc>
          <w:tcPr/>
          <w:p>
            <w:pPr>
              <w:pStyle w:val="Compact"/>
              <w:jc w:val="center"/>
            </w:pPr>
            <w:r>
              <w:t xml:space="preserve">1.000</w:t>
            </w:r>
          </w:p>
        </w:tc>
        <w:tc>
          <w:tcPr/>
          <w:p>
            <w:pPr>
              <w:pStyle w:val="Compact"/>
              <w:jc w:val="center"/>
            </w:pPr>
            <w:r>
              <w:t xml:space="preserve">0.971</w:t>
            </w:r>
          </w:p>
        </w:tc>
        <w:tc>
          <w:tcPr/>
          <w:p>
            <w:pPr>
              <w:pStyle w:val="Compact"/>
              <w:jc w:val="center"/>
            </w:pPr>
            <w:r>
              <w:t xml:space="preserve">0.938</w:t>
            </w:r>
          </w:p>
        </w:tc>
      </w:tr>
      <w:tr>
        <w:tc>
          <w:tcPr/>
          <w:p>
            <w:pPr>
              <w:pStyle w:val="Compact"/>
              <w:jc w:val="left"/>
            </w:pPr>
            <w:r>
              <w:t xml:space="preserve">Spearman (entropy, dissent count)</w:t>
            </w:r>
          </w:p>
        </w:tc>
        <w:tc>
          <w:tcPr/>
          <w:p>
            <w:pPr>
              <w:pStyle w:val="Compact"/>
              <w:jc w:val="center"/>
            </w:pPr>
            <w:r>
              <w:t xml:space="preserve">1.000</w:t>
            </w:r>
          </w:p>
        </w:tc>
        <w:tc>
          <w:tcPr/>
          <w:p>
            <w:pPr>
              <w:pStyle w:val="Compact"/>
              <w:jc w:val="center"/>
            </w:pPr>
            <w:r>
              <w:t xml:space="preserve">0.890</w:t>
            </w:r>
          </w:p>
        </w:tc>
        <w:tc>
          <w:tcPr/>
          <w:p>
            <w:pPr>
              <w:pStyle w:val="Compact"/>
              <w:jc w:val="center"/>
            </w:pPr>
            <w:r>
              <w:t xml:space="preserve">0.837</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 CI (issuer-clustered, 2</w:t>
            </w:r>
            <w:r>
              <w:t xml:space="preserve">,</w:t>
            </w:r>
            <w:r>
              <w:t xml:space="preserve">000 draws)</w:t>
            </w:r>
          </w:p>
        </w:tc>
        <w:tc>
          <w:tcPr/>
          <w:p>
            <w:pPr>
              <w:pStyle w:val="Compact"/>
              <w:jc w:val="center"/>
            </w:pPr>
            <w:r>
              <w:t xml:space="preserve">(0.000, 0.000)</w:t>
            </w:r>
          </w:p>
        </w:tc>
        <w:tc>
          <w:tcPr/>
          <w:p>
            <w:pPr>
              <w:pStyle w:val="Compact"/>
              <w:jc w:val="center"/>
            </w:pPr>
            <w:r>
              <w:t xml:space="preserve">(0.000, 0.000)</w:t>
            </w:r>
          </w:p>
        </w:tc>
        <w:tc>
          <w:tcPr/>
          <w:p>
            <w:pPr>
              <w:pStyle w:val="Compact"/>
              <w:jc w:val="center"/>
            </w:pPr>
            <w:r>
              <w:t xml:space="preserve">—</w:t>
            </w:r>
          </w:p>
        </w:tc>
      </w:tr>
      <w:tr>
        <w:tc>
          <w:tcPr/>
          <w:p>
            <w:pPr>
              <w:pStyle w:val="Compact"/>
              <w:jc w:val="left"/>
            </w:pPr>
            <w:r>
              <w:t xml:space="preserve">AUC difference, entropy</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rPr>
                <w:i/>
                <w:iCs/>
              </w:rPr>
              <w:t xml:space="preserve">Profile-split subsampling (300 random splits of the 45 profiles)</w:t>
            </w:r>
          </w:p>
        </w:tc>
        <w:tc>
          <w:tcPr/>
          <w:p>
            <w:pPr>
              <w:pStyle w:val="Compact"/>
            </w:pPr>
          </w:p>
        </w:tc>
        <w:tc>
          <w:tcPr/>
          <w:p>
            <w:pPr>
              <w:pStyle w:val="Compact"/>
            </w:pPr>
          </w:p>
        </w:tc>
        <w:tc>
          <w:tcPr/>
          <w:p>
            <w:pPr>
              <w:pStyle w:val="Compact"/>
            </w:pP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0.768</w:t>
            </w:r>
          </w:p>
        </w:tc>
        <w:tc>
          <w:tcPr/>
          <w:p>
            <w:pPr>
              <w:pStyle w:val="Compact"/>
              <w:jc w:val="center"/>
            </w:pPr>
            <w:r>
              <w:t xml:space="preserve">0.649</w:t>
            </w:r>
          </w:p>
        </w:tc>
        <w:tc>
          <w:tcPr/>
          <w:p>
            <w:pPr>
              <w:pStyle w:val="Compact"/>
              <w:jc w:val="center"/>
            </w:pPr>
            <w:r>
              <w:t xml:space="preserve">—</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maximum</w:t>
            </w:r>
            <w:r>
              <w:t xml:space="preserve"> </w:t>
            </w:r>
            <m:oMath>
              <m:r>
                <m:rPr>
                  <m:sty m:val="p"/>
                </m:rPr>
                <m:t>|</m:t>
              </m:r>
            </m:oMath>
            <w:r>
              <w:t xml:space="preserve">difference</w:t>
            </w:r>
            <m:oMath>
              <m:r>
                <m:rPr>
                  <m:sty m:val="p"/>
                </m:rPr>
                <m:t>|</m:t>
              </m:r>
            </m:oMath>
            <w:r>
              <w:t xml:space="preserve"> </w:t>
            </w:r>
            <w:r>
              <w:t xml:space="preserve">across splits</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bl>
    <w:bookmarkEnd w:id="57"/>
    <w:p>
      <w:pPr>
        <w:pStyle w:val="BodyText"/>
      </w:pPr>
      <w:r>
        <w:t xml:space="preserve">Two conclusions follow. First, the index adds no discrimination over counting dissents, so the</w:t>
      </w:r>
      <w:r>
        <w:t xml:space="preserve"> </w:t>
      </w:r>
      <w:r>
        <w:t xml:space="preserve">operating rule can be stated without it, as</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on the integer dissent count. The choice of</w:t>
      </w:r>
      <w:r>
        <w:t xml:space="preserve"> </w:t>
      </w:r>
      <m:oMath>
        <m:sSub>
          <m:e>
            <m:r>
              <m:t>c</m:t>
            </m:r>
          </m:e>
          <m:sub>
            <m:r>
              <m:rPr>
                <m:sty m:val="p"/>
              </m:rPr>
              <m:t>r</m:t>
            </m:r>
            <m:r>
              <m:rPr>
                <m:sty m:val="p"/>
              </m:rPr>
              <m:t>e</m:t>
            </m:r>
            <m:r>
              <m:rPr>
                <m:sty m:val="p"/>
              </m:rPr>
              <m:t>f</m:t>
            </m:r>
          </m:sub>
        </m:sSub>
      </m:oMath>
      <w:r>
        <w:t xml:space="preserve"> </w:t>
      </w:r>
      <w:r>
        <w:t xml:space="preserve">is a governance decision rather than an empirical one, and the decision curve shows that a stricter</w:t>
      </w:r>
      <w:r>
        <w:t xml:space="preserve"> </w:t>
      </w:r>
      <m:oMath>
        <m:sSub>
          <m:e>
            <m:r>
              <m:t>c</m:t>
            </m:r>
          </m:e>
          <m:sub>
            <m:r>
              <m:rPr>
                <m:sty m:val="p"/>
              </m:rPr>
              <m:t>r</m:t>
            </m:r>
            <m:r>
              <m:rPr>
                <m:sty m:val="p"/>
              </m:rPr>
              <m:t>e</m:t>
            </m:r>
            <m:r>
              <m:rPr>
                <m:sty m:val="p"/>
              </m:rPr>
              <m:t>f</m:t>
            </m:r>
          </m:sub>
        </m:sSub>
      </m:oMath>
      <w:r>
        <w:t xml:space="preserve"> </w:t>
      </w:r>
      <w:r>
        <w:t xml:space="preserve">dominates</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once review is costly. The continuous score contributes</w:t>
      </w:r>
      <w:r>
        <w:t xml:space="preserve"> </w:t>
      </w:r>
      <w:r>
        <w:t xml:space="preserve">nothing beyond the count at the decision resolutions a credit gate actually uses. Second, distance</w:t>
      </w:r>
      <w:r>
        <w:t xml:space="preserve"> </w:t>
      </w:r>
      <w:r>
        <w:t xml:space="preserve">to the boundary is a genuinely</w:t>
      </w:r>
      <w:r>
        <w:t xml:space="preserve"> </w:t>
      </w:r>
      <w:r>
        <w:rPr>
          <w:i/>
          <w:iCs/>
        </w:rPr>
        <w:t xml:space="preserve">different</w:t>
      </w:r>
      <w:r>
        <w:t xml:space="preserve"> </w:t>
      </w:r>
      <w:r>
        <w:t xml:space="preserve">and weaker signal (AUC</w:t>
      </w:r>
      <w:r>
        <w:t xml:space="preserve"> </w:t>
      </w:r>
      <m:oMath>
        <m:r>
          <m:t>0.763</m:t>
        </m:r>
      </m:oMath>
      <w:r>
        <w:t xml:space="preserve"> </w:t>
      </w:r>
      <w:r>
        <w:t xml:space="preserve">and</w:t>
      </w:r>
      <w:r>
        <w:t xml:space="preserve"> </w:t>
      </w:r>
      <m:oMath>
        <m:r>
          <m:t>0.655</m:t>
        </m:r>
      </m:oMath>
      <w:r>
        <w:t xml:space="preserve">), so it is</w:t>
      </w:r>
      <w:r>
        <w:t xml:space="preserve"> </w:t>
      </w:r>
      <w:r>
        <w:t xml:space="preserve">not a substitute for the dissent count. The two measure different things, which is why</w:t>
      </w:r>
      <w:r>
        <w:t xml:space="preserve"> </w:t>
      </w:r>
      <w:r>
        <w:t xml:space="preserve">Algorithm 1 (Fig. 5) uses dissent to determine referral and boundary proximity to determine priority.</w:t>
      </w:r>
    </w:p>
    <w:bookmarkStart w:id="59" w:name="net-benefit-for-triage."/>
    <w:p>
      <w:pPr>
        <w:pStyle w:val="Heading4"/>
      </w:pPr>
      <w:r>
        <w:rPr>
          <w:rStyle w:val="SectionNumber"/>
        </w:rPr>
        <w:t xml:space="preserve">4.3.0.1</w:t>
      </w:r>
      <w:r>
        <w:tab/>
      </w:r>
      <w:r>
        <w:t xml:space="preserve">Net benefit for triage.</w:t>
      </w:r>
    </w:p>
    <w:p>
      <w:pPr>
        <w:pStyle w:val="FirstParagraph"/>
      </w:pPr>
      <w:r>
        <w:t xml:space="preserve">Discrimination is not the quantity a referral desk optimizes, so we also report the decision-curve</w:t>
      </w:r>
      <w:r>
        <w:t xml:space="preserve"> </w:t>
      </w:r>
      <w:r>
        <w:t xml:space="preserve">net benefit of Vickers and Elkin (2006),</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where</w:t>
      </w:r>
      <w:r>
        <w:t xml:space="preserve"> </w:t>
      </w:r>
      <m:oMath>
        <m:sSub>
          <m:e>
            <m:r>
              <m:t>p</m:t>
            </m:r>
          </m:e>
          <m:sub>
            <m:r>
              <m:t>t</m:t>
            </m:r>
          </m:sub>
        </m:sSub>
      </m:oMath>
      <w:r>
        <w:t xml:space="preserve"> </w:t>
      </w:r>
      <w:r>
        <w:t xml:space="preserve">is the</w:t>
      </w:r>
      <w:r>
        <w:t xml:space="preserve"> </w:t>
      </w:r>
      <w:r>
        <w:t xml:space="preserve">threshold probability at which a reviewer is indifferent between referring and not referring. Each</w:t>
      </w:r>
      <w:r>
        <w:t xml:space="preserve"> </w:t>
      </w:r>
      <w:r>
        <w:t xml:space="preserve">continuous predictor is credited with the best net benefit attainable over its</w:t>
      </w:r>
      <w:r>
        <w:t xml:space="preserve"> </w:t>
      </w:r>
      <w:r>
        <w:rPr>
          <w:i/>
          <w:iCs/>
        </w:rPr>
        <w:t xml:space="preserve">own</w:t>
      </w:r>
      <w:r>
        <w:t xml:space="preserve"> </w:t>
      </w:r>
      <w:r>
        <w:t xml:space="preserve">thresholds, which is the most favourable reading available to it. Table 9 gives the</w:t>
      </w:r>
      <w:r>
        <w:t xml:space="preserve"> </w:t>
      </w:r>
      <w:r>
        <w:t xml:space="preserve">curves. Three results follow, and the first two are null.</w:t>
      </w:r>
    </w:p>
    <w:p>
      <w:pPr>
        <w:pStyle w:val="BodyText"/>
      </w:pPr>
      <w:r>
        <w:t xml:space="preserve">The index and the dissent count have</w:t>
      </w:r>
      <w:r>
        <w:t xml:space="preserve"> </w:t>
      </w:r>
      <w:r>
        <w:rPr>
          <w:i/>
          <w:iCs/>
        </w:rPr>
        <w:t xml:space="preserve">identical</w:t>
      </w:r>
      <w:r>
        <w:t xml:space="preserve"> </w:t>
      </w:r>
      <w:r>
        <w:t xml:space="preserve">net-benefit curves at every threshold</w:t>
      </w:r>
      <w:r>
        <w:t xml:space="preserve"> </w:t>
      </w:r>
      <w:r>
        <w:t xml:space="preserve">probability, to machine precision, at both resolutions where the event is non-degenerate. The</w:t>
      </w:r>
      <w:r>
        <w:t xml:space="preserve"> </w:t>
      </w:r>
      <w:r>
        <w:t xml:space="preserve">largest absolute gap is exactly</w:t>
      </w:r>
      <w:r>
        <w:t xml:space="preserve"> </w:t>
      </w:r>
      <m:oMath>
        <m:r>
          <m:t>0</m:t>
        </m:r>
      </m:oMath>
      <w:r>
        <w:t xml:space="preserve">. This is the order-isomorphism again, now in the decision metric. The two predictors’ threshold families generate the same flag sets, so no triage policy can</w:t>
      </w:r>
      <w:r>
        <w:t xml:space="preserve"> </w:t>
      </w:r>
      <w:r>
        <w:t xml:space="preserve">distinguish them. The self-consistency vote margin coincides with them as well. Distance to the</w:t>
      </w:r>
      <w:r>
        <w:t xml:space="preserve"> </w:t>
      </w:r>
      <w:r>
        <w:t xml:space="preserve">boundary is dominated, by up to</w:t>
      </w:r>
      <w:r>
        <w:t xml:space="preserve"> </w:t>
      </w:r>
      <m:oMath>
        <m:r>
          <m:t>0.156</m:t>
        </m:r>
      </m:oMath>
      <w:r>
        <w:t xml:space="preserve"> </w:t>
      </w:r>
      <w:r>
        <w:t xml:space="preserve">in net benefit. The index therefore yields no triage gain</w:t>
      </w:r>
      <w:r>
        <w:t xml:space="preserve"> </w:t>
      </w:r>
      <w:r>
        <w:t xml:space="preserve">over counting dissents, and we report this null as the answer to the question.</w:t>
      </w:r>
    </w:p>
    <w:p>
      <w:pPr>
        <w:pStyle w:val="BodyText"/>
      </w:pPr>
      <w:r>
        <w:t xml:space="preserve">Dispersion-based referral does, however, beat the two reference policies once referral is costly</w:t>
      </w:r>
      <w:r>
        <w:t xml:space="preserve"> </w:t>
      </w:r>
      <w:r>
        <w:t xml:space="preserve">enough. Because the event base rate is high (</w:t>
      </w:r>
      <m:oMath>
        <m:r>
          <m:t>0.76</m:t>
        </m:r>
      </m:oMath>
      <w:r>
        <w:t xml:space="preserve"> </w:t>
      </w:r>
      <w:r>
        <w:t xml:space="preserve">at the binary gate), referring every issuer is</w:t>
      </w:r>
      <w:r>
        <w:t xml:space="preserve"> </w:t>
      </w:r>
      <w:r>
        <w:t xml:space="preserve">already near-optimal for</w:t>
      </w:r>
      <w:r>
        <w:t xml:space="preserve"> </w:t>
      </w:r>
      <m:oMath>
        <m:sSub>
          <m:e>
            <m:r>
              <m:t>p</m:t>
            </m:r>
          </m:e>
          <m:sub>
            <m:r>
              <m:t>t</m:t>
            </m:r>
          </m:sub>
        </m:sSub>
        <m:r>
          <m:rPr>
            <m:sty m:val="p"/>
          </m:rPr>
          <m:t>≤</m:t>
        </m:r>
        <m:r>
          <m:t>0.20</m:t>
        </m:r>
      </m:oMath>
      <w:r>
        <w:t xml:space="preserve">, where the gain from any predictor is</w:t>
      </w:r>
      <w:r>
        <w:t xml:space="preserve"> </w:t>
      </w:r>
      <m:oMath>
        <m:r>
          <m:t>0</m:t>
        </m:r>
      </m:oMath>
      <w:r>
        <w:t xml:space="preserve">. From</w:t>
      </w:r>
      <w:r>
        <w:t xml:space="preserve"> </w:t>
      </w:r>
      <m:oMath>
        <m:sSub>
          <m:e>
            <m:r>
              <m:t>p</m:t>
            </m:r>
          </m:e>
          <m:sub>
            <m:r>
              <m:t>t</m:t>
            </m:r>
          </m:sub>
        </m:sSub>
        <m:r>
          <m:rPr>
            <m:sty m:val="p"/>
          </m:rPr>
          <m:t>=</m:t>
        </m:r>
        <m:r>
          <m:t>0.25</m:t>
        </m:r>
      </m:oMath>
      <w:r>
        <w:t xml:space="preserve"> </w:t>
      </w:r>
      <w:r>
        <w:t xml:space="preserve">the</w:t>
      </w:r>
      <w:r>
        <w:t xml:space="preserve"> </w:t>
      </w:r>
      <w:r>
        <w:t xml:space="preserve">dispersion predictors separate, reaching</w:t>
      </w:r>
      <w:r>
        <w:t xml:space="preserve"> </w:t>
      </w:r>
      <m:oMath>
        <m:r>
          <m:rPr>
            <m:sty m:val="p"/>
          </m:rPr>
          <m:t>+</m:t>
        </m:r>
        <m:r>
          <m:t>0.278</m:t>
        </m:r>
      </m:oMath>
      <w:r>
        <w:t xml:space="preserve"> </w:t>
      </w:r>
      <w:r>
        <w:t xml:space="preserve">over refer-all at</w:t>
      </w:r>
      <w:r>
        <w:t xml:space="preserve"> </w:t>
      </w:r>
      <m:oMath>
        <m:sSub>
          <m:e>
            <m:r>
              <m:t>p</m:t>
            </m:r>
          </m:e>
          <m:sub>
            <m:r>
              <m:t>t</m:t>
            </m:r>
          </m:sub>
        </m:sSub>
        <m:r>
          <m:rPr>
            <m:sty m:val="p"/>
          </m:rPr>
          <m:t>=</m:t>
        </m:r>
        <m:r>
          <m:t>0.60</m:t>
        </m:r>
      </m:oMath>
      <w:r>
        <w:t xml:space="preserve">. The useful knob there</w:t>
      </w:r>
      <w:r>
        <w:t xml:space="preserve"> </w:t>
      </w:r>
      <w:r>
        <w:t xml:space="preserve">is the</w:t>
      </w:r>
      <w:r>
        <w:t xml:space="preserve"> </w:t>
      </w:r>
      <w:r>
        <w:rPr>
          <w:i/>
          <w:iCs/>
        </w:rPr>
        <w:t xml:space="preserve">number</w:t>
      </w:r>
      <w:r>
        <w:t xml:space="preserve"> </w:t>
      </w:r>
      <w:r>
        <w:t xml:space="preserve">of dissenting elicitations rather than the continuous score. The fixed</w:t>
      </w:r>
      <w:r>
        <w:t xml:space="preserve"> </w:t>
      </w:r>
      <w:r>
        <w:t xml:space="preserve">“refer on</w:t>
      </w:r>
      <w:r>
        <w:t xml:space="preserve"> </w:t>
      </w:r>
      <w:r>
        <w:t xml:space="preserve">any disagreement”</w:t>
      </w:r>
      <w:r>
        <w:t xml:space="preserve"> </w:t>
      </w:r>
      <w:r>
        <w:t xml:space="preserve">rule falls short of the attainable envelope by up to</w:t>
      </w:r>
      <w:r>
        <w:t xml:space="preserve"> </w:t>
      </w:r>
      <m:oMath>
        <m:r>
          <m:t>0.167</m:t>
        </m:r>
      </m:oMath>
      <w:r>
        <w:t xml:space="preserve">, because for</w:t>
      </w:r>
      <w:r>
        <w:t xml:space="preserve"> </w:t>
      </w:r>
      <m:oMath>
        <m:sSub>
          <m:e>
            <m:r>
              <m:t>p</m:t>
            </m:r>
          </m:e>
          <m:sub>
            <m:r>
              <m:t>t</m:t>
            </m:r>
          </m:sub>
        </m:sSub>
        <m:r>
          <m:rPr>
            <m:sty m:val="p"/>
          </m:rPr>
          <m:t>&gt;</m:t>
        </m:r>
        <m:r>
          <m:t>0.30</m:t>
        </m:r>
      </m:oMath>
      <w:r>
        <w:t xml:space="preserve"> </w:t>
      </w:r>
      <w:r>
        <w:t xml:space="preserve">a count threshold above one dissent is preferable. The operational rule uses an integer dissent threshold</w:t>
      </w:r>
      <w:r>
        <w:t xml:space="preserve"> </w:t>
      </w:r>
      <m:oMath>
        <m:sSub>
          <m:e>
            <m:r>
              <m:t>c</m:t>
            </m:r>
          </m:e>
          <m:sub>
            <m:r>
              <m:rPr>
                <m:sty m:val="p"/>
              </m:rPr>
              <m:t>r</m:t>
            </m:r>
            <m:r>
              <m:rPr>
                <m:sty m:val="p"/>
              </m:rPr>
              <m:t>e</m:t>
            </m:r>
            <m:r>
              <m:rPr>
                <m:sty m:val="p"/>
              </m:rPr>
              <m:t>f</m:t>
            </m:r>
          </m:sub>
        </m:sSub>
      </m:oMath>
      <w:r>
        <w:t xml:space="preserve">, chosen according to review cost and capacity, rather than a cutoff on the continuous</w:t>
      </w:r>
      <w:r>
        <w:t xml:space="preserve"> </w:t>
      </w:r>
      <m:oMath>
        <m:r>
          <m:rPr>
            <m:sty m:val="p"/>
          </m:rPr>
          <m:t>S</m:t>
        </m:r>
        <m:r>
          <m:rPr>
            <m:sty m:val="p"/>
          </m:rPr>
          <m:t>I</m:t>
        </m:r>
        <m:r>
          <m:rPr>
            <m:sty m:val="p"/>
          </m:rPr>
          <m:t>S</m:t>
        </m:r>
      </m:oMath>
      <w:r>
        <w:t xml:space="preserve">.</w:t>
      </w:r>
    </w:p>
    <w:bookmarkStart w:id="58" w:name="tab:sisdca"/>
    <w:p>
      <w:pPr>
        <w:pStyle w:val="TableCaption"/>
      </w:pPr>
      <w:r>
        <w:t xml:space="preserve">Decision-curve net benefit for triage,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45 credit-health profiles, same 16/16 specification split. Continuous predictors are credited with</w:t>
      </w:r>
      <w:r>
        <w:t xml:space="preserve"> </w:t>
      </w:r>
      <w:r>
        <w:t xml:space="preserve">the best value attainable over their own thresholds. The letter resolution is omitted, because its event base rate is</w:t>
      </w:r>
      <w:r>
        <w:t xml:space="preserve"> </w:t>
      </w:r>
      <m:oMath>
        <m:r>
          <m:t>1.00</m:t>
        </m:r>
      </m:oMath>
      <w:r>
        <w:t xml:space="preserve">, so refer-all is optimal at every</w:t>
      </w:r>
      <w:r>
        <w:t xml:space="preserve"> </w:t>
      </w:r>
      <m:oMath>
        <m:sSub>
          <m:e>
            <m:r>
              <m:t>p</m:t>
            </m:r>
          </m:e>
          <m:sub>
            <m:r>
              <m:t>t</m:t>
            </m:r>
          </m:sub>
        </m:sSub>
      </m:oMath>
      <w:r>
        <w:t xml:space="preserve"> </w:t>
      </w:r>
      <w:r>
        <w:t xml:space="preserve">and the curve is degenerate. The analysis</w:t>
      </w:r>
      <w:r>
        <w:t xml:space="preserve"> </w:t>
      </w:r>
      <w:r>
        <w:t xml:space="preserve">specification was committed and hashed before the computation was run</w:t>
      </w:r>
      <w:r>
        <w:t xml:space="preserve"> </w:t>
      </w:r>
      <w:r>
        <w:t xml:space="preserve">(</w:t>
      </w:r>
      <w:r>
        <w:rPr>
          <w:rStyle w:val="VerbatimChar"/>
        </w:rPr>
        <w:t xml:space="preserve">SPEC_r3_decision_curve.md</w:t>
      </w:r>
      <w:r>
        <w:t xml:space="preserve">, deposited with the archive).</w:t>
      </w:r>
    </w:p>
    <w:tbl>
      <w:tblPr>
        <w:tblStyle w:val="Table"/>
        <w:tblW w:type="auto" w:w="0"/>
        <w:tblLook w:firstRow="1" w:lastRow="0" w:firstColumn="0" w:lastColumn="0" w:noHBand="0" w:noVBand="0" w:val="0020"/>
        <w:tblCaption w:val="Decision-curve net benefit for triage, \mathrm{NB}(p_t)=\mathrm{TP}/n-(\mathrm{FP}/n)     \,p_t/(1-p_t), 45 credit-health profiles, same 16/16 specification split. Continuous predictors are credited with the best value attainable over their own thresholds. The letter resolution is omitted, because its event base rate is 1.00, so refer-all is optimal at every p_t and the curve is degenerate. The analysis specification was committed and hashed before the computation was run (SPEC_r3_decision_curve.md, deposited with the archive)."/>
      </w:tblPr>
      <w:tblGrid>
        <w:gridCol w:w="1320"/>
        <w:gridCol w:w="1320"/>
        <w:gridCol w:w="1320"/>
        <w:gridCol w:w="1320"/>
        <w:gridCol w:w="1320"/>
        <w:gridCol w:w="1320"/>
      </w:tblGrid>
      <w:tr>
        <w:trPr>
          <w:tblHeader w:val="on"/>
        </w:trPr>
        <w:tc>
          <w:tcPr/>
          <w:p>
            <w:pPr>
              <w:pStyle w:val="Compact"/>
            </w:pPr>
          </w:p>
        </w:tc>
        <w:tc>
          <w:tcPr>
            <w:gridSpan w:val="5"/>
          </w:tcPr>
          <w:p>
            <w:pPr>
              <w:pStyle w:val="Compact"/>
              <w:jc w:val="center"/>
            </w:pPr>
            <w:r>
              <w:t xml:space="preserve">threshold probability</w:t>
            </w:r>
            <w:r>
              <w:t xml:space="preserve"> </w:t>
            </w:r>
            <m:oMath>
              <m:sSub>
                <m:e>
                  <m:r>
                    <m:t>p</m:t>
                  </m:r>
                </m:e>
                <m:sub>
                  <m:r>
                    <m:t>t</m:t>
                  </m:r>
                </m:sub>
              </m:sSub>
            </m:oMath>
          </w:p>
        </w:tc>
      </w:tr>
      <w:tr>
        <w:tc>
          <w:tcPr/>
          <w:p>
            <w:pPr>
              <w:pStyle w:val="Compact"/>
              <w:jc w:val="left"/>
            </w:pPr>
            <w:r>
              <w:t xml:space="preserve">2-6</w:t>
            </w:r>
            <w:r>
              <w:t xml:space="preserve"> </w:t>
            </w:r>
            <w:r>
              <w:t xml:space="preserve">Strategy (IG/HY resolution)</w:t>
            </w:r>
          </w:p>
        </w:tc>
        <w:tc>
          <w:tcPr/>
          <w:p>
            <w:pPr>
              <w:pStyle w:val="Compact"/>
              <w:jc w:val="center"/>
            </w:pPr>
            <w:r>
              <w:t xml:space="preserve">0.10</w:t>
            </w:r>
          </w:p>
        </w:tc>
        <w:tc>
          <w:tcPr/>
          <w:p>
            <w:pPr>
              <w:pStyle w:val="Compact"/>
              <w:jc w:val="center"/>
            </w:pPr>
            <w:r>
              <w:t xml:space="preserve">0.20</w:t>
            </w:r>
          </w:p>
        </w:tc>
        <w:tc>
          <w:tcPr/>
          <w:p>
            <w:pPr>
              <w:pStyle w:val="Compact"/>
              <w:jc w:val="center"/>
            </w:pPr>
            <w:r>
              <w:t xml:space="preserve">0.30</w:t>
            </w:r>
          </w:p>
        </w:tc>
        <w:tc>
          <w:tcPr/>
          <w:p>
            <w:pPr>
              <w:pStyle w:val="Compact"/>
              <w:jc w:val="center"/>
            </w:pPr>
            <w:r>
              <w:t xml:space="preserve">0.45</w:t>
            </w:r>
          </w:p>
        </w:tc>
        <w:tc>
          <w:tcPr/>
          <w:p>
            <w:pPr>
              <w:pStyle w:val="Compact"/>
              <w:jc w:val="center"/>
            </w:pPr>
            <w:r>
              <w:t xml:space="preserve">0.60</w:t>
            </w:r>
          </w:p>
        </w:tc>
      </w:tr>
      <w:tr>
        <w:tc>
          <w:tcPr/>
          <w:p>
            <w:pPr>
              <w:pStyle w:val="Compact"/>
              <w:jc w:val="left"/>
            </w:pPr>
            <w:r>
              <w:t xml:space="preserve">Instability index (own best threshold)</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Discrete semantic (Shannon) entropy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Number of dissenting elicitations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Self-consistency vote margin</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Distance to IG/HY boundary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0.572</w:t>
            </w:r>
          </w:p>
        </w:tc>
        <w:tc>
          <w:tcPr/>
          <w:p>
            <w:pPr>
              <w:pStyle w:val="Compact"/>
              <w:jc w:val="center"/>
            </w:pPr>
            <w:r>
              <w:t xml:space="preserve">0.511</w:t>
            </w:r>
          </w:p>
        </w:tc>
      </w:tr>
      <w:tr>
        <w:tc>
          <w:tcPr/>
          <w:p>
            <w:pPr>
              <w:pStyle w:val="Compact"/>
              <w:jc w:val="left"/>
            </w:pPr>
            <w:r>
              <w:t xml:space="preserve">“Refer on any disagreement”</w:t>
            </w:r>
            <w:r>
              <w:t xml:space="preserve"> </w:t>
            </w:r>
            <w:r>
              <w:t xml:space="preserve">(fixed)</w:t>
            </w:r>
          </w:p>
        </w:tc>
        <w:tc>
          <w:tcPr/>
          <w:p>
            <w:pPr>
              <w:pStyle w:val="Compact"/>
              <w:jc w:val="center"/>
            </w:pPr>
            <w:r>
              <w:t xml:space="preserve">0.716</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0.606</w:t>
            </w:r>
          </w:p>
        </w:tc>
        <w:tc>
          <w:tcPr/>
          <w:p>
            <w:pPr>
              <w:pStyle w:val="Compact"/>
              <w:jc w:val="center"/>
            </w:pPr>
            <w:r>
              <w:t xml:space="preserve">0.500</w:t>
            </w:r>
          </w:p>
        </w:tc>
      </w:tr>
      <w:tr>
        <w:tc>
          <w:tcPr/>
          <w:p>
            <w:pPr>
              <w:pStyle w:val="Compact"/>
              <w:jc w:val="left"/>
            </w:pPr>
            <w:r>
              <w:t xml:space="preserve">Refer all issuers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0.556</w:t>
            </w:r>
          </w:p>
        </w:tc>
        <w:tc>
          <w:tcPr/>
          <w:p>
            <w:pPr>
              <w:pStyle w:val="Compact"/>
              <w:jc w:val="center"/>
            </w:pPr>
            <w:r>
              <w:t xml:space="preserve">0.389</w:t>
            </w:r>
          </w:p>
        </w:tc>
      </w:tr>
      <w:tr>
        <w:tc>
          <w:tcPr/>
          <w:p>
            <w:pPr>
              <w:pStyle w:val="Compact"/>
              <w:jc w:val="left"/>
            </w:pPr>
            <w:r>
              <w:t xml:space="preserve">Refer 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gridSpan w:val="6"/>
          </w:tcPr>
          <w:p>
            <w:pPr>
              <w:pStyle w:val="Compact"/>
              <w:jc w:val="left"/>
            </w:pPr>
            <w:r>
              <w:rPr>
                <w:i/>
                <w:iCs/>
              </w:rPr>
              <w:t xml:space="preserve">Maximum absolute gap across the full</w:t>
            </w:r>
            <w:r>
              <w:rPr>
                <w:i/>
                <w:iCs/>
              </w:rPr>
              <w:t xml:space="preserve"> </w:t>
            </w:r>
            <m:oMath>
              <m:sSub>
                <m:e>
                  <m:r>
                    <m:t>p</m:t>
                  </m:r>
                </m:e>
                <m:sub>
                  <m:r>
                    <m:t>t</m:t>
                  </m:r>
                </m:sub>
              </m:sSub>
            </m:oMath>
            <w:r>
              <w:rPr>
                <w:i/>
                <w:iCs/>
              </w:rPr>
              <w:t xml:space="preserve"> </w:t>
            </w:r>
            <w:r>
              <w:rPr>
                <w:i/>
                <w:iCs/>
              </w:rPr>
              <w:t xml:space="preserve">grid,</w:t>
            </w:r>
            <w:r>
              <w:rPr>
                <w:i/>
                <w:iCs/>
              </w:rPr>
              <w:t xml:space="preserve"> </w:t>
            </w:r>
            <m:oMath>
              <m:r>
                <m:t>0.05</m:t>
              </m:r>
            </m:oMath>
            <w:r>
              <w:rPr>
                <w:i/>
                <w:iCs/>
              </w:rPr>
              <w:t xml:space="preserve">–</w:t>
            </w:r>
            <m:oMath>
              <m:r>
                <m:t>0.60</m:t>
              </m:r>
            </m:oMath>
            <w:r>
              <w:rPr>
                <w:i/>
                <w:iCs/>
              </w:rPr>
              <w:t xml:space="preserve">:</w:t>
            </w:r>
          </w:p>
        </w:tc>
      </w:tr>
      <w:tr>
        <w:tc>
          <w:tcPr/>
          <w:p>
            <w:pPr>
              <w:pStyle w:val="Compact"/>
              <w:jc w:val="left"/>
            </w:pPr>
            <w:r>
              <w:t xml:space="preserve">index</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entropy</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vote margin</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boundary distance</w:t>
            </w:r>
          </w:p>
        </w:tc>
        <w:tc>
          <w:tcPr>
            <w:gridSpan w:val="5"/>
          </w:tcPr>
          <w:p>
            <w:pPr>
              <w:pStyle w:val="Compact"/>
              <w:jc w:val="center"/>
            </w:pPr>
            <m:oMath>
              <m:r>
                <m:t>0.156</m:t>
              </m:r>
            </m:oMath>
            <w:r>
              <w:t xml:space="preserve">​</w:t>
            </w:r>
          </w:p>
        </w:tc>
      </w:tr>
      <w:tr>
        <w:tc>
          <w:tcPr/>
          <w:p>
            <w:pPr>
              <w:pStyle w:val="Compact"/>
              <w:jc w:val="left"/>
            </w:pPr>
            <w:r>
              <w:t xml:space="preserve">attainable envelope</w:t>
            </w:r>
            <w:r>
              <w:t xml:space="preserve"> </w:t>
            </w:r>
            <m:oMath>
              <m:r>
                <m:rPr>
                  <m:sty m:val="p"/>
                </m:rPr>
                <m:t>−</m:t>
              </m:r>
            </m:oMath>
            <w:r>
              <w:t xml:space="preserve"> </w:t>
            </w:r>
            <w:r>
              <w:t xml:space="preserve">“any disagreement”</w:t>
            </w:r>
          </w:p>
        </w:tc>
        <w:tc>
          <w:tcPr>
            <w:gridSpan w:val="5"/>
          </w:tcPr>
          <w:p>
            <w:pPr>
              <w:pStyle w:val="Compact"/>
              <w:jc w:val="center"/>
            </w:pPr>
            <m:oMath>
              <m:r>
                <m:t>0.167</m:t>
              </m:r>
            </m:oMath>
            <w:r>
              <w:t xml:space="preserve">​</w:t>
            </w:r>
          </w:p>
        </w:tc>
      </w:tr>
    </w:tbl>
    <w:bookmarkEnd w:id="58"/>
    <w:bookmarkEnd w:id="59"/>
    <w:bookmarkEnd w:id="60"/>
    <w:bookmarkStart w:id="62" w:name="sec:sis-cost"/>
    <w:p>
      <w:pPr>
        <w:pStyle w:val="Heading2"/>
      </w:pPr>
      <w:r>
        <w:rPr>
          <w:rStyle w:val="SectionNumber"/>
        </w:rPr>
        <w:t xml:space="preserve">4.4</w:t>
      </w:r>
      <w:r>
        <w:tab/>
      </w:r>
      <w:r>
        <w:t xml:space="preserve">Aggregation level and computational cost</w:t>
      </w:r>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3.10) shows steeply diminishing returns. The modal call’s residual IG/HY flip</w:t>
      </w:r>
      <w:r>
        <w:t xml:space="preserve"> </w:t>
      </w:r>
      <w:r>
        <w:t xml:space="preserve">falls from 25.2% at</w:t>
      </w:r>
      <w:r>
        <w:t xml:space="preserve"> </w:t>
      </w:r>
      <m:oMath>
        <m:r>
          <m:t>k</m:t>
        </m:r>
        <m:r>
          <m:rPr>
            <m:sty m:val="p"/>
          </m:rPr>
          <m:t>=</m:t>
        </m:r>
        <m:r>
          <m:t>1</m:t>
        </m:r>
      </m:oMath>
      <w:r>
        <w:t xml:space="preserve"> </w:t>
      </w:r>
      <w:r>
        <w:t xml:space="preserve">to 13.6% at</w:t>
      </w:r>
      <w:r>
        <w:t xml:space="preserve"> </w:t>
      </w:r>
      <m:oMath>
        <m:r>
          <m:t>k</m:t>
        </m:r>
        <m:r>
          <m:rPr>
            <m:sty m:val="p"/>
          </m:rPr>
          <m:t>=</m:t>
        </m:r>
        <m:r>
          <m:t>9</m:t>
        </m:r>
      </m:oMath>
      <w:r>
        <w:t xml:space="preserve"> </w:t>
      </w:r>
      <w:r>
        <w:t xml:space="preserve">and 11.1% at</w:t>
      </w:r>
      <w:r>
        <w:t xml:space="preserve"> </w:t>
      </w:r>
      <m:oMath>
        <m:r>
          <m:t>k</m:t>
        </m:r>
        <m:r>
          <m:rPr>
            <m:sty m:val="p"/>
          </m:rPr>
          <m:t>=</m:t>
        </m:r>
        <m:r>
          <m:t>15</m:t>
        </m:r>
      </m:oMath>
      <w:r>
        <w:t xml:space="preserve">, so a moderate</w:t>
      </w:r>
      <w:r>
        <w:t xml:space="preserve"> </w:t>
      </w:r>
      <m:oMath>
        <m:r>
          <m:t>k</m:t>
        </m:r>
        <m:r>
          <m:t>​</m:t>
        </m:r>
        <m:r>
          <m:rPr>
            <m:sty m:val="p"/>
          </m:rP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rPr>
            <m:sty m:val="p"/>
          </m:rP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10).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rPr>
            <m:sty m:val="p"/>
          </m:rPr>
          <m:t>−</m:t>
        </m:r>
        <m:r>
          <m:t>1</m:t>
        </m:r>
      </m:oMath>
      <w:r>
        <w:t xml:space="preserve"> </w:t>
      </w:r>
      <w:r>
        <w:t xml:space="preserve">additional elicitations.</w:t>
      </w:r>
    </w:p>
    <w:bookmarkStart w:id="61" w:name="tab:cost"/>
    <w:p>
      <w:pPr>
        <w:pStyle w:val="TableCaption"/>
      </w:pPr>
      <w:r>
        <w:t xml:space="preserve">Cost of repeated elicitation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auto" w:w="0"/>
        <w:tblLook w:firstRow="1" w:lastRow="0" w:firstColumn="0" w:lastColumn="0" w:noHBand="0" w:noVBand="0" w:val="0020"/>
        <w:tblCaption w:val="Cost of repeated elicitation by aggregation level k: cost to score 1,000 issuers, from the observed per-call token counts and provider pricing."/>
      </w:tblPr>
      <w:tblGrid>
        <w:gridCol w:w="1980"/>
        <w:gridCol w:w="1980"/>
        <w:gridCol w:w="1980"/>
        <w:gridCol w:w="1980"/>
      </w:tblGrid>
      <w:tr>
        <w:trPr>
          <w:tblHeader w:val="on"/>
        </w:trPr>
        <w:tc>
          <w:tcPr/>
          <w:p>
            <w:pPr>
              <w:pStyle w:val="Compact"/>
              <w:jc w:val="right"/>
            </w:pPr>
            <m:oMath>
              <m:r>
                <m:t>k</m:t>
              </m:r>
            </m:oMath>
            <w:r>
              <w:t xml:space="preserve">​</w:t>
            </w:r>
          </w:p>
        </w:tc>
        <w:tc>
          <w:tcPr/>
          <w:p>
            <w:pPr>
              <w:pStyle w:val="Compact"/>
              <w:jc w:val="right"/>
            </w:pPr>
            <w:r>
              <w:t xml:space="preserve">Tokens/issuer</w:t>
            </w:r>
          </w:p>
        </w:tc>
        <w:tc>
          <w:tcPr/>
          <w:p>
            <w:pPr>
              <w:pStyle w:val="Compact"/>
              <w:jc w:val="right"/>
            </w:pPr>
            <w:r>
              <w:t xml:space="preserve">$/1</w:t>
            </w:r>
            <w:r>
              <w:t xml:space="preserve">,</w:t>
            </w:r>
            <w:r>
              <w:t xml:space="preserve">000 (nano/flash)</w:t>
            </w:r>
          </w:p>
        </w:tc>
        <w:tc>
          <w:tcPr/>
          <w:p>
            <w:pPr>
              <w:pStyle w:val="Compact"/>
              <w:jc w:val="right"/>
            </w:pPr>
            <w:r>
              <w:t xml:space="preserve">$/1</w:t>
            </w:r>
            <w:r>
              <w:t xml:space="preserve">,</w:t>
            </w:r>
            <w:r>
              <w:t xml:space="preserve">000 (flagship)</w:t>
            </w:r>
          </w:p>
        </w:tc>
      </w:tr>
      <w:tr>
        <w:tc>
          <w:tcPr/>
          <w:p>
            <w:pPr>
              <w:pStyle w:val="Compact"/>
              <w:jc w:val="right"/>
            </w:pPr>
            <w:r>
              <w:t xml:space="preserve">1</w:t>
            </w:r>
          </w:p>
        </w:tc>
        <w:tc>
          <w:tcPr/>
          <w:p>
            <w:pPr>
              <w:pStyle w:val="Compact"/>
              <w:jc w:val="right"/>
            </w:pPr>
            <w:r>
              <w:t xml:space="preserve">416</w:t>
            </w:r>
          </w:p>
        </w:tc>
        <w:tc>
          <w:tcPr/>
          <w:p>
            <w:pPr>
              <w:pStyle w:val="Compact"/>
              <w:jc w:val="right"/>
            </w:pPr>
            <w:r>
              <w:t xml:space="preserve">0.83</w:t>
            </w:r>
          </w:p>
        </w:tc>
        <w:tc>
          <w:tcPr/>
          <w:p>
            <w:pPr>
              <w:pStyle w:val="Compact"/>
              <w:jc w:val="right"/>
            </w:pPr>
            <w:r>
              <w:t xml:space="preserve">13.12</w:t>
            </w:r>
          </w:p>
        </w:tc>
      </w:tr>
      <w:tr>
        <w:tc>
          <w:tcPr/>
          <w:p>
            <w:pPr>
              <w:pStyle w:val="Compact"/>
              <w:jc w:val="right"/>
            </w:pPr>
            <w:r>
              <w:t xml:space="preserve">3</w:t>
            </w:r>
          </w:p>
        </w:tc>
        <w:tc>
          <w:tcPr/>
          <w:p>
            <w:pPr>
              <w:pStyle w:val="Compact"/>
              <w:jc w:val="right"/>
            </w:pPr>
            <w:r>
              <w:t xml:space="preserve">1</w:t>
            </w:r>
            <w:r>
              <w:t xml:space="preserve">,</w:t>
            </w:r>
            <w:r>
              <w:t xml:space="preserve">248</w:t>
            </w:r>
          </w:p>
        </w:tc>
        <w:tc>
          <w:tcPr/>
          <w:p>
            <w:pPr>
              <w:pStyle w:val="Compact"/>
              <w:jc w:val="right"/>
            </w:pPr>
            <w:r>
              <w:t xml:space="preserve">2.48</w:t>
            </w:r>
          </w:p>
        </w:tc>
        <w:tc>
          <w:tcPr/>
          <w:p>
            <w:pPr>
              <w:pStyle w:val="Compact"/>
              <w:jc w:val="right"/>
            </w:pPr>
            <w:r>
              <w:t xml:space="preserve">39.37</w:t>
            </w:r>
          </w:p>
        </w:tc>
      </w:tr>
      <w:tr>
        <w:tc>
          <w:tcPr/>
          <w:p>
            <w:pPr>
              <w:pStyle w:val="Compact"/>
              <w:jc w:val="right"/>
            </w:pPr>
            <w:r>
              <w:t xml:space="preserve">5</w:t>
            </w:r>
          </w:p>
        </w:tc>
        <w:tc>
          <w:tcPr/>
          <w:p>
            <w:pPr>
              <w:pStyle w:val="Compact"/>
              <w:jc w:val="right"/>
            </w:pPr>
            <w:r>
              <w:t xml:space="preserve">2</w:t>
            </w:r>
            <w:r>
              <w:t xml:space="preserve">,</w:t>
            </w:r>
            <w:r>
              <w:t xml:space="preserve">080</w:t>
            </w:r>
          </w:p>
        </w:tc>
        <w:tc>
          <w:tcPr/>
          <w:p>
            <w:pPr>
              <w:pStyle w:val="Compact"/>
              <w:jc w:val="right"/>
            </w:pPr>
            <w:r>
              <w:t xml:space="preserve">4.13</w:t>
            </w:r>
          </w:p>
        </w:tc>
        <w:tc>
          <w:tcPr/>
          <w:p>
            <w:pPr>
              <w:pStyle w:val="Compact"/>
              <w:jc w:val="right"/>
            </w:pPr>
            <w:r>
              <w:t xml:space="preserve">65.61</w:t>
            </w:r>
          </w:p>
        </w:tc>
      </w:tr>
      <w:tr>
        <w:tc>
          <w:tcPr/>
          <w:p>
            <w:pPr>
              <w:pStyle w:val="Compact"/>
              <w:jc w:val="right"/>
            </w:pPr>
            <w:r>
              <w:t xml:space="preserve">9</w:t>
            </w:r>
          </w:p>
        </w:tc>
        <w:tc>
          <w:tcPr/>
          <w:p>
            <w:pPr>
              <w:pStyle w:val="Compact"/>
              <w:jc w:val="right"/>
            </w:pPr>
            <w:r>
              <w:t xml:space="preserve">3</w:t>
            </w:r>
            <w:r>
              <w:t xml:space="preserve">,</w:t>
            </w:r>
            <w:r>
              <w:t xml:space="preserve">745</w:t>
            </w:r>
          </w:p>
        </w:tc>
        <w:tc>
          <w:tcPr/>
          <w:p>
            <w:pPr>
              <w:pStyle w:val="Compact"/>
              <w:jc w:val="right"/>
            </w:pPr>
            <w:r>
              <w:t xml:space="preserve">7.43</w:t>
            </w:r>
          </w:p>
        </w:tc>
        <w:tc>
          <w:tcPr/>
          <w:p>
            <w:pPr>
              <w:pStyle w:val="Compact"/>
              <w:jc w:val="right"/>
            </w:pPr>
            <w:r>
              <w:t xml:space="preserve">118.10</w:t>
            </w:r>
          </w:p>
        </w:tc>
      </w:tr>
      <w:tr>
        <w:tc>
          <w:tcPr/>
          <w:p>
            <w:pPr>
              <w:pStyle w:val="Compact"/>
              <w:jc w:val="right"/>
            </w:pPr>
            <w:r>
              <w:t xml:space="preserve">15</w:t>
            </w:r>
          </w:p>
        </w:tc>
        <w:tc>
          <w:tcPr/>
          <w:p>
            <w:pPr>
              <w:pStyle w:val="Compact"/>
              <w:jc w:val="right"/>
            </w:pPr>
            <w:r>
              <w:t xml:space="preserve">6</w:t>
            </w:r>
            <w:r>
              <w:t xml:space="preserve">,</w:t>
            </w:r>
            <w:r>
              <w:t xml:space="preserve">242</w:t>
            </w:r>
          </w:p>
        </w:tc>
        <w:tc>
          <w:tcPr/>
          <w:p>
            <w:pPr>
              <w:pStyle w:val="Compact"/>
              <w:jc w:val="right"/>
            </w:pPr>
            <w:r>
              <w:t xml:space="preserve">12.38</w:t>
            </w:r>
          </w:p>
        </w:tc>
        <w:tc>
          <w:tcPr/>
          <w:p>
            <w:pPr>
              <w:pStyle w:val="Compact"/>
              <w:jc w:val="right"/>
            </w:pPr>
            <w:r>
              <w:t xml:space="preserve">196.84</w:t>
            </w:r>
          </w:p>
        </w:tc>
      </w:tr>
    </w:tbl>
    <w:bookmarkEnd w:id="61"/>
    <w:p>
      <w:pPr>
        <w:pStyle w:val="BodyText"/>
      </w:pPr>
      <w:r>
        <w:t xml:space="preserve">Token counts are the observed per-call means. Dollar figures use provider list</w:t>
      </w:r>
      <w:r>
        <w:t xml:space="preserve"> </w:t>
      </w:r>
      <w:r>
        <w:t xml:space="preserve">pricing accessed August 2026 from the OpenAI and Google API pricing pages and will change as pricing</w:t>
      </w:r>
      <w:r>
        <w:t xml:space="preserve"> </w:t>
      </w:r>
      <w:r>
        <w:t xml:space="preserve">changes.</w:t>
      </w:r>
    </w:p>
    <w:bookmarkEnd w:id="62"/>
    <w:bookmarkStart w:id="67" w:name="sec:sis-gov"/>
    <w:p>
      <w:pPr>
        <w:pStyle w:val="Heading2"/>
      </w:pPr>
      <w:r>
        <w:rPr>
          <w:rStyle w:val="SectionNumber"/>
        </w:rPr>
        <w:t xml:space="preserve">4.5</w:t>
      </w:r>
      <w:r>
        <w:tab/>
      </w:r>
      <w:r>
        <w:t xml:space="preserve">Governance workflow</w:t>
      </w:r>
    </w:p>
    <w:p>
      <w:pPr>
        <w:pStyle w:val="FirstParagraph"/>
      </w:pPr>
      <w:r>
        <w:t xml:space="preserve">In a model-risk workflow the score sits between the model and the decision (Fig. 6).</w:t>
      </w:r>
      <w:r>
        <w:t xml:space="preserve"> </w:t>
      </w:r>
      <w:r>
        <w:t xml:space="preserve">Each issuer is elicited</w:t>
      </w:r>
      <w:r>
        <w:t xml:space="preserve"> </w:t>
      </w:r>
      <m:oMath>
        <m:r>
          <m:t>k</m:t>
        </m:r>
      </m:oMath>
      <w:r>
        <w:t xml:space="preserve"> </w:t>
      </w:r>
      <w:r>
        <w:t xml:space="preserve">times, and the modal rating and dissent count are recorded. Issuers</w:t>
      </w:r>
      <w:r>
        <w:t xml:space="preserve"> </w:t>
      </w:r>
      <w:r>
        <w:t xml:space="preserve">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w:t>
      </w:r>
      <w:r>
        <w:t xml:space="preserve"> </w:t>
      </w:r>
      <w:r>
        <w:t xml:space="preserve">prioritized by proximity of the modal letter rating to the BBB</w:t>
      </w:r>
      <m:oMath>
        <m:r>
          <m:rPr>
            <m:sty m:val="p"/>
          </m:rPr>
          <m:t>−</m:t>
        </m:r>
      </m:oMath>
      <w:r>
        <w:t xml:space="preserve">/BB</w:t>
      </w:r>
      <m:oMath>
        <m:r>
          <m:rPr>
            <m:sty m:val="p"/>
          </m:rPr>
          <m:t>+</m:t>
        </m:r>
      </m:oMath>
      <w:r>
        <w:t xml:space="preserve"> </w:t>
      </w:r>
      <w:r>
        <w:t xml:space="preserve">cut. Issuers below the</w:t>
      </w:r>
      <w:r>
        <w:t xml:space="preserve"> </w:t>
      </w:r>
      <w:r>
        <w:t xml:space="preserve">dissent threshold pass through. This yields an auditable review rule, a</w:t>
      </w:r>
      <w:r>
        <w:t xml:space="preserve"> </w:t>
      </w:r>
      <w:r>
        <w:t xml:space="preserve">governance trigger that scales with the rating pipeline and speaks to a supervisory model-risk question:</w:t>
      </w:r>
      <w:r>
        <w:t xml:space="preserve"> </w:t>
      </w:r>
      <w:r>
        <w:t xml:space="preserve">how much of this rating is a property of the firm, and how much of how we asked?</w:t>
      </w:r>
    </w:p>
    <w:bookmarkStart w:id="66" w:name="fig:governance"/>
    <w:p>
      <w:pPr>
        <w:pStyle w:val="CaptionedFigure"/>
      </w:pPr>
      <w:r>
        <w:drawing>
          <wp:inline>
            <wp:extent cx="5067300" cy="1227098"/>
            <wp:effectExtent b="0" l="0" r="0" t="0"/>
            <wp:docPr descr="" title="" id="64" name="Picture"/>
            <a:graphic>
              <a:graphicData uri="http://schemas.openxmlformats.org/drawingml/2006/picture">
                <pic:pic>
                  <pic:nvPicPr>
                    <pic:cNvPr descr="fig_governance.png" id="65" name="Picture"/>
                    <pic:cNvPicPr>
                      <a:picLocks noChangeArrowheads="1" noChangeAspect="1"/>
                    </pic:cNvPicPr>
                  </pic:nvPicPr>
                  <pic:blipFill>
                    <a:blip r:embed="rId63"/>
                    <a:stretch>
                      <a:fillRect/>
                    </a:stretch>
                  </pic:blipFill>
                  <pic:spPr bwMode="auto">
                    <a:xfrm>
                      <a:off x="0" y="0"/>
                      <a:ext cx="5067300" cy="1227098"/>
                    </a:xfrm>
                    <a:prstGeom prst="rect">
                      <a:avLst/>
                    </a:prstGeom>
                    <a:noFill/>
                    <a:ln w="9525">
                      <a:noFill/>
                      <a:headEnd/>
                      <a:tailEnd/>
                    </a:ln>
                  </pic:spPr>
                </pic:pic>
              </a:graphicData>
            </a:graphic>
          </wp:inline>
        </w:drawing>
      </w:r>
    </w:p>
    <w:p>
      <w:pPr>
        <w:pStyle w:val="ImageCaption"/>
      </w:pPr>
      <w:r>
        <w:t xml:space="preserve">Governance workflow. Issuers 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 prioritized by proximity of the modal letter rating</w:t>
      </w:r>
      <w:r>
        <w:t xml:space="preserve"> </w:t>
      </w:r>
      <w:r>
        <w:t xml:space="preserve">to the BBB</w:t>
      </w:r>
      <m:oMath>
        <m:r>
          <m:rPr>
            <m:sty m:val="p"/>
          </m:rPr>
          <m:t>−</m:t>
        </m:r>
      </m:oMath>
      <w:r>
        <w:t xml:space="preserve">/BB</w:t>
      </w:r>
      <m:oMath>
        <m:r>
          <m:rPr>
            <m:sty m:val="p"/>
          </m:rPr>
          <m:t>+</m:t>
        </m:r>
      </m:oMath>
      <w:r>
        <w:t xml:space="preserve"> </w:t>
      </w:r>
      <w:r>
        <w:t xml:space="preserve">cut. Issuers below the dissent threshold pass through.</w:t>
      </w:r>
    </w:p>
    <w:bookmarkEnd w:id="66"/>
    <w:bookmarkEnd w:id="67"/>
    <w:bookmarkEnd w:id="68"/>
    <w:bookmarkStart w:id="72" w:name="discussion"/>
    <w:p>
      <w:pPr>
        <w:pStyle w:val="Heading1"/>
      </w:pPr>
      <w:r>
        <w:rPr>
          <w:rStyle w:val="SectionNumber"/>
        </w:rPr>
        <w:t xml:space="preserve">5</w:t>
      </w:r>
      <w:r>
        <w:tab/>
      </w:r>
      <w:r>
        <w:t xml:space="preserve">Discussion</w:t>
      </w:r>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t xml:space="preserve">Under the fitted models the elicitation axes jointly explain</w:t>
      </w:r>
      <w:r>
        <w:t xml:space="preserve"> </w:t>
      </w:r>
      <m:oMath>
        <m:sSup>
          <m:e>
            <m:r>
              <m:t>R</m:t>
            </m:r>
          </m:e>
          <m:sup>
            <m:r>
              <m:t>2</m:t>
            </m:r>
          </m:sup>
        </m:sSup>
        <m:r>
          <m:rPr>
            <m:sty m:val="p"/>
          </m:rPr>
          <m:t>=</m:t>
        </m:r>
        <m:r>
          <m:t>0.083</m:t>
        </m:r>
      </m:oMath>
      <w:r>
        <w:t xml:space="preserve">–</w:t>
      </w:r>
      <m:oMath>
        <m:r>
          <m:t>0.119</m:t>
        </m:r>
      </m:oMath>
      <w:r>
        <w:t xml:space="preserve"> </w:t>
      </w:r>
      <w:r>
        <w:t xml:space="preserve">of rating</w:t>
      </w:r>
      <w:r>
        <w:t xml:space="preserve"> </w:t>
      </w:r>
      <w:r>
        <w:t xml:space="preserve">variation, and the design does not identify how that share should be attributed to individual axes.</w:t>
      </w:r>
      <w:r>
        <w:t xml:space="preserve"> </w:t>
      </w:r>
      <w:r>
        <w:t xml:space="preserve">Of the</w:t>
      </w:r>
      <w:r>
        <w:t xml:space="preserve"> </w:t>
      </w:r>
      <m:oMath>
        <m:r>
          <m:rPr>
            <m:sty m:val="p"/>
          </m:rPr>
          <m:t>∼</m:t>
        </m:r>
      </m:oMath>
      <w:r>
        <w:t xml:space="preserve">25% OLS residual, only about 8% is pure run-to-run seed variation, and the rest is</w:t>
      </w:r>
      <w:r>
        <w:t xml:space="preserve"> </w:t>
      </w:r>
      <w:r>
        <w:t xml:space="preserve">not identified as to source under this resolution-limited design and is reported descriptively. The headline stability conclusions do not depend on this decomposition.</w:t>
      </w:r>
      <w:r>
        <w:t xml:space="preserve"> </w:t>
      </w:r>
      <w:r>
        <w:t xml:space="preserve">The instability is nonetheless not dismissible as mere sampling noise (pure-seed variance is a minority of</w:t>
      </w:r>
      <w:r>
        <w:t xml:space="preserve"> </w:t>
      </w:r>
      <w:r>
        <w:t xml:space="preserve">the residual), and the headline flip and agreement results are model-free.</w:t>
      </w:r>
    </w:p>
    <w:p>
      <w:pPr>
        <w:pStyle w:val="BodyText"/>
      </w:pPr>
      <w:r>
        <w:t xml:space="preserve">It is useful to separate two kinds of risk this induces, because they call for different controls.</w:t>
      </w:r>
      <w:r>
        <w:t xml:space="preserve"> </w:t>
      </w:r>
      <w:r>
        <w:rPr>
          <w:i/>
          <w:iCs/>
        </w:rPr>
        <w:t xml:space="preserve">Build-time</w:t>
      </w:r>
      <w:r>
        <w:t xml:space="preserve"> </w:t>
      </w:r>
      <w:r>
        <w:t xml:space="preserve">risk is the one-time consequence of fixing a particular provider, model snapshot, and</w:t>
      </w:r>
      <w:r>
        <w:t xml:space="preserve"> </w:t>
      </w:r>
      <w:r>
        <w:t xml:space="preserve">prompt template when a system is designed. A fixed configuration selects one point on the specification</w:t>
      </w:r>
      <w:r>
        <w:t xml:space="preserve"> </w:t>
      </w:r>
      <w:r>
        <w:t xml:space="preserve">curve and may not generalize to other defensible configurations (Section 6.2).</w:t>
      </w:r>
      <w:r>
        <w:t xml:space="preserve"> </w:t>
      </w:r>
      <w:r>
        <w:rPr>
          <w:i/>
          <w:iCs/>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4), run-time risk by</w:t>
      </w:r>
      <w:r>
        <w:t xml:space="preserve"> </w:t>
      </w:r>
      <w:r>
        <w:t xml:space="preserve">aggregating repeated calls (self-consistency, Section 3.10),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 clean, because 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variation is still observed. The real-issuer arm is therefore treated as an illustrative</w:t>
      </w:r>
      <w:r>
        <w:t xml:space="preserve"> </w:t>
      </w:r>
      <w:r>
        <w:t xml:space="preserve">descriptive check. Its sample size does not support quantitative equivalence with the controlled battery.</w:t>
      </w:r>
    </w:p>
    <w:bookmarkStart w:id="69" w:name="X2bebcfc129584344eb51db502bf03f0d16b8b0d"/>
    <w:p>
      <w:pPr>
        <w:pStyle w:val="Heading2"/>
      </w:pPr>
      <w:r>
        <w:rPr>
          <w:rStyle w:val="SectionNumber"/>
        </w:rPr>
        <w:t xml:space="preserve">5.1</w:t>
      </w:r>
      <w:r>
        <w:tab/>
      </w:r>
      <w:r>
        <w:t xml:space="preserve">Mitigating exact-figure recognition in real-issuer evaluations</w:t>
      </w:r>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 combined with explicit identification testing can reduce exact-figure recognition,</w:t>
      </w:r>
      <w:r>
        <w:t xml:space="preserve"> </w:t>
      </w:r>
      <w:r>
        <w:t xml:space="preserve">but Section 3.7 shows it is not sufficient to establish decontamination. A</w:t>
      </w:r>
      <w:r>
        <w:t xml:space="preserve"> </w:t>
      </w:r>
      <w:r>
        <w:t xml:space="preserve">ratio-preserving perturbation leaves the ratio pattern intact, and ratio-pattern identification must</w:t>
      </w:r>
      <w:r>
        <w:t xml:space="preserve"> </w:t>
      </w:r>
      <w:r>
        <w:t xml:space="preserve">therefore be assessed separately before an evaluation on public financial entities is treated as</w:t>
      </w:r>
      <w:r>
        <w:t xml:space="preserve"> </w:t>
      </w:r>
      <w:r>
        <w:t xml:space="preserve">contamination-free.</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bookmarkEnd w:id="69"/>
    <w:bookmarkStart w:id="70" w:name="sec:limitations"/>
    <w:p>
      <w:pPr>
        <w:pStyle w:val="Heading2"/>
      </w:pPr>
      <w:r>
        <w:rPr>
          <w:rStyle w:val="SectionNumber"/>
        </w:rPr>
        <w:t xml:space="preserve">5.2</w:t>
      </w:r>
      <w:r>
        <w:tab/>
      </w:r>
      <w:r>
        <w:t xml:space="preserve">Limitations</w:t>
      </w:r>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12). The 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examined in Section 3.8: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We interpret this as not detecting attenuation (wide interval, absence of evidence</w:t>
      </w:r>
      <w:r>
        <w:t xml:space="preserve"> </w:t>
      </w:r>
      <w:r>
        <w:t xml:space="preserve">result) rather than as proof that scale does not matter. The reasoning-architecture arm</w:t>
      </w:r>
      <w:r>
        <w:t xml:space="preserve"> </w:t>
      </w:r>
      <w:r>
        <w:t xml:space="preserve">(Section 3.9) also shows specification sensitivity remains in another model</w:t>
      </w:r>
      <w:r>
        <w:t xml:space="preserve"> </w:t>
      </w:r>
      <w:r>
        <w:t xml:space="preserve">class. The flagship comparison is based on one model per provider on a reduced grid, and a fuller frontier</w:t>
      </w:r>
      <w:r>
        <w:t xml:space="preserve"> </w:t>
      </w:r>
      <w:r>
        <w:t xml:space="preserve">sweep remains a useful 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 considered. We report</w:t>
      </w:r>
      <w:r>
        <w:t xml:space="preserve"> </w:t>
      </w:r>
      <w:r>
        <w:t xml:space="preserve">profile-clustered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perturbation-and-fingerprint-screening design. This sample is an illustrative descriptive real-issuer check and is much smaller than the</w:t>
      </w:r>
      <w:r>
        <w:t xml:space="preserve"> </w:t>
      </w:r>
      <w:r>
        <w:t xml:space="preserve">controlled battery at the relevant strata. The WATCH-stratum sample is small, and quantitative equivalence</w:t>
      </w:r>
      <w:r>
        <w:t xml:space="preserve"> </w:t>
      </w:r>
      <w:r>
        <w:t xml:space="preserve">between the real and constructed estimates is not established.</w:t>
      </w:r>
    </w:p>
    <w:p>
      <w:pPr>
        <w:pStyle w:val="BodyText"/>
      </w:pPr>
      <w:r>
        <w:t xml:space="preserve">Fourth, the study measures stability, not absolute credit-rating capability. The Altman Z</w:t>
      </w:r>
      <m:oMath>
        <m:r>
          <m:rPr>
            <m:sty m:val="p"/>
          </m:rP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 reference.</w:t>
      </w:r>
      <w:r>
        <w:t xml:space="preserve"> </w:t>
      </w:r>
      <w:r>
        <w:t xml:space="preserve">Neither 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t xml:space="preserve">aliased with two-factor interactions. The overlap is substantial and precisely characterised: the</w:t>
      </w:r>
      <w:r>
        <w:t xml:space="preserve"> </w:t>
      </w:r>
      <w:r>
        <w:t xml:space="preserve">main-effect and two-factor-interaction subspaces have a four-dimensional exact intersection, so some</w:t>
      </w:r>
      <w:r>
        <w:t xml:space="preserve"> </w:t>
      </w:r>
      <w:r>
        <w:t xml:space="preserve">linear combination of main effects coincides exactly with a combination of interactions, while no</w:t>
      </w:r>
      <w:r>
        <w:t xml:space="preserve"> </w:t>
      </w:r>
      <w:r>
        <w:t xml:space="preserve">individual axis contrast is itself exactly confounded, each lying in the interaction span with</w:t>
      </w:r>
      <w:r>
        <w:t xml:space="preserve"> </w:t>
      </w:r>
      <m:oMath>
        <m:sSup>
          <m:e>
            <m:r>
              <m:t>R</m:t>
            </m:r>
          </m:e>
          <m:sup>
            <m:r>
              <m:t>2</m:t>
            </m:r>
          </m:sup>
        </m:sSup>
      </m:oMath>
      <w:r>
        <w:t xml:space="preserve"> </w:t>
      </w:r>
      <w:r>
        <w:t xml:space="preserve">between</w:t>
      </w:r>
      <w:r>
        <w:t xml:space="preserve"> </w:t>
      </w:r>
      <m:oMath>
        <m:r>
          <m:t>0.690</m:t>
        </m:r>
      </m:oMath>
      <w:r>
        <w:t xml:space="preserve"> </w:t>
      </w:r>
      <w:r>
        <w:t xml:space="preserve">and</w:t>
      </w:r>
      <w:r>
        <w:t xml:space="preserve"> </w:t>
      </w:r>
      <m:oMath>
        <m:r>
          <m:t>0.901</m:t>
        </m:r>
      </m:oMath>
      <w:r>
        <w:t xml:space="preserve"> </w:t>
      </w:r>
      <w:r>
        <w:t xml:space="preserve">(Section 6.2). We therefore read the</w:t>
      </w:r>
      <w:r>
        <w:t xml:space="preserve"> </w:t>
      </w:r>
      <w:r>
        <w:t xml:space="preserve">decomposition main-effects-first</w:t>
      </w:r>
      <w:r>
        <w:t xml:space="preserve"> </w:t>
      </w:r>
      <w:r>
        <w:t xml:space="preserve">and report the structured portion of the residual as</w:t>
      </w:r>
      <w:r>
        <w:t xml:space="preserve"> </w:t>
      </w:r>
      <w:r>
        <w:t xml:space="preserve">“unmodeled interactions”</w:t>
      </w:r>
      <w:r>
        <w:t xml:space="preserve"> </w:t>
      </w:r>
      <w:r>
        <w:t xml:space="preserve">rather than attributing</w:t>
      </w:r>
      <w:r>
        <w:t xml:space="preserve"> </w:t>
      </w:r>
      <w:r>
        <w:t xml:space="preserve">it to specific axes. The headline stability results (flip shares, agreement) are model-free and do not</w:t>
      </w:r>
      <w:r>
        <w:t xml:space="preserve"> </w:t>
      </w:r>
      <w:r>
        <w:t xml:space="preserve">depend on the ANOVA partition.</w:t>
      </w:r>
    </w:p>
    <w:p>
      <w:pPr>
        <w:pStyle w:val="BodyText"/>
      </w:pPr>
      <w:r>
        <w:t xml:space="preserve">Perturbation plus exact-figure fingerprint screening can reduce exact-number recognition but is insufficient to establish decontamination, and ratio-pattern identification must also be assessed. Within these bounds, the main stability finding is robust across the specification curve, the</w:t>
      </w:r>
      <w:r>
        <w:t xml:space="preserve"> </w:t>
      </w:r>
      <w:r>
        <w:t xml:space="preserve">temperature-0-honored subgrid, the provider comparison, and the rating-resolution analysis, and is further</w:t>
      </w:r>
      <w:r>
        <w:t xml:space="preserve"> </w:t>
      </w:r>
      <w:r>
        <w:t xml:space="preserve">illustrated, descriptively only, by the perturbed real-firm arm, which</w:t>
      </w:r>
      <w:r>
        <w:t xml:space="preserve"> </w:t>
      </w:r>
      <w:r>
        <w:t xml:space="preserve">Section 3.7 shows is not decontaminated enough to support an external-validity</w:t>
      </w:r>
      <w:r>
        <w:t xml:space="preserve"> </w:t>
      </w:r>
      <w:r>
        <w:t xml:space="preserve">claim.</w:t>
      </w:r>
    </w:p>
    <w:bookmarkEnd w:id="70"/>
    <w:bookmarkStart w:id="71" w:name="future-directions"/>
    <w:p>
      <w:pPr>
        <w:pStyle w:val="Heading2"/>
      </w:pPr>
      <w:r>
        <w:rPr>
          <w:rStyle w:val="SectionNumber"/>
        </w:rPr>
        <w:t xml:space="preserve">5.3</w:t>
      </w:r>
      <w:r>
        <w:tab/>
      </w:r>
      <w:r>
        <w:t xml:space="preserve">Future directions</w:t>
      </w:r>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perturbation-and-fingerprint-screening</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We present these findings as a case study of the evaluated systems rather than as a universal</w:t>
      </w:r>
      <w:r>
        <w:t xml:space="preserve"> </w:t>
      </w:r>
      <w:r>
        <w:t xml:space="preserve">numerical constant.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bookmarkEnd w:id="71"/>
    <w:bookmarkEnd w:id="72"/>
    <w:bookmarkStart w:id="82" w:name="methods"/>
    <w:p>
      <w:pPr>
        <w:pStyle w:val="Heading1"/>
      </w:pPr>
      <w:r>
        <w:rPr>
          <w:rStyle w:val="SectionNumber"/>
        </w:rPr>
        <w:t xml:space="preserve">6</w:t>
      </w:r>
      <w:r>
        <w:tab/>
      </w:r>
      <w:r>
        <w:t xml:space="preserve">Methods</w:t>
      </w:r>
    </w:p>
    <w:bookmarkStart w:id="74" w:name="design-battery-and-benchmark"/>
    <w:p>
      <w:pPr>
        <w:pStyle w:val="Heading2"/>
      </w:pPr>
      <w:r>
        <w:rPr>
          <w:rStyle w:val="SectionNumber"/>
        </w:rPr>
        <w:t xml:space="preserve">6.1</w:t>
      </w:r>
      <w:r>
        <w:tab/>
      </w:r>
      <w:r>
        <w:t xml:space="preserve">Design, battery, and benchmark</w:t>
      </w:r>
    </w:p>
    <w:p>
      <w:pPr>
        <w:pStyle w:val="FirstParagraph"/>
      </w:pPr>
      <w:r>
        <w:t xml:space="preserve">The study is designed to measure</w:t>
      </w:r>
      <w:r>
        <w:t xml:space="preserve"> </w:t>
      </w:r>
      <w:r>
        <w:rPr>
          <w:i/>
          <w:iCs/>
        </w:rPr>
        <w:t xml:space="preserve">elicitation stability</w:t>
      </w:r>
      <w:r>
        <w:t xml:space="preserve">, meaning 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perturbed real-firm sample for a complementary illustrative descriptive real-issuer check.</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analyses in this paper use the 45 credit-health profiles. The 45 directional</w:t>
      </w:r>
      <w:r>
        <w:t xml:space="preserve"> </w:t>
      </w:r>
      <w:r>
        <w:t xml:space="preserve">profiles are part of the pre-registered battery but are not analyzed here.</w:t>
      </w:r>
    </w:p>
    <w:p>
      <w:pPr>
        <w:pStyle w:val="BodyText"/>
      </w:pPr>
      <w:r>
        <w:t xml:space="preserve">For the credit-health task, each profile is associated with a pre-specified Altman Z</w:t>
      </w:r>
      <m:oMath>
        <m:r>
          <m:rPr>
            <m:sty m:val="p"/>
          </m:rPr>
          <m:t>″</m:t>
        </m:r>
      </m:oMath>
      <w:r>
        <w:t xml:space="preserve"> </w:t>
      </w:r>
      <w:r>
        <w:t xml:space="preserve">accounting-based reference (Altman, 2005; Altman and Hotchkiss, 2006), computed with the private non-manufacturing coefficients 6.56, 3.26, 6.72, and 1.05 and cutoffs 2.60 and</w:t>
      </w:r>
      <w:r>
        <w:t xml:space="preserve"> </w:t>
      </w:r>
      <w:r>
        <w:t xml:space="preserve">1.10 (Z</w:t>
      </w:r>
      <m:oMath>
        <m:r>
          <m:rPr>
            <m:sty m:val="p"/>
          </m:rPr>
          <m:t>″</m:t>
        </m:r>
        <m:r>
          <m:rPr>
            <m:sty m:val="p"/>
          </m:rPr>
          <m:t>≥</m:t>
        </m:r>
        <m:r>
          <m:t>2.60</m:t>
        </m:r>
      </m:oMath>
      <w:r>
        <w:t xml:space="preserve"> </w:t>
      </w:r>
      <w:r>
        <w:t xml:space="preserve">= safe,</w:t>
      </w:r>
      <w:r>
        <w:t xml:space="preserve"> </w:t>
      </w:r>
      <m:oMath>
        <m:r>
          <m:t>1.10</m:t>
        </m:r>
        <m:r>
          <m:rPr>
            <m:sty m:val="p"/>
          </m:rPr>
          <m:t>&lt;</m:t>
        </m:r>
        <m:r>
          <m:t>​</m:t>
        </m:r>
      </m:oMath>
      <w:r>
        <w:t xml:space="preserve">Z</w:t>
      </w:r>
      <m:oMath>
        <m:r>
          <m:rPr>
            <m:sty m:val="p"/>
          </m:rPr>
          <m:t>″</m:t>
        </m:r>
        <m:r>
          <m:rPr>
            <m:sty m:val="p"/>
          </m:rPr>
          <m:t>&lt;</m:t>
        </m:r>
        <m:r>
          <m:t>2.60</m:t>
        </m:r>
      </m:oMath>
      <w:r>
        <w:t xml:space="preserve"> </w:t>
      </w:r>
      <w:r>
        <w:t xml:space="preserve">= watch, Z</w:t>
      </w:r>
      <m:oMath>
        <m:r>
          <m:rPr>
            <m:sty m:val="p"/>
          </m:rPr>
          <m:t>″</m:t>
        </m:r>
        <m:r>
          <m:rPr>
            <m:sty m:val="p"/>
          </m:rP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11. The 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73" w:name="tab:map"/>
    <w:p>
      <w:pPr>
        <w:pStyle w:val="TableCaption"/>
      </w:pPr>
      <w:r>
        <w:t xml:space="preserve">Deterministic mapping from the machine letter rating to coarser resolutions, and the Altman</w:t>
      </w:r>
      <w:r>
        <w:t xml:space="preserve"> </w:t>
      </w:r>
      <w:r>
        <w:t xml:space="preserve">Z</w:t>
      </w:r>
      <m:oMath>
        <m:r>
          <m:rPr>
            <m:sty m:val="p"/>
          </m:rPr>
          <m:t>″</m:t>
        </m:r>
      </m:oMath>
      <w:r>
        <w:t xml:space="preserve"> </w:t>
      </w:r>
      <w:r>
        <w:t xml:space="preserve">benchmark strata. The three-way band and the IG/HY split share the same investment-grade cut.</w:t>
      </w:r>
    </w:p>
    <w:tbl>
      <w:tblPr>
        <w:tblStyle w:val="Table"/>
        <w:tblW w:type="auto" w:w="0"/>
        <w:tblLook w:firstRow="1" w:lastRow="0" w:firstColumn="0" w:lastColumn="0" w:noHBand="0" w:noVBand="0" w:val="0020"/>
        <w:tblCaption w:val="Deterministic mapping from the machine letter rating to coarser resolutions, and the Altman Z'' benchmark strata. The three-way band and the IG/HY split share the same investment-grade cut."/>
      </w:tblPr>
      <w:tblGrid>
        <w:gridCol w:w="1980"/>
        <w:gridCol w:w="1980"/>
        <w:gridCol w:w="1980"/>
        <w:gridCol w:w="1980"/>
      </w:tblGrid>
      <w:tr>
        <w:trPr>
          <w:tblHeader w:val="on"/>
        </w:trPr>
        <w:tc>
          <w:tcPr/>
          <w:p>
            <w:pPr>
              <w:pStyle w:val="Compact"/>
              <w:jc w:val="left"/>
            </w:pPr>
            <w:r>
              <w:t xml:space="preserve">Letter grade</w:t>
            </w:r>
          </w:p>
        </w:tc>
        <w:tc>
          <w:tcPr/>
          <w:p>
            <w:pPr>
              <w:pStyle w:val="Compact"/>
              <w:jc w:val="left"/>
            </w:pPr>
            <w:r>
              <w:t xml:space="preserve">Notch</w:t>
            </w:r>
          </w:p>
        </w:tc>
        <w:tc>
          <w:tcPr/>
          <w:p>
            <w:pPr>
              <w:pStyle w:val="Compact"/>
              <w:jc w:val="left"/>
            </w:pPr>
            <w:r>
              <w:t xml:space="preserve">Three-way band</w:t>
            </w:r>
          </w:p>
        </w:tc>
        <w:tc>
          <w:tcPr/>
          <w:p>
            <w:pPr>
              <w:pStyle w:val="Compact"/>
              <w:jc w:val="left"/>
            </w:pPr>
            <w:r>
              <w:t xml:space="preserve">IG/HY</w:t>
            </w:r>
          </w:p>
        </w:tc>
      </w:tr>
      <w:tr>
        <w:tc>
          <w:tcPr/>
          <w:p>
            <w:pPr>
              <w:pStyle w:val="Compact"/>
              <w:jc w:val="left"/>
            </w:pPr>
            <w:r>
              <w:t xml:space="preserve">AAA</w:t>
            </w:r>
          </w:p>
        </w:tc>
        <w:tc>
          <w:tcPr/>
          <w:p>
            <w:pPr>
              <w:pStyle w:val="Compact"/>
              <w:jc w:val="left"/>
            </w:pPr>
            <w:r>
              <w:t xml:space="preserve">AAA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w:t>
            </w:r>
          </w:p>
        </w:tc>
        <w:tc>
          <w:tcPr/>
          <w:p>
            <w:pPr>
              <w:pStyle w:val="Compact"/>
              <w:jc w:val="left"/>
            </w:pPr>
            <w:r>
              <w:t xml:space="preserve">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w:t>
            </w:r>
          </w:p>
        </w:tc>
        <w:tc>
          <w:tcPr/>
          <w:p>
            <w:pPr>
              <w:pStyle w:val="Compact"/>
              <w:jc w:val="left"/>
            </w:pPr>
            <w:r>
              <w:t xml:space="preserve">C</w:t>
            </w:r>
          </w:p>
        </w:tc>
        <w:tc>
          <w:tcPr/>
          <w:p>
            <w:pPr>
              <w:pStyle w:val="Compact"/>
              <w:jc w:val="left"/>
            </w:pPr>
            <w:r>
              <w:t xml:space="preserve">DISTRESS</w:t>
            </w:r>
          </w:p>
        </w:tc>
        <w:tc>
          <w:tcPr/>
          <w:p>
            <w:pPr>
              <w:pStyle w:val="Compact"/>
              <w:jc w:val="left"/>
            </w:pPr>
            <w:r>
              <w:t xml:space="preserve">High yield</w:t>
            </w:r>
          </w:p>
        </w:tc>
      </w:tr>
    </w:tbl>
    <w:bookmarkEnd w:id="73"/>
    <w:p>
      <w:pPr>
        <w:pStyle w:val="BodyText"/>
      </w:pPr>
      <w:r>
        <w:t xml:space="preserve">The notch resolution drops the</w:t>
      </w:r>
      <w:r>
        <w:t xml:space="preserve"> </w:t>
      </w:r>
      <m:oMath>
        <m:r>
          <m:rPr>
            <m:sty m:val="p"/>
          </m:rPr>
          <m:t>+</m:t>
        </m:r>
      </m:oMath>
      <w:r>
        <w:t xml:space="preserve">/</w:t>
      </w:r>
      <m:oMath>
        <m:r>
          <m:rPr>
            <m:sty m:val="p"/>
          </m:rPr>
          <m:t>−</m:t>
        </m:r>
      </m:oMath>
      <w:r>
        <w:t xml:space="preserve"> </w:t>
      </w:r>
      <w:r>
        <w:t xml:space="preserve">modifiers, collapsing</w:t>
      </w:r>
      <w:r>
        <w:t xml:space="preserve"> </w:t>
      </w:r>
      <w:r>
        <w:t xml:space="preserve">the 21 letter grades to 9 notches.</w:t>
      </w:r>
      <w:r>
        <w:t xml:space="preserve"> </w:t>
      </w:r>
      <w:r>
        <w:rPr>
          <w:i/>
          <w:iCs/>
        </w:rPr>
        <w:t xml:space="preserve">Altman Z</w:t>
      </w:r>
      <m:oMath>
        <m:r>
          <m:rPr>
            <m:sty m:val="p"/>
          </m:rPr>
          <m:t>″</m:t>
        </m:r>
      </m:oMath>
      <w:r>
        <w:rPr>
          <w:i/>
          <w:iCs/>
        </w:rPr>
        <w:t xml:space="preserve"> </w:t>
      </w:r>
      <w:r>
        <w:rPr>
          <w:i/>
          <w:iCs/>
        </w:rPr>
        <w:t xml:space="preserve">strata:</w:t>
      </w:r>
      <w:r>
        <w:t xml:space="preserve"> </w:t>
      </w:r>
      <w:r>
        <w:t xml:space="preserve">SAFE</w:t>
      </w:r>
      <w:r>
        <w:t xml:space="preserve"> </w:t>
      </w:r>
      <m:oMath>
        <m:r>
          <m:rPr>
            <m:sty m:val="p"/>
          </m:rP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rPr>
            <m:sty m:val="p"/>
          </m:rPr>
          <m:t>≤</m:t>
        </m:r>
        <m:r>
          <m:t>1.10</m:t>
        </m:r>
      </m:oMath>
      <w:r>
        <w:t xml:space="preserve">.</w:t>
      </w:r>
    </w:p>
    <w:bookmarkEnd w:id="74"/>
    <w:bookmarkStart w:id="77" w:name="specification-grid-and-data-collection"/>
    <w:p>
      <w:pPr>
        <w:pStyle w:val="Heading2"/>
      </w:pPr>
      <w:r>
        <w:rPr>
          <w:rStyle w:val="SectionNumber"/>
        </w:rPr>
        <w:t xml:space="preserve">6.2</w:t>
      </w:r>
      <w:r>
        <w:tab/>
      </w:r>
      <w:r>
        <w:t xml:space="preserve">Specification grid and data collection</w:t>
      </w:r>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12. A balance-constrained</w:t>
      </w:r>
      <w:r>
        <w:t xml:space="preserve"> </w:t>
      </w:r>
      <w:r>
        <w:t xml:space="preserve">D-optimal fractional grid was generated from an effect-coded main-effects model with the design seed</w:t>
      </w:r>
      <w:r>
        <w:t xml:space="preserve"> </w:t>
      </w:r>
      <w:r>
        <w:t xml:space="preserve">frozen in advance. The analyzed two-provider design comprises 32 specifications, each evaluated over three seeds. Provider metadata were preserved as returned, including effective generation settings where</w:t>
      </w:r>
      <w:r>
        <w:t xml:space="preserve"> </w:t>
      </w:r>
      <w:r>
        <w:t xml:space="preserve">available. The requested temperature of 0 was not uniformly honored by providers.</w:t>
      </w:r>
    </w:p>
    <w:p>
      <w:pPr>
        <w:pStyle w:val="BodyText"/>
      </w:pPr>
      <w:r>
        <w:t xml:space="preserve">The confirmatory experiment therefore comprises</w:t>
      </w:r>
      <w:r>
        <w:t xml:space="preserve"> </w:t>
      </w:r>
      <m:oMath>
        <m:r>
          <m:t>90</m:t>
        </m:r>
        <m:r>
          <m:rPr>
            <m:sty m:val="p"/>
          </m:rPr>
          <m:t>×</m:t>
        </m:r>
        <m:r>
          <m:t>32</m:t>
        </m:r>
        <m:r>
          <m:rPr>
            <m:sty m:val="p"/>
          </m:rPr>
          <m:t>×</m:t>
        </m:r>
        <m:r>
          <m:t>3</m:t>
        </m:r>
        <m:r>
          <m:rPr>
            <m:sty m:val="p"/>
          </m:rPr>
          <m:t>=</m:t>
        </m:r>
        <m:r>
          <m:t>8</m:t>
        </m:r>
        <m:r>
          <m:rPr>
            <m:sty m:val="p"/>
          </m:rPr>
          <m:t>,</m:t>
        </m:r>
        <m:r>
          <m:t>640</m:t>
        </m:r>
      </m:oMath>
      <w:r>
        <w:t xml:space="preserve"> </w:t>
      </w:r>
      <w:r>
        <w:t xml:space="preserve">elicitation cells</w:t>
      </w:r>
      <w:r>
        <w:t xml:space="preserve"> </w:t>
      </w:r>
      <w:r>
        <w:t xml:space="preserve">(</w:t>
      </w:r>
      <m:oMath>
        <m:r>
          <m:t>4</m:t>
        </m:r>
        <m:r>
          <m:rPr>
            <m:sty m:val="p"/>
          </m:rP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rPr>
            <m:sty m:val="p"/>
          </m:rPr>
          <m:t>%</m:t>
        </m:r>
      </m:oMath>
      <w:r>
        <w:t xml:space="preserve">) divide as four on the credit-health</w:t>
      </w:r>
      <w:r>
        <w:t xml:space="preserve"> </w:t>
      </w:r>
      <w:r>
        <w:t xml:space="preserve">profiles and three on the directional items, so the credit-rating analyses in this paper run on</w:t>
      </w:r>
      <w:r>
        <w:t xml:space="preserve"> </w:t>
      </w:r>
      <m:oMath>
        <m:r>
          <m:t>4</m:t>
        </m:r>
        <m:r>
          <m:rPr>
            <m:sty m:val="p"/>
          </m:rPr>
          <m:t>,</m:t>
        </m:r>
        <m:r>
          <m:t>316</m:t>
        </m:r>
      </m:oMath>
      <w:r>
        <w:t xml:space="preserve"> </w:t>
      </w:r>
      <w:r>
        <w:t xml:space="preserve">of the</w:t>
      </w:r>
      <w:r>
        <w:t xml:space="preserve"> </w:t>
      </w:r>
      <m:oMath>
        <m:r>
          <m:t>4</m:t>
        </m:r>
        <m:r>
          <m:rPr>
            <m:sty m:val="p"/>
          </m:rPr>
          <m:t>,</m:t>
        </m:r>
        <m:r>
          <m:t>320</m:t>
        </m:r>
      </m:oMath>
      <w:r>
        <w:t xml:space="preserve"> </w:t>
      </w:r>
      <w:r>
        <w:t xml:space="preserve">designed cells. The four absent cells are all on specification S23 and</w:t>
      </w:r>
      <w:r>
        <w:t xml:space="preserve"> </w:t>
      </w:r>
      <w:r>
        <w:t xml:space="preserve">each is short one of three seeds. They were not re-collected, because the corpus is frozen and</w:t>
      </w:r>
      <w:r>
        <w:t xml:space="preserve"> </w:t>
      </w:r>
      <w:r>
        <w:t xml:space="preserve">re-querying after the fact would break that. Where this paper reports</w:t>
      </w:r>
      <w:r>
        <w:t xml:space="preserve"> </w:t>
      </w:r>
      <m:oMath>
        <m:r>
          <m:t>4</m:t>
        </m:r>
        <m:r>
          <m:rPr>
            <m:sty m:val="p"/>
          </m:rPr>
          <m:t>,</m:t>
        </m:r>
        <m:r>
          <m:t>320</m:t>
        </m:r>
      </m:oMath>
      <w:r>
        <w:t xml:space="preserve"> </w:t>
      </w:r>
      <w:r>
        <w:t xml:space="preserve">it is describing the</w:t>
      </w:r>
      <w:r>
        <w:t xml:space="preserve"> </w:t>
      </w:r>
      <w:r>
        <w:t xml:space="preserve">design. Every statistic is computed on the</w:t>
      </w:r>
      <w:r>
        <w:t xml:space="preserve"> </w:t>
      </w:r>
      <m:oMath>
        <m:r>
          <m:t>4</m:t>
        </m:r>
        <m:r>
          <m:rPr>
            <m:sty m:val="p"/>
          </m:rPr>
          <m:t>,</m:t>
        </m:r>
        <m:r>
          <m:t>316</m:t>
        </m:r>
      </m:oMath>
      <w:r>
        <w:t xml:space="preserve">. The non-substantive cells are dropped</w:t>
      </w:r>
      <w:r>
        <w:t xml:space="preserve"> </w:t>
      </w:r>
      <w:r>
        <w:t xml:space="preserve">listwise. They 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75" w:name="tab:models"/>
    <w:p>
      <w:pPr>
        <w:pStyle w:val="TableCaption"/>
      </w:pPr>
      <w:r>
        <w:t xml:space="preserve">Model snapshots evaluated. The four confirmatory snapshots (two providers, current and prior</w:t>
      </w:r>
      <w:r>
        <w:t xml:space="preserve"> </w:t>
      </w:r>
      <w:r>
        <w:t xml:space="preserve">each) constitute the main</w:t>
      </w:r>
      <w:r>
        <w:t xml:space="preserve"> </w:t>
      </w:r>
      <m:oMath>
        <m:r>
          <m:t>8</m:t>
        </m:r>
        <m:r>
          <m:rPr>
            <m:sty m:val="p"/>
          </m:rPr>
          <m:t>,</m:t>
        </m:r>
        <m:r>
          <m:t>640</m:t>
        </m:r>
      </m:oMath>
      <w:r>
        <w:t xml:space="preserve">-cell experiment. The two flagship snapshots are the separate</w:t>
      </w:r>
      <w:r>
        <w:t xml:space="preserve"> </w:t>
      </w:r>
      <w:r>
        <w:t xml:space="preserve">model-tier robustness arm (Section 3.8). Responses were collected once and frozen. All</w:t>
      </w:r>
      <w:r>
        <w:t xml:space="preserve"> </w:t>
      </w:r>
      <w:r>
        <w:t xml:space="preserve">reported results reproduce offline from the frozen corpus.</w:t>
      </w:r>
    </w:p>
    <w:tbl>
      <w:tblPr>
        <w:tblStyle w:val="Table"/>
        <w:tblW w:type="auto" w:w="0"/>
        <w:tblLook w:firstRow="1" w:lastRow="0" w:firstColumn="0" w:lastColumn="0" w:noHBand="0" w:noVBand="0" w:val="0020"/>
        <w:tblCaption w:val="Model snapshots evaluated. The four confirmatory snapshots (two providers, current and prior each) constitute the main 8{,}640-cell experiment. The two flagship snapshots are the separate model-tier robustness arm (Section 3.8). Responses were collected once and frozen. All reported results reproduce offline from the frozen corpus."/>
      </w:tblPr>
      <w:tblGrid>
        <w:gridCol w:w="2640"/>
        <w:gridCol w:w="2640"/>
        <w:gridCol w:w="2640"/>
      </w:tblGrid>
      <w:tr>
        <w:trPr>
          <w:tblHeader w:val="on"/>
        </w:trPr>
        <w:tc>
          <w:tcPr/>
          <w:p>
            <w:pPr>
              <w:pStyle w:val="Compact"/>
              <w:jc w:val="left"/>
            </w:pPr>
            <w:r>
              <w:t xml:space="preserve">Provider</w:t>
            </w:r>
          </w:p>
        </w:tc>
        <w:tc>
          <w:tcPr/>
          <w:p>
            <w:pPr>
              <w:pStyle w:val="Compact"/>
              <w:jc w:val="left"/>
            </w:pPr>
            <w:r>
              <w:t xml:space="preserve">Model snapshot</w:t>
            </w:r>
          </w:p>
        </w:tc>
        <w:tc>
          <w:tcPr/>
          <w:p>
            <w:pPr>
              <w:pStyle w:val="Compact"/>
              <w:jc w:val="left"/>
            </w:pPr>
            <w:r>
              <w:t xml:space="preserve">Role</w:t>
            </w:r>
          </w:p>
        </w:tc>
      </w:tr>
      <w:tr>
        <w:tc>
          <w:tcPr/>
          <w:p>
            <w:pPr>
              <w:pStyle w:val="Compact"/>
              <w:jc w:val="left"/>
            </w:pPr>
            <w:r>
              <w:t xml:space="preserve">OpenAI</w:t>
            </w:r>
          </w:p>
        </w:tc>
        <w:tc>
          <w:tcPr/>
          <w:p>
            <w:pPr>
              <w:pStyle w:val="Compact"/>
              <w:jc w:val="left"/>
            </w:pPr>
            <w:r>
              <w:rPr>
                <w:rStyle w:val="VerbatimChar"/>
              </w:rPr>
              <w:t xml:space="preserve">gpt-5.4-nano</w:t>
            </w:r>
          </w:p>
        </w:tc>
        <w:tc>
          <w:tcPr/>
          <w:p>
            <w:pPr>
              <w:pStyle w:val="Compact"/>
              <w:jc w:val="left"/>
            </w:pPr>
            <w:r>
              <w:t xml:space="preserve">current (confirmatory)</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t xml:space="preserve">prior (confirmatory)</w:t>
            </w:r>
          </w:p>
        </w:tc>
      </w:tr>
      <w:tr>
        <w:tc>
          <w:tcPr/>
          <w:p>
            <w:pPr>
              <w:pStyle w:val="Compact"/>
              <w:jc w:val="left"/>
            </w:pPr>
            <w:r>
              <w:t xml:space="preserve">Google</w:t>
            </w:r>
          </w:p>
        </w:tc>
        <w:tc>
          <w:tcPr/>
          <w:p>
            <w:pPr>
              <w:pStyle w:val="Compact"/>
              <w:jc w:val="left"/>
            </w:pPr>
            <w:r>
              <w:rPr>
                <w:rStyle w:val="VerbatimChar"/>
              </w:rPr>
              <w:t xml:space="preserve">gemini-3.5-flash</w:t>
            </w:r>
          </w:p>
        </w:tc>
        <w:tc>
          <w:tcPr/>
          <w:p>
            <w:pPr>
              <w:pStyle w:val="Compact"/>
              <w:jc w:val="left"/>
            </w:pPr>
            <w:r>
              <w:t xml:space="preserve">current (confirmatory)</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t xml:space="preserve">prior (confirmatory)</w:t>
            </w:r>
          </w:p>
        </w:tc>
      </w:tr>
      <w:tr>
        <w:tc>
          <w:tcPr/>
          <w:p>
            <w:pPr>
              <w:pStyle w:val="Compact"/>
              <w:jc w:val="left"/>
            </w:pPr>
            <w:r>
              <w:t xml:space="preserve">OpenAI</w:t>
            </w:r>
          </w:p>
        </w:tc>
        <w:tc>
          <w:tcPr/>
          <w:p>
            <w:pPr>
              <w:pStyle w:val="Compact"/>
              <w:jc w:val="left"/>
            </w:pPr>
            <w:r>
              <w:rPr>
                <w:rStyle w:val="VerbatimChar"/>
              </w:rPr>
              <w:t xml:space="preserve">gpt-5.4</w:t>
            </w:r>
          </w:p>
        </w:tc>
        <w:tc>
          <w:tcPr/>
          <w:p>
            <w:pPr>
              <w:pStyle w:val="Compact"/>
              <w:jc w:val="left"/>
            </w:pPr>
            <w:r>
              <w:t xml:space="preserve">flagship (robustness)</w:t>
            </w:r>
          </w:p>
        </w:tc>
      </w:tr>
      <w:tr>
        <w:tc>
          <w:tcPr/>
          <w:p>
            <w:pPr>
              <w:pStyle w:val="Compact"/>
              <w:jc w:val="left"/>
            </w:pPr>
            <w:r>
              <w:t xml:space="preserve">Google</w:t>
            </w:r>
          </w:p>
        </w:tc>
        <w:tc>
          <w:tcPr/>
          <w:p>
            <w:pPr>
              <w:pStyle w:val="Compact"/>
              <w:jc w:val="left"/>
            </w:pPr>
            <w:r>
              <w:rPr>
                <w:rStyle w:val="VerbatimChar"/>
              </w:rPr>
              <w:t xml:space="preserve">gemini-3.1-pro-preview</w:t>
            </w:r>
          </w:p>
        </w:tc>
        <w:tc>
          <w:tcPr/>
          <w:p>
            <w:pPr>
              <w:pStyle w:val="Compact"/>
              <w:jc w:val="left"/>
            </w:pPr>
            <w:r>
              <w:t xml:space="preserve">flagship (robustness)</w:t>
            </w:r>
          </w:p>
        </w:tc>
      </w:tr>
      <w:tr>
        <w:tc>
          <w:tcPr/>
          <w:p>
            <w:pPr>
              <w:pStyle w:val="Compact"/>
              <w:jc w:val="left"/>
            </w:pPr>
            <w:r>
              <w:t xml:space="preserve">DeepSeek</w:t>
            </w:r>
          </w:p>
        </w:tc>
        <w:tc>
          <w:tcPr/>
          <w:p>
            <w:pPr>
              <w:pStyle w:val="Compact"/>
              <w:jc w:val="left"/>
            </w:pPr>
            <w:r>
              <w:rPr>
                <w:rStyle w:val="VerbatimChar"/>
              </w:rPr>
              <w:t xml:space="preserve">deepseek-r1</w:t>
            </w:r>
            <w:r>
              <w:t xml:space="preserve"> </w:t>
            </w:r>
            <w:r>
              <w:t xml:space="preserve">(OpenRouter)</w:t>
            </w:r>
          </w:p>
        </w:tc>
        <w:tc>
          <w:tcPr/>
          <w:p>
            <w:pPr>
              <w:pStyle w:val="Compact"/>
              <w:jc w:val="left"/>
            </w:pPr>
            <w:r>
              <w:t xml:space="preserve">reasoning (robustness)</w:t>
            </w:r>
          </w:p>
        </w:tc>
      </w:tr>
    </w:tbl>
    <w:bookmarkEnd w:id="75"/>
    <w:p>
      <w:pPr>
        <w:pStyle w:val="BodyText"/>
      </w:pPr>
      <w:r>
        <w:t xml:space="preserve">The four confirmatory snapshots were queried once in the frozen</w:t>
      </w:r>
      <w:r>
        <w:t xml:space="preserve"> </w:t>
      </w:r>
      <w:r>
        <w:t xml:space="preserve">confirmatory run (July 2026). The two flagship snapshots in the later robustness run (August 2026), and the reasoning</w:t>
      </w:r>
      <w:r>
        <w:t xml:space="preserve"> </w:t>
      </w:r>
      <w:r>
        <w:t xml:space="preserve">snapshot (</w:t>
      </w:r>
      <w:r>
        <w:rPr>
          <w:rStyle w:val="VerbatimChar"/>
        </w:rPr>
        <w:t xml:space="preserve">deepseek-r1</w:t>
      </w:r>
      <w:r>
        <w:t xml:space="preserve">, served via the OpenRouter API) in a separate reasoning run (September 2026). All were</w:t>
      </w:r>
      <w:r>
        <w:t xml:space="preserve"> </w:t>
      </w:r>
      <w:r>
        <w:t xml:space="preserve">used offline thereafter. Aliases without an embedded date stamp are pinned by these query months, with the exact dates recorded in the frozen manifests. The</w:t>
      </w:r>
      <w:r>
        <w:t xml:space="preserve"> </w:t>
      </w:r>
      <w:r>
        <w:t xml:space="preserve">reasoning model is API-served, so its temperature and seed are request parameters, not self-hosted determinism.</w:t>
      </w:r>
    </w:p>
    <w:bookmarkStart w:id="76" w:name="sec:methods-id"/>
    <w:p>
      <w:pPr>
        <w:pStyle w:val="Heading4"/>
      </w:pPr>
      <w:r>
        <w:rPr>
          <w:rStyle w:val="SectionNumber"/>
        </w:rPr>
        <w:t xml:space="preserve">6.2.0.1</w:t>
      </w:r>
      <w:r>
        <w:tab/>
      </w:r>
      <w:r>
        <w:t xml:space="preserve">What the design identifies.</w:t>
      </w:r>
    </w:p>
    <w:p>
      <w:pPr>
        <w:pStyle w:val="FirstParagraph"/>
      </w:pPr>
      <w:r>
        <w:t xml:space="preserve">Write the effect-coded main-effects model as</w:t>
      </w:r>
      <w:r>
        <w:t xml:space="preserve"> </w:t>
      </w:r>
      <m:oMath>
        <m:r>
          <m:t>y</m:t>
        </m:r>
        <m:r>
          <m:rPr>
            <m:sty m:val="p"/>
          </m:rPr>
          <m:t>=</m:t>
        </m:r>
        <m:r>
          <m:t>X</m:t>
        </m:r>
        <m:r>
          <m:t>β</m:t>
        </m:r>
        <m:r>
          <m:rPr>
            <m:sty m:val="p"/>
          </m:rPr>
          <m:t>+</m:t>
        </m:r>
        <m:r>
          <m:t>ε</m:t>
        </m:r>
      </m:oMath>
      <w:r>
        <w:t xml:space="preserve"> </w:t>
      </w:r>
      <w:r>
        <w:t xml:space="preserve">and let</w:t>
      </w:r>
      <w:r>
        <w:t xml:space="preserve"> </w:t>
      </w:r>
      <m:oMath>
        <m:r>
          <m:t>Z</m:t>
        </m:r>
      </m:oMath>
      <w:r>
        <w:t xml:space="preserve"> </w:t>
      </w:r>
      <w:r>
        <w:t xml:space="preserve">collect the omitted two-factor interaction contrasts. Then</w:t>
      </w:r>
      <w:r>
        <w:t xml:space="preserve"> </w:t>
      </w:r>
      <m:oMath>
        <m:r>
          <m:rPr>
            <m:scr m:val="double-struck"/>
            <m:sty m:val="p"/>
          </m:rPr>
          <m:t>E</m:t>
        </m:r>
        <m:r>
          <m:rPr>
            <m:sty m:val="p"/>
          </m:rPr>
          <m:t>[</m:t>
        </m:r>
        <m:acc>
          <m:accPr>
            <m:chr m:val="̂"/>
          </m:accPr>
          <m:e>
            <m:r>
              <m:t>β</m:t>
            </m:r>
          </m:e>
        </m:acc>
        <m:r>
          <m:rPr>
            <m:sty m:val="p"/>
          </m:rPr>
          <m:t>]</m:t>
        </m:r>
        <m:r>
          <m:rPr>
            <m:sty m:val="p"/>
          </m:rPr>
          <m:t>=</m:t>
        </m:r>
        <m:r>
          <m:t>β</m:t>
        </m:r>
        <m:r>
          <m:rPr>
            <m:sty m:val="p"/>
          </m:rPr>
          <m:t>+</m:t>
        </m:r>
        <m:r>
          <m:t>A</m:t>
        </m:r>
        <m:r>
          <m:t>γ</m:t>
        </m:r>
      </m:oMath>
      <w:r>
        <w:t xml:space="preserve"> </w:t>
      </w:r>
      <w:r>
        <w:t xml:space="preserve">with alias matrix</w:t>
      </w:r>
      <w:r>
        <w:t xml:space="preserve"> </w:t>
      </w:r>
      <m:oMath>
        <m:r>
          <m:t>A</m:t>
        </m:r>
        <m:r>
          <m:rPr>
            <m:sty m:val="p"/>
          </m:rPr>
          <m:t>=</m:t>
        </m:r>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Z</m:t>
        </m:r>
      </m:oMath>
      <w:r>
        <w:t xml:space="preserve">, so the bias in any main</w:t>
      </w:r>
      <w:r>
        <w:t xml:space="preserve"> </w:t>
      </w:r>
      <w:r>
        <w:t xml:space="preserve">effect</w:t>
      </w:r>
      <w:r>
        <w:t xml:space="preserve"> </w:t>
      </w:r>
      <m:oMath>
        <m:r>
          <m:t>j</m:t>
        </m:r>
      </m:oMath>
      <w:r>
        <w:t xml:space="preserve"> </w:t>
      </w:r>
      <w:r>
        <w:t xml:space="preserve">satisfies</w:t>
      </w:r>
      <w:r>
        <w:t xml:space="preserve"> </w:t>
      </w:r>
      <m:oMath>
        <m:r>
          <m:rPr>
            <m:sty m:val="p"/>
          </m:rPr>
          <m:t>|</m:t>
        </m:r>
        <m:sSubSup>
          <m:e>
            <m:r>
              <m:t>a</m:t>
            </m:r>
          </m:e>
          <m:sub>
            <m:r>
              <m:t>j</m:t>
            </m:r>
          </m:sub>
          <m:sup>
            <m:r>
              <m:rPr>
                <m:sty m:val="p"/>
              </m:rPr>
              <m:t>′</m:t>
            </m:r>
          </m:sup>
        </m:sSubSup>
        <m:r>
          <m:t>γ</m:t>
        </m:r>
        <m:r>
          <m:rPr>
            <m:sty m:val="p"/>
          </m:rPr>
          <m:t>|</m:t>
        </m:r>
        <m:r>
          <m:rPr>
            <m:sty m:val="p"/>
          </m:rPr>
          <m:t>≤</m:t>
        </m:r>
        <m:sSub>
          <m:e>
            <m:d>
              <m:dPr>
                <m:begChr m:val="‖"/>
                <m:sepChr m:val=""/>
                <m:endChr m:val="‖"/>
                <m:grow/>
              </m:dPr>
              <m:e>
                <m:sSub>
                  <m:e>
                    <m:r>
                      <m:t>a</m:t>
                    </m:r>
                  </m:e>
                  <m:sub>
                    <m:r>
                      <m:t>j</m:t>
                    </m:r>
                  </m:sub>
                </m:sSub>
              </m:e>
            </m:d>
          </m:e>
          <m:sub>
            <m:r>
              <m:t>2</m:t>
            </m:r>
          </m:sub>
        </m:sSub>
        <m:r>
          <m:t> </m:t>
        </m:r>
        <m:sSub>
          <m:e>
            <m:d>
              <m:dPr>
                <m:begChr m:val="‖"/>
                <m:sepChr m:val=""/>
                <m:endChr m:val="‖"/>
                <m:grow/>
              </m:dPr>
              <m:e>
                <m:r>
                  <m:t>γ</m:t>
                </m:r>
              </m:e>
            </m:d>
          </m:e>
          <m:sub>
            <m:r>
              <m:t>2</m:t>
            </m:r>
          </m:sub>
        </m:sSub>
      </m:oMath>
      <w:r>
        <w:t xml:space="preserve">. On the</w:t>
      </w:r>
      <w:r>
        <w:t xml:space="preserve"> </w:t>
      </w:r>
      <w:r>
        <w:t xml:space="preserve">32-specification confirmatory design there are</w:t>
      </w:r>
      <w:r>
        <w:t xml:space="preserve"> </w:t>
      </w:r>
      <m:oMath>
        <m:r>
          <m:t>27</m:t>
        </m:r>
      </m:oMath>
      <w:r>
        <w:t xml:space="preserve"> </w:t>
      </w:r>
      <w:r>
        <w:t xml:space="preserve">such interaction contrasts and the alias norms</w:t>
      </w:r>
      <w:r>
        <w:t xml:space="preserve"> </w:t>
      </w:r>
      <w:r>
        <w:t xml:space="preserve">are substantial:</w:t>
      </w:r>
      <w:r>
        <w:t xml:space="preserve"> </w:t>
      </w:r>
      <m:oMath>
        <m:sSub>
          <m:e>
            <m:d>
              <m:dPr>
                <m:begChr m:val="‖"/>
                <m:sepChr m:val=""/>
                <m:endChr m:val="‖"/>
                <m:grow/>
              </m:dPr>
              <m:e>
                <m:sSub>
                  <m:e>
                    <m:r>
                      <m:t>a</m:t>
                    </m:r>
                  </m:e>
                  <m:sub>
                    <m:r>
                      <m:t>j</m:t>
                    </m:r>
                  </m:sub>
                </m:sSub>
              </m:e>
            </m:d>
          </m:e>
          <m:sub>
            <m:r>
              <m:t>2</m:t>
            </m:r>
          </m:sub>
        </m:sSub>
      </m:oMath>
      <w:r>
        <w:t xml:space="preserve"> </w:t>
      </w:r>
      <w:r>
        <w:t xml:space="preserve">ranges from</w:t>
      </w:r>
      <w:r>
        <w:t xml:space="preserve"> </w:t>
      </w:r>
      <m:oMath>
        <m:r>
          <m:t>0.68</m:t>
        </m:r>
      </m:oMath>
      <w:r>
        <w:t xml:space="preserve"> </w:t>
      </w:r>
      <w:r>
        <w:t xml:space="preserve">to</w:t>
      </w:r>
      <w:r>
        <w:t xml:space="preserve"> </w:t>
      </w:r>
      <m:oMath>
        <m:r>
          <m:t>1.04</m:t>
        </m:r>
      </m:oMath>
      <w:r>
        <w:t xml:space="preserve"> </w:t>
      </w:r>
      <w:r>
        <w:t xml:space="preserve">across the eight main-effect</w:t>
      </w:r>
      <w:r>
        <w:t xml:space="preserve"> </w:t>
      </w:r>
      <w:r>
        <w:t xml:space="preserve">contrasts, and for answer presentation it is</w:t>
      </w:r>
      <w:r>
        <w:t xml:space="preserve"> </w:t>
      </w:r>
      <m:oMath>
        <m:r>
          <m:t>0.878</m:t>
        </m:r>
      </m:oMath>
      <w:r>
        <w:t xml:space="preserve">, its largest single partner being the</w:t>
      </w:r>
      <w:r>
        <w:t xml:space="preserve"> </w:t>
      </w:r>
      <w:r>
        <w:t xml:space="preserve">version-by-few-shot interaction at</w:t>
      </w:r>
      <w:r>
        <w:t xml:space="preserve"> </w:t>
      </w:r>
      <m:oMath>
        <m:r>
          <m:rPr>
            <m:sty m:val="p"/>
          </m:rPr>
          <m:t>|</m:t>
        </m:r>
        <m:r>
          <m:t>a</m:t>
        </m:r>
        <m:r>
          <m:rPr>
            <m:sty m:val="p"/>
          </m:rPr>
          <m:t>|</m:t>
        </m:r>
        <m:r>
          <m:rPr>
            <m:sty m:val="p"/>
          </m:rPr>
          <m:t>=</m:t>
        </m:r>
        <m:r>
          <m:t>0.484</m:t>
        </m:r>
      </m:oMath>
      <w:r>
        <w:t xml:space="preserve">.</w:t>
      </w:r>
      <w:r>
        <w:t xml:space="preserve"> </w:t>
      </w:r>
      <w:r>
        <w:rPr>
          <w:b/>
          <w:bCs/>
        </w:rPr>
        <w:t xml:space="preserve">No finite bound on a per-axis share</w:t>
      </w:r>
      <w:r>
        <w:rPr>
          <w:b/>
          <w:bCs/>
        </w:rPr>
        <w:t xml:space="preserve"> </w:t>
      </w:r>
      <w:r>
        <w:rPr>
          <w:b/>
          <w:bCs/>
        </w:rPr>
        <w:t xml:space="preserve">therefore follows from the design alone</w:t>
      </w:r>
      <w:r>
        <w:t xml:space="preserve">. The inequality is informative only once an external</w:t>
      </w:r>
      <w:r>
        <w:t xml:space="preserve"> </w:t>
      </w:r>
      <w:r>
        <w:t xml:space="preserve">constraint is placed on</w:t>
      </w:r>
      <w:r>
        <w:t xml:space="preserve"> </w:t>
      </w:r>
      <m:oMath>
        <m:d>
          <m:dPr>
            <m:begChr m:val="‖"/>
            <m:sepChr m:val=""/>
            <m:endChr m:val="‖"/>
            <m:grow/>
          </m:dPr>
          <m:e>
            <m:r>
              <m:t>γ</m:t>
            </m:r>
          </m:e>
        </m:d>
      </m:oMath>
      <w:r>
        <w:t xml:space="preserve">, and nothing in the design supplies one. Since</w:t>
      </w:r>
      <w:r>
        <w:t xml:space="preserve"> </w:t>
      </w:r>
      <m:oMath>
        <m:sSub>
          <m:e>
            <m:d>
              <m:dPr>
                <m:begChr m:val="‖"/>
                <m:sepChr m:val=""/>
                <m:endChr m:val="‖"/>
                <m:grow/>
              </m:dPr>
              <m:e>
                <m:sSub>
                  <m:e>
                    <m:r>
                      <m:t>a</m:t>
                    </m:r>
                  </m:e>
                  <m:sub>
                    <m:r>
                      <m:t>j</m:t>
                    </m:r>
                  </m:sub>
                </m:sSub>
              </m:e>
            </m:d>
          </m:e>
          <m:sub>
            <m:r>
              <m:t>2</m:t>
            </m:r>
          </m:sub>
        </m:sSub>
        <m:r>
          <m:rPr>
            <m:sty m:val="p"/>
          </m:rPr>
          <m:t>≈</m:t>
        </m:r>
        <m:r>
          <m:t>0.9</m:t>
        </m:r>
      </m:oMath>
      <w:r>
        <w:t xml:space="preserve"> </w:t>
      </w:r>
      <w:r>
        <w:t xml:space="preserve">for presentation, omitted interactions jointly no larger than the</w:t>
      </w:r>
      <w:r>
        <w:t xml:space="preserve"> </w:t>
      </w:r>
      <w:r>
        <w:t xml:space="preserve">largest estimable main effect would suffice to move that axis’s apparent share by about as much as</w:t>
      </w:r>
      <w:r>
        <w:t xml:space="preserve"> </w:t>
      </w:r>
      <w:r>
        <w:t xml:space="preserve">the share itself, which is why we report no per-axis ranking.</w:t>
      </w:r>
    </w:p>
    <w:p>
      <w:pPr>
        <w:pStyle w:val="BodyText"/>
      </w:pPr>
      <w:r>
        <w:t xml:space="preserve">Both the alias norms and the pairwise column correlations depend on a coding convention, since effect coding is not invariant to which level is taken as the reference. We therefore add a diagnostic that is invariant to any non-singular</w:t>
      </w:r>
      <w:r>
        <w:t xml:space="preserve"> </w:t>
      </w:r>
      <w:r>
        <w:t xml:space="preserve">re-parameterisation within either subspace. The canonical correlations between the centred</w:t>
      </w:r>
      <w:r>
        <w:t xml:space="preserve"> </w:t>
      </w:r>
      <w:r>
        <w:t xml:space="preserve">main-effect subspace and the centred two-factor-interaction subspace. On the analysed design the</w:t>
      </w:r>
      <w:r>
        <w:t xml:space="preserve"> </w:t>
      </w:r>
      <w:r>
        <w:t xml:space="preserve">largest is</w:t>
      </w:r>
      <w:r>
        <w:t xml:space="preserve"> </w:t>
      </w:r>
      <m:oMath>
        <m:r>
          <m:t>1.000</m:t>
        </m:r>
      </m:oMath>
      <w:r>
        <w:t xml:space="preserve"> </w:t>
      </w:r>
      <w:r>
        <w:t xml:space="preserve">and</w:t>
      </w:r>
      <w:r>
        <w:t xml:space="preserve"> </w:t>
      </w:r>
      <m:oMath>
        <m:r>
          <m:t>6</m:t>
        </m:r>
      </m:oMath>
      <w:r>
        <w:t xml:space="preserve"> </w:t>
      </w:r>
      <w:r>
        <w:t xml:space="preserve">of</w:t>
      </w:r>
      <w:r>
        <w:t xml:space="preserve"> </w:t>
      </w:r>
      <m:oMath>
        <m:r>
          <m:t>8</m:t>
        </m:r>
      </m:oMath>
      <w:r>
        <w:t xml:space="preserve"> </w:t>
      </w:r>
      <w:r>
        <w:t xml:space="preserve">exceed</w:t>
      </w:r>
      <w:r>
        <w:t xml:space="preserve"> </w:t>
      </w:r>
      <m:oMath>
        <m:r>
          <m:t>0.9</m:t>
        </m:r>
      </m:oMath>
      <w:r>
        <w:t xml:space="preserve">. A value of one means that some linear combination</w:t>
      </w:r>
      <w:r>
        <w:t xml:space="preserve"> </w:t>
      </w:r>
      <w:r>
        <w:t xml:space="preserve">of main effects coincides</w:t>
      </w:r>
      <w:r>
        <w:t xml:space="preserve"> </w:t>
      </w:r>
      <w:r>
        <w:rPr>
          <w:i/>
          <w:iCs/>
        </w:rPr>
        <w:t xml:space="preserve">exactly</w:t>
      </w:r>
      <w:r>
        <w:t xml:space="preserve"> </w:t>
      </w:r>
      <w:r>
        <w:t xml:space="preserve">with a combination of two-factor interactions, and that is what occurs here. The joint matrix</w:t>
      </w:r>
      <w:r>
        <w:t xml:space="preserve"> </w:t>
      </w:r>
      <m:oMath>
        <m:r>
          <m:rPr>
            <m:sty m:val="p"/>
          </m:rPr>
          <m:t>[</m:t>
        </m:r>
        <m:r>
          <m:t>X</m:t>
        </m:r>
        <m:r>
          <m:t> </m:t>
        </m:r>
        <m:r>
          <m:t>Z</m:t>
        </m:r>
        <m:r>
          <m:rPr>
            <m:sty m:val="p"/>
          </m:rPr>
          <m:t>]</m:t>
        </m:r>
      </m:oMath>
      <w:r>
        <w:t xml:space="preserve"> </w:t>
      </w:r>
      <w:r>
        <w:t xml:space="preserve">has rank</w:t>
      </w:r>
      <w:r>
        <w:t xml:space="preserve"> </w:t>
      </w:r>
      <m:oMath>
        <m:r>
          <m:t>31</m:t>
        </m:r>
      </m:oMath>
      <w:r>
        <w:t xml:space="preserve"> </w:t>
      </w:r>
      <w:r>
        <w:t xml:space="preserve">rather than</w:t>
      </w:r>
      <w:r>
        <w:t xml:space="preserve"> </w:t>
      </w:r>
      <m:oMath>
        <m:r>
          <m:t>35</m:t>
        </m:r>
      </m:oMath>
      <w:r>
        <w:t xml:space="preserve">, so the two subspaces</w:t>
      </w:r>
      <w:r>
        <w:t xml:space="preserve"> </w:t>
      </w:r>
      <w:r>
        <w:t xml:space="preserve">intersect in</w:t>
      </w:r>
      <w:r>
        <w:t xml:space="preserve"> </w:t>
      </w:r>
      <m:oMath>
        <m:r>
          <m:t>4</m:t>
        </m:r>
      </m:oMath>
      <w:r>
        <w:t xml:space="preserve"> </w:t>
      </w:r>
      <w:r>
        <w:t xml:space="preserve">dimensions. We state the implication precisely, because the distinction matters.</w:t>
      </w:r>
      <w:r>
        <w:t xml:space="preserve"> </w:t>
      </w:r>
      <w:r>
        <w:t xml:space="preserve">It is</w:t>
      </w:r>
      <w:r>
        <w:t xml:space="preserve"> </w:t>
      </w:r>
      <w:r>
        <w:rPr>
          <w:i/>
          <w:iCs/>
        </w:rPr>
        <w:t xml:space="preserve">not</w:t>
      </w:r>
      <w:r>
        <w:t xml:space="preserve"> </w:t>
      </w:r>
      <w:r>
        <w:t xml:space="preserve">the case that any single axis contrast is exactly confounded. Regressing each</w:t>
      </w:r>
      <w:r>
        <w:t xml:space="preserve"> </w:t>
      </w:r>
      <w:r>
        <w:t xml:space="preserve">main-effect contrast on the full interaction span gives</w:t>
      </w:r>
      <w:r>
        <w:t xml:space="preserve"> </w:t>
      </w:r>
      <m:oMath>
        <m:sSup>
          <m:e>
            <m:r>
              <m:t>R</m:t>
            </m:r>
          </m:e>
          <m:sup>
            <m:r>
              <m:t>2</m:t>
            </m:r>
          </m:sup>
        </m:sSup>
      </m:oMath>
      <w:r>
        <w:t xml:space="preserve"> </w:t>
      </w:r>
      <w:r>
        <w:t xml:space="preserve">between</w:t>
      </w:r>
      <w:r>
        <w:t xml:space="preserve"> </w:t>
      </w:r>
      <m:oMath>
        <m:r>
          <m:t>0.690</m:t>
        </m:r>
      </m:oMath>
      <w:r>
        <w:t xml:space="preserve"> </w:t>
      </w:r>
      <w:r>
        <w:t xml:space="preserve">and</w:t>
      </w:r>
      <w:r>
        <w:t xml:space="preserve"> </w:t>
      </w:r>
      <m:oMath>
        <m:r>
          <m:t>0.901</m:t>
        </m:r>
      </m:oMath>
      <w:r>
        <w:t xml:space="preserve">. What is</w:t>
      </w:r>
      <w:r>
        <w:t xml:space="preserve"> </w:t>
      </w:r>
      <w:r>
        <w:t xml:space="preserve">exactly confounded is a combination. That is sufficient for non-identification of the individual</w:t>
      </w:r>
      <w:r>
        <w:t xml:space="preserve"> </w:t>
      </w:r>
      <w:r>
        <w:t xml:space="preserve">shares, and it cannot be dismissed as an artifact of how the contrasts were coded.</w:t>
      </w:r>
    </w:p>
    <w:p>
      <w:pPr>
        <w:pStyle w:val="BodyText"/>
      </w:pPr>
      <w:r>
        <w:t xml:space="preserve">The provider-by-item interaction is in a different position and is identified up to a</w:t>
      </w:r>
      <w:r>
        <w:t xml:space="preserve"> </w:t>
      </w:r>
      <w:r>
        <w:t xml:space="preserve">numerically negligible imbalance. Items are fully crossed with specifications: in the analysed arm</w:t>
      </w:r>
      <w:r>
        <w:t xml:space="preserve"> </w:t>
      </w:r>
      <w:r>
        <w:t xml:space="preserve">all</w:t>
      </w:r>
      <w:r>
        <w:t xml:space="preserve"> </w:t>
      </w:r>
      <m:oMath>
        <m:r>
          <m:t>45</m:t>
        </m:r>
        <m:r>
          <m:rPr>
            <m:sty m:val="p"/>
          </m:rPr>
          <m:t>×</m:t>
        </m:r>
        <m:r>
          <m:t>32</m:t>
        </m:r>
        <m:r>
          <m:rPr>
            <m:sty m:val="p"/>
          </m:rPr>
          <m:t>=</m:t>
        </m:r>
        <m:r>
          <m:t>1</m:t>
        </m:r>
        <m:r>
          <m:rPr>
            <m:sty m:val="p"/>
          </m:rPr>
          <m:t>,</m:t>
        </m:r>
        <m:r>
          <m:t>440</m:t>
        </m:r>
      </m:oMath>
      <w:r>
        <w:t xml:space="preserve"> </w:t>
      </w:r>
      <w:r>
        <w:t xml:space="preserve">item</w:t>
      </w:r>
      <m:oMath>
        <m:r>
          <m:rPr>
            <m:sty m:val="p"/>
          </m:rPr>
          <m:t>×</m:t>
        </m:r>
      </m:oMath>
      <w:r>
        <w:t xml:space="preserve">specification cells are populated,</w:t>
      </w:r>
      <w:r>
        <w:t xml:space="preserve"> </w:t>
      </w:r>
      <m:oMath>
        <m:r>
          <m:t>1436</m:t>
        </m:r>
      </m:oMath>
      <w:r>
        <w:t xml:space="preserve"> </w:t>
      </w:r>
      <w:r>
        <w:t xml:space="preserve">of them with the full</w:t>
      </w:r>
      <w:r>
        <w:t xml:space="preserve"> </w:t>
      </w:r>
      <w:r>
        <w:t xml:space="preserve">three seeds and</w:t>
      </w:r>
      <w:r>
        <w:t xml:space="preserve"> </w:t>
      </w:r>
      <m:oMath>
        <m:r>
          <m:t>4</m:t>
        </m:r>
      </m:oMath>
      <w:r>
        <w:t xml:space="preserve"> </w:t>
      </w:r>
      <w:r>
        <w:t xml:space="preserve">with two. Because no specification-axis contrast involves the item factor,</w:t>
      </w:r>
      <w:r>
        <w:t xml:space="preserve"> </w:t>
      </w:r>
      <w:r>
        <w:t xml:space="preserve">crossing makes the provider-by-item contrasts orthogonal to every specification main effect and</w:t>
      </w:r>
      <w:r>
        <w:t xml:space="preserve"> </w:t>
      </w:r>
      <w:r>
        <w:t xml:space="preserve">two-factor interaction up to that imbalance. The largest absolute correlation realised is</w:t>
      </w:r>
      <w:r>
        <w:t xml:space="preserve"> </w:t>
      </w:r>
      <m:oMath>
        <m:r>
          <m:t>0.0018</m:t>
        </m:r>
      </m:oMath>
      <w:r>
        <w:t xml:space="preserve"> </w:t>
      </w:r>
      <w:r>
        <w:t xml:space="preserve">against the main effects and</w:t>
      </w:r>
      <w:r>
        <w:t xml:space="preserve"> </w:t>
      </w:r>
      <m:oMath>
        <m:r>
          <m:t>0.0022</m:t>
        </m:r>
      </m:oMath>
      <w:r>
        <w:t xml:space="preserve"> </w:t>
      </w:r>
      <w:r>
        <w:t xml:space="preserve">against the interactions. We therefore report this share</w:t>
      </w:r>
      <w:r>
        <w:t xml:space="preserve"> </w:t>
      </w:r>
      <w:r>
        <w:t xml:space="preserve">without an assumption about</w:t>
      </w:r>
      <w:r>
        <w:t xml:space="preserve"> </w:t>
      </w:r>
      <m:oMath>
        <m:r>
          <m:t>γ</m:t>
        </m:r>
      </m:oMath>
      <w:r>
        <w:t xml:space="preserve">, while noting that the orthogonality is numerical rather than</w:t>
      </w:r>
      <w:r>
        <w:t xml:space="preserve"> </w:t>
      </w:r>
      <w:r>
        <w:t xml:space="preserve">exact. The aliasing problem is confined to the specification axes among themselves.</w:t>
      </w:r>
    </w:p>
    <w:bookmarkEnd w:id="76"/>
    <w:bookmarkEnd w:id="77"/>
    <w:bookmarkStart w:id="79" w:name="sec:methods-outcome"/>
    <w:p>
      <w:pPr>
        <w:pStyle w:val="Heading2"/>
      </w:pPr>
      <w:r>
        <w:rPr>
          <w:rStyle w:val="SectionNumber"/>
        </w:rPr>
        <w:t xml:space="preserve">6.3</w:t>
      </w:r>
      <w:r>
        <w:tab/>
      </w:r>
      <w:r>
        <w:t xml:space="preserve">Outcome construction and statistical analysis</w:t>
      </w:r>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11).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w:t>
      </w:r>
    </w:p>
    <w:bookmarkStart w:id="78" w:name="X991c5671c1e32c72e6d4df8f10c1b1112f41dab"/>
    <w:p>
      <w:pPr>
        <w:pStyle w:val="Heading4"/>
      </w:pPr>
      <w:r>
        <w:rPr>
          <w:rStyle w:val="SectionNumber"/>
        </w:rPr>
        <w:t xml:space="preserve">6.3.0.1</w:t>
      </w:r>
      <w:r>
        <w:tab/>
      </w:r>
      <w:r>
        <w:t xml:space="preserve">Matched-pair disagreement: sampling convention.</w:t>
      </w:r>
    </w:p>
    <w:p>
      <w:pPr>
        <w:pStyle w:val="FirstParagraph"/>
      </w:pPr>
      <w:r>
        <w:t xml:space="preserve">Every reported</w:t>
      </w:r>
      <w:r>
        <w:t xml:space="preserve"> </w:t>
      </w:r>
      <w:r>
        <w:t xml:space="preserve">“matched-pair”</w:t>
      </w:r>
      <w:r>
        <w:t xml:space="preserve"> </w:t>
      </w:r>
      <w:r>
        <w:t xml:space="preserve">flip</w:t>
      </w:r>
      <w:r>
        <w:t xml:space="preserve"> </w:t>
      </w:r>
      <w:r>
        <w:t xml:space="preserve">probability is the Gini–Simpson index of an item’s own elicitations at the stated resolution,</w:t>
      </w:r>
      <w:r>
        <w:t xml:space="preserve"> </w:t>
      </w:r>
      <m:oMath>
        <m:r>
          <m:t>1</m:t>
        </m:r>
        <m:r>
          <m:rPr>
            <m:sty m:val="p"/>
          </m:rPr>
          <m:t>−</m:t>
        </m:r>
        <m:nary>
          <m:naryPr>
            <m:chr m:val="∑"/>
            <m:limLoc m:val="undOvr"/>
            <m:subHide m:val="off"/>
            <m:supHide m:val="on"/>
          </m:naryPr>
          <m:sub>
            <m:r>
              <m:t>c</m:t>
            </m:r>
          </m:sub>
          <m:sup>
            <m:r>
              <m:t>​</m:t>
            </m:r>
          </m:sup>
          <m:e>
            <m:sSubSup>
              <m:e>
                <m:r>
                  <m:t>p</m:t>
                </m:r>
              </m:e>
              <m:sub>
                <m:r>
                  <m:t>c</m:t>
                </m:r>
              </m:sub>
              <m:sup>
                <m:r>
                  <m:t>2</m:t>
                </m:r>
              </m:sup>
            </m:sSubSup>
          </m:e>
        </m:nary>
      </m:oMath>
      <w:r>
        <w:t xml:space="preserve">, where</w:t>
      </w:r>
      <w:r>
        <w:t xml:space="preserve"> </w:t>
      </w:r>
      <m:oMath>
        <m:sSub>
          <m:e>
            <m:r>
              <m:t>p</m:t>
            </m:r>
          </m:e>
          <m:sub>
            <m:r>
              <m:t>c</m:t>
            </m:r>
          </m:sub>
        </m:sSub>
      </m:oMath>
      <w:r>
        <w:t xml:space="preserve"> </w:t>
      </w:r>
      <w:r>
        <w:t xml:space="preserve">is the share of that item’s elicitations falling in class</w:t>
      </w:r>
      <w:r>
        <w:t xml:space="preserve"> </w:t>
      </w:r>
      <m:oMath>
        <m:r>
          <m:t>c</m:t>
        </m:r>
      </m:oMath>
      <w:r>
        <w:t xml:space="preserve">. This is</w:t>
      </w:r>
      <w:r>
        <w:t xml:space="preserve"> </w:t>
      </w:r>
      <w:r>
        <w:t xml:space="preserve">exactly the probability that</w:t>
      </w:r>
      <w:r>
        <w:t xml:space="preserve"> </w:t>
      </w:r>
      <w:r>
        <w:rPr>
          <w:i/>
          <w:iCs/>
        </w:rPr>
        <w:t xml:space="preserve">two draws taken independently and with replacement</w:t>
      </w:r>
      <w:r>
        <w:t xml:space="preserve"> </w:t>
      </w:r>
      <w:r>
        <w:t xml:space="preserve">from the</w:t>
      </w:r>
      <w:r>
        <w:t xml:space="preserve"> </w:t>
      </w:r>
      <w:r>
        <w:t xml:space="preserve">item’s elicitation set fall in different classes. Three properties follow and are stated explicitly</w:t>
      </w:r>
      <w:r>
        <w:t xml:space="preserve"> </w:t>
      </w:r>
      <w:r>
        <w:t xml:space="preserve">because they determine reproducibility. First, the two draws are taken</w:t>
      </w:r>
      <w:r>
        <w:t xml:space="preserve"> </w:t>
      </w:r>
      <w:r>
        <w:rPr>
          <w:i/>
          <w:iCs/>
        </w:rPr>
        <w:t xml:space="preserve">with</w:t>
      </w:r>
      <w:r>
        <w:t xml:space="preserve"> </w:t>
      </w:r>
      <w:r>
        <w:t xml:space="preserve">replacement, so</w:t>
      </w:r>
      <w:r>
        <w:t xml:space="preserve"> </w:t>
      </w:r>
      <w:r>
        <w:t xml:space="preserve">they may select the same elicitation cell. Such a pair trivially agrees and contributes to the</w:t>
      </w:r>
      <w:r>
        <w:t xml:space="preserve"> </w:t>
      </w:r>
      <w:r>
        <w:t xml:space="preserve">agreement mass. Second, the draws are taken from the item’s</w:t>
      </w:r>
      <w:r>
        <w:t xml:space="preserve"> </w:t>
      </w:r>
      <w:r>
        <w:rPr>
          <w:i/>
          <w:iCs/>
        </w:rPr>
        <w:t xml:space="preserve">pooled</w:t>
      </w:r>
      <w:r>
        <w:t xml:space="preserve"> </w:t>
      </w:r>
      <w:r>
        <w:t xml:space="preserve">elicitations, so a pair</w:t>
      </w:r>
      <w:r>
        <w:t xml:space="preserve"> </w:t>
      </w:r>
      <w:r>
        <w:t xml:space="preserve">may differ in specification, in seed, or in both. The statistic is not conditioned on holding either</w:t>
      </w:r>
      <w:r>
        <w:t xml:space="preserve"> </w:t>
      </w:r>
      <w:r>
        <w:t xml:space="preserve">fixed. Third, the item, and hence the underlying firm profile, is always held fixed. Pairs are never</w:t>
      </w:r>
      <w:r>
        <w:t xml:space="preserve"> </w:t>
      </w:r>
      <w:r>
        <w:t xml:space="preserve">formed across items. In the confirmatory battery 41 profiles have</w:t>
      </w:r>
      <w:r>
        <w:t xml:space="preserve"> </w:t>
      </w:r>
      <m:oMath>
        <m:sSub>
          <m:e>
            <m:r>
              <m:t>n</m:t>
            </m:r>
          </m:e>
          <m:sub>
            <m:r>
              <m:t>i</m:t>
            </m:r>
          </m:sub>
        </m:sSub>
        <m:r>
          <m:rPr>
            <m:sty m:val="p"/>
          </m:rPr>
          <m:t>=</m:t>
        </m:r>
        <m:r>
          <m:t>96</m:t>
        </m:r>
      </m:oMath>
      <w:r>
        <w:t xml:space="preserve"> </w:t>
      </w:r>
      <w:r>
        <w:t xml:space="preserve">elicitations and four have</w:t>
      </w:r>
      <w:r>
        <w:t xml:space="preserve"> </w:t>
      </w:r>
      <m:oMath>
        <m:r>
          <m:t>95</m:t>
        </m:r>
      </m:oMath>
      <w:r>
        <w:t xml:space="preserve">. Throughout,</w:t>
      </w:r>
      <w:r>
        <w:t xml:space="preserve"> </w:t>
      </w:r>
      <m:oMath>
        <m:r>
          <m:t>k</m:t>
        </m:r>
      </m:oMath>
      <w:r>
        <w:t xml:space="preserve"> </w:t>
      </w:r>
      <w:r>
        <w:t xml:space="preserve">denotes the number of elicitation</w:t>
      </w:r>
      <w:r>
        <w:t xml:space="preserve"> </w:t>
      </w:r>
      <w:r>
        <w:rPr>
          <w:i/>
          <w:iCs/>
        </w:rPr>
        <w:t xml:space="preserve">observations</w:t>
      </w:r>
      <w:r>
        <w:t xml:space="preserve"> </w:t>
      </w:r>
      <w:r>
        <w:t xml:space="preserve">entering a disagreement or dispersion calculation, not the number of distinct specifications: the retrospective 16-specification validation retains three seeds and so has</w:t>
      </w:r>
      <w:r>
        <w:t xml:space="preserve"> </w:t>
      </w:r>
      <m:oMath>
        <m:r>
          <m:t>k</m:t>
        </m:r>
        <m:r>
          <m:rPr>
            <m:sty m:val="p"/>
          </m:rPr>
          <m:t>=</m:t>
        </m:r>
        <m:r>
          <m:t>16</m:t>
        </m:r>
        <m:r>
          <m:rPr>
            <m:sty m:val="p"/>
          </m:rPr>
          <m:t>×</m:t>
        </m:r>
        <m:r>
          <m:t>3</m:t>
        </m:r>
        <m:r>
          <m:rPr>
            <m:sty m:val="p"/>
          </m:rPr>
          <m:t>=</m:t>
        </m:r>
        <m:r>
          <m:t>48</m:t>
        </m:r>
      </m:oMath>
      <w:r>
        <w:t xml:space="preserve">, whereas a one-call-per-specification workflow has</w:t>
      </w:r>
      <w:r>
        <w:t xml:space="preserve"> </w:t>
      </w:r>
      <m:oMath>
        <m:r>
          <m:t>k</m:t>
        </m:r>
        <m:r>
          <m:rPr>
            <m:sty m:val="p"/>
          </m:rPr>
          <m:t>=</m:t>
        </m:r>
        <m:r>
          <m:rPr>
            <m:sty m:val="p"/>
          </m:rPr>
          <m:t>|</m:t>
        </m:r>
        <m:r>
          <m:t>S</m:t>
        </m:r>
        <m:r>
          <m:rPr>
            <m:sty m:val="p"/>
          </m:rPr>
          <m:t>|</m:t>
        </m:r>
      </m:oMath>
      <w:r>
        <w:t xml:space="preserve">. The</w:t>
      </w:r>
      <w:r>
        <w:t xml:space="preserve"> </w:t>
      </w:r>
      <w:r>
        <w:t xml:space="preserve">without-replacement variant, which excludes same-cell pairs, is the same quantity multiplied by</w:t>
      </w:r>
      <w:r>
        <w:t xml:space="preserve"> </w:t>
      </w:r>
      <m:oMath>
        <m:sSub>
          <m:e>
            <m:r>
              <m:t>n</m:t>
            </m:r>
          </m:e>
          <m:sub>
            <m:r>
              <m:t>i</m:t>
            </m:r>
          </m:sub>
        </m:sSub>
        <m:r>
          <m:rPr>
            <m:sty m:val="p"/>
          </m:rPr>
          <m:t>/</m:t>
        </m:r>
        <m:r>
          <m:rPr>
            <m:sty m:val="p"/>
          </m:rPr>
          <m:t>(</m:t>
        </m:r>
        <m:sSub>
          <m:e>
            <m:r>
              <m:t>n</m:t>
            </m:r>
          </m:e>
          <m:sub>
            <m:r>
              <m:t>i</m:t>
            </m:r>
          </m:sub>
        </m:sSub>
        <m:r>
          <m:rPr>
            <m:sty m:val="p"/>
          </m:rPr>
          <m:t>−</m:t>
        </m:r>
        <m:r>
          <m:t>1</m:t>
        </m:r>
        <m:r>
          <m:rPr>
            <m:sty m:val="p"/>
          </m:rPr>
          <m:t>)</m:t>
        </m:r>
      </m:oMath>
      <w:r>
        <w:t xml:space="preserve">, evaluated at each profile’s own</w:t>
      </w:r>
      <w:r>
        <w:t xml:space="preserve"> </w:t>
      </w:r>
      <m:oMath>
        <m:sSub>
          <m:e>
            <m:r>
              <m:t>n</m:t>
            </m:r>
          </m:e>
          <m:sub>
            <m:r>
              <m:t>i</m:t>
            </m:r>
          </m:sub>
        </m:sSub>
      </m:oMath>
      <w:r>
        <w:t xml:space="preserve"> </w:t>
      </w:r>
      <w:r>
        <w:t xml:space="preserve">(</w:t>
      </w:r>
      <m:oMath>
        <m:r>
          <m:t>96</m:t>
        </m:r>
      </m:oMath>
      <w:r>
        <w:t xml:space="preserve"> </w:t>
      </w:r>
      <w:r>
        <w:t xml:space="preserve">for 41 profiles,</w:t>
      </w:r>
      <w:r>
        <w:t xml:space="preserve"> </w:t>
      </w:r>
      <m:oMath>
        <m:r>
          <m:t>95</m:t>
        </m:r>
      </m:oMath>
      <w:r>
        <w:t xml:space="preserve"> </w:t>
      </w:r>
      <w:r>
        <w:t xml:space="preserve">for four), which raises the pooled estimate from</w:t>
      </w:r>
      <w:r>
        <w:t xml:space="preserve"> </w:t>
      </w:r>
      <m:oMath>
        <m:r>
          <m:t>25.2</m:t>
        </m:r>
        <m:r>
          <m:rPr>
            <m:sty m:val="p"/>
          </m:rPr>
          <m:t>%</m:t>
        </m:r>
      </m:oMath>
      <w:r>
        <w:t xml:space="preserve"> </w:t>
      </w:r>
      <w:r>
        <w:t xml:space="preserve">to 25.45%. 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iCs/>
        </w:rPr>
        <w:t xml:space="preserve">pure within-cell seed variance</w:t>
      </w:r>
      <w:r>
        <w:t xml:space="preserve"> </w:t>
      </w:r>
      <w:r>
        <w:t xml:space="preserve">as the sum of squares across</w:t>
      </w:r>
      <w:r>
        <w:t xml:space="preserve"> </w:t>
      </w:r>
      <w:r>
        <w:t xml:space="preserve">the three seeds within each identical item</w:t>
      </w:r>
      <m:oMath>
        <m:r>
          <m:rPr>
            <m:sty m:val="p"/>
          </m:rPr>
          <m:t>×</m:t>
        </m:r>
      </m:oMath>
      <w:r>
        <w:t xml:space="preserve">specification cell, divided by the total sum of squares.</w:t>
      </w:r>
      <w:r>
        <w:t xml:space="preserve"> </w:t>
      </w:r>
      <w:r>
        <w:t xml:space="preserve">The difference between the OLS residual and this pure-seed component is reported as</w:t>
      </w:r>
      <w:r>
        <w:t xml:space="preserve"> </w:t>
      </w:r>
      <w:r>
        <w:t xml:space="preserve">“other unexplained”</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profile-clustered percentile bootstrap resampling over the underlying firm profiles, instead of over</w:t>
      </w:r>
      <w:r>
        <w:t xml:space="preserve"> </w:t>
      </w:r>
      <w:r>
        <w:t xml:space="preserve">individual model calls, thereby preserving dependence among repeated elicitations of the same profile. We</w:t>
      </w:r>
      <w:r>
        <w:t xml:space="preserve"> </w:t>
      </w:r>
      <w:r>
        <w:t xml:space="preserve">report the variance shares (item and pure-seed) and the IG/HY flip rate with</w:t>
      </w:r>
      <w:r>
        <w:t xml:space="preserve"> </w:t>
      </w:r>
      <w:r>
        <w:t xml:space="preserve">two-sided 95% confidence intervals (2</w:t>
      </w:r>
      <w:r>
        <w:t xml:space="preserve">,</w:t>
      </w:r>
      <w:r>
        <w:t xml:space="preserve">000 replicates for the flip rate, 1</w:t>
      </w:r>
      <w:r>
        <w:t xml:space="preserve">,</w:t>
      </w:r>
      <w:r>
        <w:t xml:space="preserve">000 for the</w:t>
      </w:r>
      <w:r>
        <w:t xml:space="preserve"> </w:t>
      </w:r>
      <w:r>
        <w:t xml:space="preserve">variance-share and specification-curve quantities). Specification invariance under the temperature-0-honored</w:t>
      </w:r>
      <w:r>
        <w:t xml:space="preserve"> </w:t>
      </w:r>
      <w:r>
        <w:t xml:space="preserve">setting is tested on the provider-setting combination whose metadata confirm that temperature was</w:t>
      </w:r>
      <w:r>
        <w:t xml:space="preserve"> </w:t>
      </w:r>
      <w:r>
        <w:t xml:space="preserve">honored (Google at temperature 0). We test a rating-invariance null: specification-condition assignments</w:t>
      </w:r>
      <w:r>
        <w:t xml:space="preserve"> </w:t>
      </w:r>
      <w:r>
        <w:t xml:space="preserve">are permuted across profiles (rather than permuting accuracy labels), and the statistic is the</w:t>
      </w:r>
      <w:r>
        <w:t xml:space="preserve"> </w:t>
      </w:r>
      <w:r>
        <w:t xml:space="preserve">between-specification spread of the item-centred letter rating, compared with the distribution generated</w:t>
      </w:r>
      <w:r>
        <w:t xml:space="preserve"> </w:t>
      </w:r>
      <w:r>
        <w:t xml:space="preserve">by</w:t>
      </w:r>
      <w:r>
        <w:t xml:space="preserve"> </w:t>
      </w:r>
      <m:oMath>
        <m:r>
          <m:t>2</m:t>
        </m:r>
        <m:r>
          <m:rPr>
            <m:sty m:val="p"/>
          </m:rPr>
          <m:t>,</m:t>
        </m:r>
        <m:r>
          <m:t>000</m:t>
        </m:r>
      </m:oMath>
      <w:r>
        <w:t xml:space="preserve"> </w:t>
      </w:r>
      <w:r>
        <w:t xml:space="preserve">such permutations in a one-sided test,</w:t>
      </w:r>
      <w:r>
        <w:t xml:space="preserve"> </w:t>
      </w:r>
      <m:oMath>
        <m:r>
          <m:t>p</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oMath>
      <w:r>
        <w:t xml:space="preserve">, where</w:t>
      </w:r>
      <w:r>
        <w:t xml:space="preserve"> </w:t>
      </w:r>
      <m:oMath>
        <m:r>
          <m:t>k</m:t>
        </m:r>
      </m:oMath>
      <w:r>
        <w:t xml:space="preserve"> </w:t>
      </w:r>
      <w:r>
        <w:t xml:space="preserve">is the number of</w:t>
      </w:r>
      <w:r>
        <w:t xml:space="preserve"> </w:t>
      </w:r>
      <w:r>
        <w:t xml:space="preserve">permuted statistics at least as extreme as observed and</w:t>
      </w:r>
      <w:r>
        <w:t xml:space="preserve"> </w:t>
      </w:r>
      <m:oMath>
        <m:r>
          <m:t>n</m:t>
        </m:r>
        <m:r>
          <m:rPr>
            <m:sty m:val="p"/>
          </m:rPr>
          <m:t>=</m:t>
        </m:r>
        <m:r>
          <m:t>2</m:t>
        </m:r>
        <m:r>
          <m:rPr>
            <m:sty m:val="p"/>
          </m:rPr>
          <m:t>,</m:t>
        </m:r>
        <m:r>
          <m:t>000</m:t>
        </m:r>
      </m:oMath>
      <w:r>
        <w:t xml:space="preserve">. The test is one-sided in that only an</w:t>
      </w:r>
      <w:r>
        <w:t xml:space="preserve"> </w:t>
      </w:r>
      <w:r>
        <w:t xml:space="preserve">observed spread greater than the permutation distribution provides evidence against specification</w:t>
      </w:r>
      <w:r>
        <w:t xml:space="preserve"> </w:t>
      </w:r>
      <w:r>
        <w:t xml:space="preserve">invariance. The real-firm arm is presented descriptively. The real-firm and constructed-battery</w:t>
      </w:r>
      <w:r>
        <w:t xml:space="preserve"> </w:t>
      </w:r>
      <w:r>
        <w:t xml:space="preserve">WATCH-stratum flip shares are compared by their issuer-clustered bootstrap difference and interval, with</w:t>
      </w:r>
      <w:r>
        <w:t xml:space="preserve"> </w:t>
      </w:r>
      <w:r>
        <w:t xml:space="preserve">no equivalence claim. The significance threshold is</w:t>
      </w:r>
      <w:r>
        <w:t xml:space="preserve"> </w:t>
      </w:r>
      <m:oMath>
        <m:r>
          <m:t>α</m:t>
        </m:r>
        <m:r>
          <m:rPr>
            <m:sty m:val="p"/>
          </m:rP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“significant”</w:t>
      </w:r>
      <w:r>
        <w:t xml:space="preserve"> </w:t>
      </w:r>
      <w:r>
        <w:t xml:space="preserve">for results accompanied by a</w:t>
      </w:r>
      <w:r>
        <w:t xml:space="preserve"> </w:t>
      </w:r>
      <m:oMath>
        <m:r>
          <m:t>p</m:t>
        </m:r>
      </m:oMath>
      <w:r>
        <w:t xml:space="preserve">-value and otherwise use</w:t>
      </w:r>
      <w:r>
        <w:t xml:space="preserve"> </w:t>
      </w:r>
      <w:r>
        <w:t xml:space="preserve">“substantial”</w:t>
      </w:r>
      <w:r>
        <w:t xml:space="preserve"> </w:t>
      </w:r>
      <w:r>
        <w:t xml:space="preserve">or</w:t>
      </w:r>
      <w:r>
        <w:t xml:space="preserve"> </w:t>
      </w:r>
      <w:r>
        <w:t xml:space="preserve">“considerable.”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developed in Section 4.</w:t>
      </w:r>
    </w:p>
    <w:p>
      <w:pPr>
        <w:pStyle w:val="BodyText"/>
      </w:pPr>
      <w:r>
        <w:t xml:space="preserve">Three post-hoc analyses are run offline from the frozen corpora. The</w:t>
      </w:r>
      <w:r>
        <w:t xml:space="preserve"> </w:t>
      </w:r>
      <w:r>
        <w:t xml:space="preserve">specification-instability index is evaluated descriptively on a 16/16 held-out-specification</w:t>
      </w:r>
      <w:r>
        <w:t xml:space="preserve"> </w:t>
      </w:r>
      <w:r>
        <w:t xml:space="preserve">split and benchmarked against simpler measures of elicitation disagreement. No operating threshold</w:t>
      </w:r>
      <w:r>
        <w:t xml:space="preserve"> </w:t>
      </w:r>
      <w:r>
        <w:t xml:space="preserve">is proposed or validated. The range of variance explained by the</w:t>
      </w:r>
      <w:r>
        <w:t xml:space="preserve"> </w:t>
      </w:r>
      <w:r>
        <w:t xml:space="preserve">elicitation axes is described in a main effects model, a main plus two-way interaction model, and an</w:t>
      </w:r>
      <w:r>
        <w:t xml:space="preserve"> </w:t>
      </w:r>
      <w:r>
        <w:t xml:space="preserve">issuer-out-of-sample regularized model, and the real-firm external-benchmark specification curve is tested</w:t>
      </w:r>
      <w:r>
        <w:t xml:space="preserve"> </w:t>
      </w:r>
      <w:r>
        <w:t xml:space="preserve">with an issuer-preserving permutation (specification labels permuted within issuer). The</w:t>
      </w:r>
      <w:r>
        <w:t xml:space="preserve"> </w:t>
      </w:r>
      <w:r>
        <w:t xml:space="preserve">reasoning-architecture arm (Section 3.9) is frozen under</w:t>
      </w:r>
      <w:r>
        <w:t xml:space="preserve"> </w:t>
      </w:r>
      <w:r>
        <w:rPr>
          <w:rStyle w:val="VerbatimChar"/>
        </w:rPr>
        <w:t xml:space="preserve">MANIFEST_REASONING.sha256</w:t>
      </w:r>
      <w:r>
        <w:t xml:space="preserve">.</w:t>
      </w:r>
    </w:p>
    <w:bookmarkEnd w:id="78"/>
    <w:bookmarkEnd w:id="79"/>
    <w:bookmarkStart w:id="80" w:name="real-firm-arm"/>
    <w:p>
      <w:pPr>
        <w:pStyle w:val="Heading2"/>
      </w:pPr>
      <w:r>
        <w:rPr>
          <w:rStyle w:val="SectionNumber"/>
        </w:rPr>
        <w:t xml:space="preserve">6.4</w:t>
      </w:r>
      <w:r>
        <w:tab/>
      </w:r>
      <w:r>
        <w:t xml:space="preserve">Real-firm arm</w:t>
      </w:r>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 source. Where 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 profiles. 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rPr>
            <m:sty m:val="p"/>
          </m:rPr>
          <m:t>[</m:t>
        </m:r>
        <m:r>
          <m:t>0.6</m:t>
        </m:r>
        <m:r>
          <m:rPr>
            <m:sty m:val="p"/>
          </m:rPr>
          <m:t>,</m:t>
        </m:r>
        <m:r>
          <m:t>1.7</m:t>
        </m:r>
        <m:r>
          <m:rPr>
            <m:sty m:val="p"/>
          </m:rP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fingerprint-identification threshold.</w:t>
      </w:r>
    </w:p>
    <w:p>
      <w:pPr>
        <w:pStyle w:val="BodyText"/>
      </w:pPr>
      <w:r>
        <w:t xml:space="preserve">Each retained perturbed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 reference. The primary comparison is stability across specifications.</w:t>
      </w:r>
    </w:p>
    <w:bookmarkEnd w:id="80"/>
    <w:bookmarkStart w:id="81" w:name="reproducibility"/>
    <w:p>
      <w:pPr>
        <w:pStyle w:val="Heading2"/>
      </w:pPr>
      <w:r>
        <w:rPr>
          <w:rStyle w:val="SectionNumber"/>
        </w:rPr>
        <w:t xml:space="preserve">6.5</w:t>
      </w:r>
      <w:r>
        <w:tab/>
      </w:r>
      <w:r>
        <w:t xml:space="preserve">Reproducibility</w:t>
      </w:r>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bookmarkEnd w:id="81"/>
    <w:bookmarkEnd w:id="82"/>
    <w:bookmarkStart w:id="83" w:name="X1f74eb43af444059c7518034463b6c89b1cacf4"/>
    <w:p>
      <w:pPr>
        <w:pStyle w:val="Heading1"/>
      </w:pPr>
      <w:r>
        <w:t xml:space="preserve">Declaration of generative AI and AI-assisted technologies in the manuscript preparation process</w:t>
      </w:r>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 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bookmarkEnd w:id="83"/>
    <w:bookmarkStart w:id="84" w:name="declaration-of-competing-interest"/>
    <w:p>
      <w:pPr>
        <w:pStyle w:val="Heading1"/>
      </w:pPr>
      <w:r>
        <w:t xml:space="preserve">Declaration of competing interest</w:t>
      </w:r>
    </w:p>
    <w:p>
      <w:pPr>
        <w:pStyle w:val="FirstParagraph"/>
      </w:pPr>
      <w:r>
        <w:t xml:space="preserve">S.C. and R.C. each declare no competing interests.</w:t>
      </w:r>
    </w:p>
    <w:bookmarkEnd w:id="84"/>
    <w:bookmarkStart w:id="85" w:name="funding"/>
    <w:p>
      <w:pPr>
        <w:pStyle w:val="Heading1"/>
      </w:pPr>
      <w:r>
        <w:t xml:space="preserve">Funding</w:t>
      </w:r>
    </w:p>
    <w:p>
      <w:pPr>
        <w:pStyle w:val="FirstParagraph"/>
      </w:pPr>
      <w:r>
        <w:t xml:space="preserve">This research received no external funding.</w:t>
      </w:r>
    </w:p>
    <w:bookmarkEnd w:id="85"/>
    <w:bookmarkStart w:id="86" w:name="ethics"/>
    <w:p>
      <w:pPr>
        <w:pStyle w:val="Heading1"/>
      </w:pPr>
      <w:r>
        <w:t xml:space="preserve">Ethics</w:t>
      </w:r>
    </w:p>
    <w:p>
      <w:pPr>
        <w:pStyle w:val="FirstParagraph"/>
      </w:pPr>
      <w:r>
        <w:t xml:space="preserve">This study did not involve human participants, human tissue, or animal subjects, and used no personally</w:t>
      </w:r>
      <w:r>
        <w:t xml:space="preserve"> </w:t>
      </w:r>
      <w:r>
        <w:t xml:space="preserve">identifiable or sensitive personal data. Ethical 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bookmarkEnd w:id="86"/>
    <w:bookmarkStart w:id="89" w:name="data-availability"/>
    <w:p>
      <w:pPr>
        <w:pStyle w:val="Heading1"/>
      </w:pPr>
      <w:r>
        <w:t xml:space="preserve">Data availability</w:t>
      </w:r>
    </w:p>
    <w:p>
      <w:pPr>
        <w:pStyle w:val="FirstParagraph"/>
      </w:pPr>
      <w:r>
        <w:t xml:space="preserve">All data and code required to reproduce the study are openly available in a deterministic, offline</w:t>
      </w:r>
      <w:r>
        <w:t xml:space="preserve"> </w:t>
      </w:r>
      <w:r>
        <w:t xml:space="preserve">reproducibility capsule archived on Zenodo (Chincholikar and Chawla, 2026)</w:t>
      </w:r>
      <w:r>
        <w:t xml:space="preserve"> </w:t>
      </w:r>
      <w:r>
        <w:t xml:space="preserve">(</w:t>
      </w:r>
      <w:hyperlink r:id="rId87">
        <w:r>
          <w:rPr>
            <w:rStyle w:val="Hyperlink"/>
          </w:rPr>
          <w:t xml:space="preserve">https://doi.org/10.5281/zenodo.21953934</w:t>
        </w:r>
      </w:hyperlink>
      <w:r>
        <w:t xml:space="preserve">, MIT license), mirrored in the source repository at</w:t>
      </w:r>
      <w:r>
        <w:t xml:space="preserve"> </w:t>
      </w:r>
      <w:hyperlink r:id="rId88">
        <w:r>
          <w:rPr>
            <w:rStyle w:val="Hyperlink"/>
          </w:rPr>
          <w:t xml:space="preserve">https://github.com/samirrc2/llm-credit-rating-specification-curve</w:t>
        </w:r>
      </w:hyperlink>
      <w:r>
        <w:t xml:space="preserv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t xml:space="preserve">, 45 credit-health</w:t>
      </w:r>
      <w:r>
        <w:t xml:space="preserve"> </w:t>
      </w:r>
      <m:oMath>
        <m:r>
          <m:rPr>
            <m:sty m:val="p"/>
          </m:rPr>
          <m:t>+</m:t>
        </m:r>
      </m:oMath>
      <w:r>
        <w:t xml:space="preserve"> </w:t>
      </w:r>
      <w:r>
        <w:t xml:space="preserve">45 directional items), the specification grid, the prompt</w:t>
      </w:r>
      <w:r>
        <w:t xml:space="preserve"> </w:t>
      </w:r>
      <w:r>
        <w:t xml:space="preserve">paraphrases, and the rating scale.</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 panel, 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perturbed and fingerprint-screened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rPr>
            <m:sty m:val="p"/>
          </m:rP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t xml:space="preserve">.</w:t>
      </w:r>
      <w:r>
        <w:t xml:space="preserve"> </w:t>
      </w:r>
      <w:r>
        <w:t xml:space="preserve">The reasoning-architecture arm (</w:t>
      </w:r>
      <w:r>
        <w:rPr>
          <w:rStyle w:val="VerbatimChar"/>
        </w:rPr>
        <w:t xml:space="preserve">deepseek-r1</w:t>
      </w:r>
      <w:r>
        <w:t xml:space="preserve"> </w:t>
      </w:r>
      <w:r>
        <w:t xml:space="preserve">on the same grid) is in</w:t>
      </w:r>
      <w:r>
        <w:t xml:space="preserve"> </w:t>
      </w:r>
      <w:r>
        <w:rPr>
          <w:rStyle w:val="VerbatimChar"/>
        </w:rPr>
        <w:t xml:space="preserve">capture/reasoning_runs/</w:t>
      </w:r>
      <w:r>
        <w:t xml:space="preserve">,</w:t>
      </w:r>
      <w:r>
        <w:t xml:space="preserve"> </w:t>
      </w:r>
      <w:r>
        <w:t xml:space="preserve">fixed by</w:t>
      </w:r>
      <w:r>
        <w:t xml:space="preserve"> </w:t>
      </w:r>
      <w:r>
        <w:rPr>
          <w:rStyle w:val="VerbatimChar"/>
        </w:rPr>
        <w:t xml:space="preserve">MANIFEST_REASONING.sha256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(in the repository and the Zenodo deposit), documents the</w:t>
      </w:r>
      <w:r>
        <w:t xml:space="preserve"> </w:t>
      </w:r>
      <w:r>
        <w:t xml:space="preserve">complete archive, covering data inputs and provenance, every analysis script and its outputs, the one-command</w:t>
      </w:r>
      <w:r>
        <w:t xml:space="preserve"> </w:t>
      </w:r>
      <w:r>
        <w:t xml:space="preserve">reproduction, the verification and determinism procedure, and the pinned environment, so 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bookmarkEnd w:id="89"/>
    <w:bookmarkStart w:id="90" w:name="references"/>
    <w:p>
      <w:pPr>
        <w:pStyle w:val="Heading1"/>
      </w:pPr>
      <w:r>
        <w:t xml:space="preserve">References</w:t>
      </w:r>
    </w:p>
    <w:p>
      <w:pPr>
        <w:pStyle w:val="FirstParagraph"/>
      </w:pPr>
      <w:r>
        <w:t xml:space="preserve">Altman, E.I., 1968. Financial ratios, discriminant analysis and the prediction of corporate bankruptcy. The Journal of Finance 23, 589–609. doi:10.1111/j.1540-6261.1968.tb00843.x.</w:t>
      </w:r>
    </w:p>
    <w:p>
      <w:pPr>
        <w:pStyle w:val="BodyText"/>
      </w:pPr>
      <w:r>
        <w:t xml:space="preserve">Altman, E.I., 2005. An emerging market credit scoring system for corporate bonds. Emerging Markets Review 6, 311–323. doi:10.1016/j.ememar.2005.09.007.</w:t>
      </w:r>
    </w:p>
    <w:p>
      <w:pPr>
        <w:pStyle w:val="BodyText"/>
      </w:pPr>
      <w:r>
        <w:t xml:space="preserve">Altman, E.I., Hotchkiss, E., 2006. Corporate Financial Distress and Bankruptcy. 3rd ed., Wiley.</w:t>
      </w:r>
    </w:p>
    <w:p>
      <w:pPr>
        <w:pStyle w:val="BodyText"/>
      </w:pPr>
      <w:r>
        <w:t xml:space="preserve">Atil, B., Aykent, S., Chittams, A., Fu, L., Passonneau, R.J., Radcliffe, E., Rajagopal, G.R., Sloan, A., Tudrej, T., Ture, F., Wu, Z., Xu, L., Baldwin, B., 2024. Non-determinism of</w:t>
      </w:r>
      <w:r>
        <w:t xml:space="preserve"> </w:t>
      </w:r>
      <w:r>
        <w:t xml:space="preserve">“deterministic”</w:t>
      </w:r>
      <w:r>
        <w:t xml:space="preserve"> </w:t>
      </w:r>
      <w:r>
        <w:t xml:space="preserve">LLM settings. Technical Report. arXiv:2408.04667. doi:10.48550/arXiv.2408.04667.</w:t>
      </w:r>
    </w:p>
    <w:p>
      <w:pPr>
        <w:pStyle w:val="BodyText"/>
      </w:pPr>
      <w:r>
        <w:t xml:space="preserve">Basel Committee on Banking Supervision, 2013. Regulatory Consistency Assessment Programme (RCAP): Analysis of risk-weighted assets for credit risk in the banking book. Technical Report BCBS 256. Bank for International Settlements.</w:t>
      </w:r>
    </w:p>
    <w:p>
      <w:pPr>
        <w:pStyle w:val="BodyText"/>
      </w:pPr>
      <w:r>
        <w:t xml:space="preserve">Basel Committee on Banking Supervision, 2019. CRE20: Standardised approach: individual exposures. Technical Report. Basel Framework, Bank for International Settlements. In force 1 January 2023.</w:t>
      </w:r>
    </w:p>
    <w:p>
      <w:pPr>
        <w:pStyle w:val="BodyText"/>
      </w:pPr>
      <w:r>
        <w:t xml:space="preserve">Board of Governors of the Federal Reserve System and Office of the Comptroller of the Currency, 2011. Supervisory guidance on model risk management. Technical Report. SR Letter 11-7 / OCC Bulletin 2011-12.</w:t>
      </w:r>
    </w:p>
    <w:p>
      <w:pPr>
        <w:pStyle w:val="BodyText"/>
      </w:pPr>
      <w:r>
        <w:t xml:space="preserve">Bommasani, R., et al., 2021. On the opportunities and risks of foundation models. arXiv preprint arXiv:2108.07258 doi:10.48550/arXiv.2108.07258.</w:t>
      </w:r>
    </w:p>
    <w:p>
      <w:pPr>
        <w:pStyle w:val="BodyText"/>
      </w:pPr>
      <w:r>
        <w:t xml:space="preserve">Brown, T.B., et al., 2020. Language models are few-shot learners, in: Advances in Neural Information Processing Systems (NeurIPS).</w:t>
      </w:r>
    </w:p>
    <w:p>
      <w:pPr>
        <w:pStyle w:val="BodyText"/>
      </w:pPr>
      <w:r>
        <w:t xml:space="preserve">Camuffo, A., Gambardella, A., Kazemi, S., Malachowski, J., Pandey, A., 2026. Variance-aware LLM annotation for strategy research: Sources, diagnostics, and a protocol for reliable measurement. Technical Report. arXiv:2601.02370. doi:10.48550/arXiv.2601.02370.</w:t>
      </w:r>
    </w:p>
    <w:p>
      <w:pPr>
        <w:pStyle w:val="BodyText"/>
      </w:pPr>
      <w:r>
        <w:t xml:space="preserve">Cantor, R., Packer, F., 1997. Differences of opinion and selection bias in the credit rating industry. Journal of Banking &amp; Finance 21, 1395–1417. doi:10.1016/S0378-4266(97)00024-1.</w:t>
      </w:r>
    </w:p>
    <w:p>
      <w:pPr>
        <w:pStyle w:val="BodyText"/>
      </w:pPr>
      <w:r>
        <w:t xml:space="preserve">Chincholikar, S., Chawla, R., 2026. Evaluating llm-based credit rating systems: A pre-registered specification-curve analysis — reproducibility artifact. ://doi.org/10.5281/zenodo.21953934. doi:10.5281/zenodo.21953934. dataset and code.</w:t>
      </w:r>
    </w:p>
    <w:p>
      <w:pPr>
        <w:pStyle w:val="BodyText"/>
      </w:pPr>
      <w:r>
        <w:t xml:space="preserve">Chon, S., Kim, J., Kim, J., 2025. Multifaceted variability in LLM-driven stock recommendations. Finance Research Letters 86. doi:10.1016/j.frl.2025.108923.</w:t>
      </w:r>
    </w:p>
    <w:p>
      <w:pPr>
        <w:pStyle w:val="BodyText"/>
      </w:pPr>
      <w:r>
        <w:t xml:space="preserve">Cornaggia, J., Cornaggia, K.J., Israelsen, R.D., 2018. Credit ratings and the cost of municipal financing. Review of Financial Studies 31, 2038–2079. doi:10.1093/rfs/hhx094.</w:t>
      </w:r>
    </w:p>
    <w:p>
      <w:pPr>
        <w:pStyle w:val="BodyText"/>
      </w:pPr>
      <w:r>
        <w:t xml:space="preserve">Devlin, J., Chang, M.W., Lee, K., Toutanova, K., 2019. BERT: Pre-training of deep bidirectional transformers for language understanding, in: Proceedings of NAACL-HLT. doi:10.18653/v1/N19-1423.</w:t>
      </w:r>
    </w:p>
    <w:p>
      <w:pPr>
        <w:pStyle w:val="BodyText"/>
      </w:pPr>
      <w:r>
        <w:t xml:space="preserve">Drinkall, F., Pierrehumbert, J.B., Zohren, S., 2025. Forecasting credit ratings: A case study where traditional methods outperform generative LLMs, in: Proceedings of the Joint Workshop of FinNLP, FNP, and LLMFinLegal (COLING 2025), pp. 118–133.</w:t>
      </w:r>
    </w:p>
    <w:p>
      <w:pPr>
        <w:pStyle w:val="BodyText"/>
      </w:pPr>
      <w:r>
        <w:t xml:space="preserve">Farquhar, S., Kossen, J., Kuhn, L., Gal, Y., 2024. Detecting hallucinations in large language models using semantic entropy. Nature 630, 625–630. doi:10.1038/s41586-024-07421-0.</w:t>
      </w:r>
    </w:p>
    <w:p>
      <w:pPr>
        <w:pStyle w:val="BodyText"/>
      </w:pPr>
      <w:r>
        <w:t xml:space="preserve">García-Llorente, C., Olmeda, I., 2026. Large language models for banking supervision: Reliability evidence from European systemic banks. Finance Research Letters doi:10.1016/j.frl.2026.110440.</w:t>
      </w:r>
    </w:p>
    <w:p>
      <w:pPr>
        <w:pStyle w:val="BodyText"/>
      </w:pPr>
      <w:r>
        <w:t xml:space="preserve">Gelman, A., Loken, E., 2014. The statistical crisis in science. American Scientist 102, 460–465. doi:10.1511/2014.111.460.</w:t>
      </w:r>
    </w:p>
    <w:p>
      <w:pPr>
        <w:pStyle w:val="BodyText"/>
      </w:pPr>
      <w:r>
        <w:t xml:space="preserve">Hansen, A.L., Kazinnik, S., 2024. Can ChatGPT decipher Fedspeak? SSRN Electronic Journal doi:10.2139/ssrn.4399406.</w:t>
      </w:r>
    </w:p>
    <w:p>
      <w:pPr>
        <w:pStyle w:val="BodyText"/>
      </w:pPr>
      <w:r>
        <w:t xml:space="preserve">Hens, T., Nordlie, T., 2025. How good are LLMs in risk profiling? Finance Research Letters 85, 108102. doi:10.1016/j.frl.2025.108102.</w:t>
      </w:r>
    </w:p>
    <w:p>
      <w:pPr>
        <w:pStyle w:val="BodyText"/>
      </w:pPr>
      <w:r>
        <w:t xml:space="preserve">Kadavath, S., Conerly, T., Askell, A., Henighan, T., et al., 2022. Language models (mostly) know what they know. arXiv preprint arXiv:2207.05221 doi:10.48550/arXiv.2207.05221.</w:t>
      </w:r>
    </w:p>
    <w:p>
      <w:pPr>
        <w:pStyle w:val="BodyText"/>
      </w:pPr>
      <w:r>
        <w:t xml:space="preserve">Kaplan, J., McCandlish, S., Henighan, T., Brown, T.B., Chess, B., Child, R., Gray, S., Radford, A., Wu, J., Amodei, D., 2020. Scaling laws for neural language models. arXiv preprint arXiv:2001.08361 doi:10.48550/arXiv.2001.08361.</w:t>
      </w:r>
    </w:p>
    <w:p>
      <w:pPr>
        <w:pStyle w:val="BodyText"/>
      </w:pPr>
      <w:r>
        <w:t xml:space="preserve">Kliger, D., Sarig, O., 2000. The information value of bond ratings. Journal of Finance 55, 2879–2902. doi:10.1111/0022-1082.00311.</w:t>
      </w:r>
    </w:p>
    <w:p>
      <w:pPr>
        <w:pStyle w:val="BodyText"/>
      </w:pPr>
      <w:r>
        <w:t xml:space="preserve">Kuhn, L., Gal, Y., Farquhar, S., 2023. Semantic uncertainty: Linguistic invariances for uncertainty estimation in natural language generation, in: International Conference on Learning Representations (ICLR).</w:t>
      </w:r>
    </w:p>
    <w:p>
      <w:pPr>
        <w:pStyle w:val="BodyText"/>
      </w:pPr>
      <w:r>
        <w:t xml:space="preserve">Lin, S., Hilton, J., Evans, O., 2022. Teaching models to express their uncertainty in words. Transactions on Machine Learning Research (TMLR) .</w:t>
      </w:r>
    </w:p>
    <w:p>
      <w:pPr>
        <w:pStyle w:val="BodyText"/>
      </w:pPr>
      <w:r>
        <w:t xml:space="preserve">Lopez-Lira, A., Tang, Y., 2023. Can ChatGPT forecast stock price movements? return predictability and large language models. arXiv preprint arXiv:2304.07619 doi:10.48550/arXiv.2304.07619.</w:t>
      </w:r>
    </w:p>
    <w:p>
      <w:pPr>
        <w:pStyle w:val="BodyText"/>
      </w:pPr>
      <w:r>
        <w:t xml:space="preserve">Mizrahi, M., Kaplan, G., Malkin, D., Dror, R., Shahaf, D., Stanovsky, G., 2024. State of what art? a call for multi-prompt LLM evaluation. Transactions of the Association for Computational Linguistics 12. doi:10.1162/tacl_a_00681.</w:t>
      </w:r>
    </w:p>
    <w:p>
      <w:pPr>
        <w:pStyle w:val="BodyText"/>
      </w:pPr>
      <w:r>
        <w:t xml:space="preserve">Ohlson, J.A., 1980. Financial ratios and the probabilistic prediction of bankruptcy. Journal of Accounting Research 18, 109–131. doi:10.2307/2490395.</w:t>
      </w:r>
    </w:p>
    <w:p>
      <w:pPr>
        <w:pStyle w:val="BodyText"/>
      </w:pPr>
      <w:r>
        <w:t xml:space="preserve">OpenAI, 2023. GPT-4 technical report. arXiv preprint arXiv:2303.08774 doi:10.48550/arXiv.2303.08774.</w:t>
      </w:r>
    </w:p>
    <w:p>
      <w:pPr>
        <w:pStyle w:val="BodyText"/>
      </w:pPr>
      <w:r>
        <w:t xml:space="preserve">Ouyang, L., et al., 2022. Training language models to follow instructions with human feedback, in: Advances in Neural Information Processing Systems (NeurIPS).</w:t>
      </w:r>
    </w:p>
    <w:p>
      <w:pPr>
        <w:pStyle w:val="BodyText"/>
      </w:pPr>
      <w:r>
        <w:t xml:space="preserve">Sclar, M., Choi, Y., Tsvetkov, Y., Suhr, A., 2024. Quantifying language models’ sensitivity to spurious features in prompt design, in: International Conference on Learning Representations (ICLR).</w:t>
      </w:r>
    </w:p>
    <w:p>
      <w:pPr>
        <w:pStyle w:val="BodyText"/>
      </w:pPr>
      <w:r>
        <w:t xml:space="preserve">Simmons, J.P., Nelson, L.D., Simonsohn, U., 2011. False-positive psychology: Undisclosed flexibility in data collection and analysis allows presenting anything as significant. Psychological Science 22, 1359–1366. doi:10.1177/0956797611417632.</w:t>
      </w:r>
    </w:p>
    <w:p>
      <w:pPr>
        <w:pStyle w:val="BodyText"/>
      </w:pPr>
      <w:r>
        <w:t xml:space="preserve">Simonsohn, U., Simmons, J.P., Nelson, L.D., 2020. Specification curve analysis. Nature Human Behaviour 4, 1208–1214. doi:10.1038/s41562-020-0912-z.</w:t>
      </w:r>
    </w:p>
    <w:p>
      <w:pPr>
        <w:pStyle w:val="BodyText"/>
      </w:pPr>
      <w:r>
        <w:t xml:space="preserve">Steegen, S., Tuerlinckx, F., Gelman, A., Vanpaemel, W., 2016. Increasing transparency through a multiverse analysis. Perspectives on Psychological Science 11, 702–712. doi:10.1177/1745691616658637.</w:t>
      </w:r>
    </w:p>
    <w:p>
      <w:pPr>
        <w:pStyle w:val="BodyText"/>
      </w:pPr>
      <w:r>
        <w:t xml:space="preserve">Tang, T.T., 2009. Information asymmetry and firms’ credit market access: Evidence from Moody’s credit rating format refinement. Journal of Financial Economics 93, 325–351. doi:10.1016/j.jfineco.2008.07.007.</w:t>
      </w:r>
    </w:p>
    <w:p>
      <w:pPr>
        <w:pStyle w:val="BodyText"/>
      </w:pPr>
      <w:r>
        <w:t xml:space="preserve">Vaswani, A., Shazeer, N., Parmar, N., Uszkoreit, J., Jones, L., Gomez, A.N., Kaiser, L., Polosukhin, I., 2017. Attention is all you need, in: Advances in Neural Information Processing Systems (NeurIPS).</w:t>
      </w:r>
    </w:p>
    <w:p>
      <w:pPr>
        <w:pStyle w:val="BodyText"/>
      </w:pPr>
      <w:r>
        <w:t xml:space="preserve">Vickers, A.J., Elkin, E.B., 2006. Decision curve analysis: a novel method for evaluating prediction models. Medical Decision Making 26, 565–574. doi:10.1177/0272989X06295361.</w:t>
      </w:r>
    </w:p>
    <w:p>
      <w:pPr>
        <w:pStyle w:val="BodyText"/>
      </w:pPr>
      <w:r>
        <w:t xml:space="preserve">Wang, X., Wei, J., Schuurmans, D., Le, Q., Chi, E., Narang, S., Chowdhery, A., Zhou, D., 2023. Self-consistency improves chain of thought reasoning in language models, in: International Conference on Learning Representations (ICLR).</w:t>
      </w:r>
    </w:p>
    <w:p>
      <w:pPr>
        <w:pStyle w:val="BodyText"/>
      </w:pPr>
      <w:r>
        <w:t xml:space="preserve">Wu, S., Irsoy, O., Lu, S., Dabravolski, V., Dredze, M., Gehrmann, S., Kambadur, P., Rosenberg, D., Mann, G., 2023. BloombergGPT: A large language model for finance. arXiv preprint arXiv:2303.17564 doi:10.48550/arXiv.2303.17564.</w:t>
      </w:r>
    </w:p>
    <w:p>
      <w:pPr>
        <w:pStyle w:val="BodyText"/>
      </w:pPr>
      <w:r>
        <w:t xml:space="preserve">Xie, Q., Han, W., Zhang, X., Lai, Y., Peng, M., Lopez-Lira, A., Huang, J., 2023. PIXIU: A large language model, instruction data and evaluation benchmark for finance, in: Advances in Neural Information Processing Systems (NeurIPS).</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8" Target="media/rId48.pdf" /><Relationship Type="http://schemas.openxmlformats.org/officeDocument/2006/relationships/image" Id="rId20" Target="media/rId20.png" /><Relationship Type="http://schemas.openxmlformats.org/officeDocument/2006/relationships/image" Id="rId29" Target="media/rId29.pdf" /><Relationship Type="http://schemas.openxmlformats.org/officeDocument/2006/relationships/image" Id="rId33" Target="media/rId33.pdf" /><Relationship Type="http://schemas.openxmlformats.org/officeDocument/2006/relationships/hyperlink" Id="rId87" Target="https://doi.org/10.5281/zenodo.21953934" TargetMode="External" /><Relationship Type="http://schemas.openxmlformats.org/officeDocument/2006/relationships/hyperlink" Id="rId88" Target="https://github.com/samirrc2/llm-credit-rating-specification-curve"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5281/zenodo.21953934" TargetMode="External" /><Relationship Type="http://schemas.openxmlformats.org/officeDocument/2006/relationships/hyperlink" Id="rId88" Target="https://github.com/samirrc2/llm-credit-rating-specification-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2026-10-14T23:23:37Z</dcterms:created>
  <dcterms:modified xsi:type="dcterms:W3CDTF">2026-10-14T23:23:37Z</dcterms:modified>
</cp:coreProperties>
</file>

<file path=docProps/custom.xml><?xml version="1.0" encoding="utf-8"?>
<Properties xmlns="http://schemas.openxmlformats.org/officeDocument/2006/custom-properties" xmlns:vt="http://schemas.openxmlformats.org/officeDocument/2006/docPropsVTypes"/>
</file>