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highlight w:val="yellow"/>
        </w:rP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 ORCID 0009-0007-2779-3492, 0009-0007-2807-3948</w:t>
      </w:r>
    </w:p>
    <w:bookmarkEnd w:id="10"/>
    <w:bookmarkStart w:id="11" w:name="keywords"/>
    <w:p>
      <w:pPr>
        <w:pStyle w:val="Heading1"/>
      </w:pPr>
      <w:r>
        <w:t xml:space="preserve">Keywords</w:t>
      </w:r>
    </w:p>
    <w:p>
      <w:pPr>
        <w:pStyle w:val="FirstParagraph"/>
      </w:pPr>
      <w:r>
        <w:rPr>
          <w:highlight w:val="yellow"/>
        </w:rPr>
        <w:t xml:space="preserve">Large Language Models (LLMs)</w:t>
      </w:r>
      <w:r>
        <w:t xml:space="preserve"> </w:t>
      </w:r>
      <w:r>
        <w:t xml:space="preserve">·</w:t>
      </w:r>
      <w:r>
        <w:t xml:space="preserve"> </w:t>
      </w:r>
      <w:r>
        <w:rPr>
          <w:highlight w:val="yellow"/>
        </w:rPr>
        <w:t xml:space="preserve">LLM Reliability</w:t>
      </w:r>
      <w:r>
        <w:t xml:space="preserve"> </w:t>
      </w:r>
      <w:r>
        <w:t xml:space="preserve">·</w:t>
      </w:r>
      <w:r>
        <w:t xml:space="preserve"> </w:t>
      </w:r>
      <w:r>
        <w:rPr>
          <w:highlight w:val="yellow"/>
        </w:rPr>
        <w:t xml:space="preserve">Prompt Sensitivity</w:t>
      </w:r>
      <w:r>
        <w:t xml:space="preserve"> </w:t>
      </w:r>
      <w:r>
        <w:t xml:space="preserve">·</w:t>
      </w:r>
      <w:r>
        <w:t xml:space="preserve"> </w:t>
      </w:r>
      <w:r>
        <w:rPr>
          <w:highlight w:val="yellow"/>
        </w:rPr>
        <w:t xml:space="preserve">Credit Risk Assessment</w:t>
      </w:r>
      <w:r>
        <w:t xml:space="preserve"> </w:t>
      </w:r>
      <w:r>
        <w:t xml:space="preserve">·</w:t>
      </w:r>
      <w:r>
        <w:t xml:space="preserve"> </w:t>
      </w:r>
      <w:r>
        <w:rPr>
          <w:highlight w:val="yellow"/>
        </w:rPr>
        <w:t xml:space="preserve">Model Risk Management</w:t>
      </w:r>
      <w:r>
        <w:t xml:space="preserve"> </w:t>
      </w:r>
      <w:r>
        <w:t xml:space="preserve">·</w:t>
      </w:r>
      <w:r>
        <w:t xml:space="preserve"> </w:t>
      </w:r>
      <w:r>
        <w:rPr>
          <w:highlight w:val="yellow"/>
        </w:rPr>
        <w:t xml:space="preserve">Specification-Curve Analysis</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 dispersion index predicts held-out IG/HY instability (ROC-AUC 0.94) but, at this binary resolution, is ordinally equivalent to 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 substantive content and were included in the analysis</w:t>
      </w:r>
      <w:r>
        <w:t xml:space="preserve"> </w:t>
      </w:r>
      <w:r>
        <w:t xml:space="preserve">(Section 6.2</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w:t>
      </w:r>
      <w:r>
        <w:t xml:space="preserve"> </w:t>
      </w:r>
      <w:r>
        <w:rPr>
          <w:strike/>
        </w:rPr>
        <w:t xml:space="preserve">is dependent on the modeling choice, but is low for all three</w:t>
      </w:r>
      <w:r>
        <w:t xml:space="preserve"> </w:t>
      </w:r>
      <w:r>
        <w:rPr>
          <w:highlight w:val="yellow"/>
        </w:rPr>
        <w:t xml:space="preserve">depends on the modeling choice but remains low across all three specifications</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rPr>
          <w:strike/>
        </w:rPr>
        <w:t xml:space="preserve">of sample, confirming that individual-axis attribution is not identified and that the decomposition should</w:t>
      </w:r>
      <w:r>
        <w:rPr>
          <w:strike/>
        </w:rPr>
        <w:t xml:space="preserve"> </w:t>
      </w:r>
      <w:r>
        <w:rPr>
          <w:strike/>
        </w:rPr>
        <w:t xml:space="preserve">be read in a descriptive way.</w:t>
      </w:r>
      <w:r>
        <w:t xml:space="preserve"> </w:t>
      </w: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rPr>
          <w:highlight w:val="yellow"/>
        </w:rPr>
        <w:t xml:space="preserve">of sample. Separately, the aliasing analysis in</w:t>
      </w:r>
      <w:r>
        <w:t xml:space="preserve"> </w:t>
      </w:r>
      <w:r>
        <w:t xml:space="preserve">Section 6.2</w:t>
      </w:r>
      <w:r>
        <w:t xml:space="preserve"> </w:t>
      </w:r>
      <w:r>
        <w:rPr>
          <w:highlight w:val="yellow"/>
        </w:rPr>
        <w:t xml:space="preserve">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w:t>
      </w:r>
      <w:r>
        <w:t xml:space="preserve"> </w:t>
      </w:r>
      <w:r>
        <w:rPr>
          <w:strike/>
        </w:rPr>
        <w:t xml:space="preserve">cross-specification agreement as we move from</w:t>
      </w:r>
      <w:r>
        <w:rPr>
          <w:strike/>
        </w:rPr>
        <w:t xml:space="preserve"> </w:t>
      </w:r>
      <w:r>
        <w:rPr>
          <w:strike/>
        </w:rPr>
        <w:t xml:space="preserve">the full 21-grade letter-rating scale to</w:t>
      </w:r>
      <w:r>
        <w:t xml:space="preserve"> </w:t>
      </w:r>
      <w:r>
        <w:rPr>
          <w:highlight w:val="yellow"/>
        </w:rPr>
        <w:t xml:space="preserve">agreement at four rating resolutions: the full 21-grade letter-rating scale,</w:t>
      </w:r>
      <w:r>
        <w:t xml:space="preserve"> </w:t>
      </w:r>
      <w:r>
        <w:t xml:space="preserve">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w:t>
      </w:r>
      <w:r>
        <w:t xml:space="preserve"> </w:t>
      </w:r>
      <w:r>
        <w:rPr>
          <w:strike/>
        </w:rPr>
        <w:t xml:space="preserve">cross-specification</w:t>
      </w:r>
      <w:r>
        <w:t xml:space="preserve"> </w:t>
      </w:r>
      <w:r>
        <w:rPr>
          <w:highlight w:val="yellow"/>
        </w:rPr>
        <w:t xml:space="preserve">matched-pair</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w:t>
      </w:r>
      <w:r>
        <w:t xml:space="preserve"> </w:t>
      </w:r>
      <w:r>
        <w:t xml:space="preserve">Section 4.3</w:t>
      </w:r>
      <w:r>
        <w:t xml:space="preserve"> </w:t>
      </w:r>
      <w:r>
        <w:rPr>
          <w:highlight w:val="yellow"/>
        </w:rPr>
        <w:t xml:space="preserve">shows that the index is ordinally equivalent to counting dissents at the binary IG/HY gate and provides no incremental discrimination at the three-band resolution in the present analyses, despite the measures not being exactly rank-equivalent.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that the index is a monotonic transformation of</w:t>
      </w:r>
      <w:r>
        <w:t xml:space="preserve"> </w:t>
      </w:r>
      <m:oMath>
        <m:r>
          <m:t>d</m:t>
        </m:r>
      </m:oMath>
      <w:r>
        <w:t xml:space="preserve"> </w:t>
      </w:r>
      <w:r>
        <w:rPr>
          <w:highlight w:val="yellow"/>
        </w:rPr>
        <w:t xml:space="preserve">at the binary IG/HY gate and provides no incremental discrimination over</w:t>
      </w:r>
      <w:r>
        <w:t xml:space="preserve"> </w:t>
      </w:r>
      <m:oMath>
        <m:r>
          <m:t>d</m:t>
        </m:r>
      </m:oMath>
      <w:r>
        <w:t xml:space="preserve"> </w:t>
      </w:r>
      <w:r>
        <w:rPr>
          <w:highlight w:val="yellow"/>
        </w:rP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At</w:t>
      </w:r>
      <w:r>
        <w:t xml:space="preserve"> </w:t>
      </w:r>
      <m:oMath>
        <m:sSub>
          <m:e>
            <m:r>
              <m:t>p</m:t>
            </m:r>
          </m:e>
          <m:sub>
            <m:r>
              <m:t>t</m:t>
            </m:r>
          </m:sub>
        </m:sSub>
        <m:r>
          <m:rPr>
            <m:sty m:val="p"/>
          </m:rPr>
          <m:t>=</m:t>
        </m:r>
        <m:r>
          <m:t>0.60</m:t>
        </m:r>
      </m:oMath>
      <w:r>
        <w:rPr>
          <w:highlight w:val="yellow"/>
        </w:rP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rPr>
          <w:highlight w:val="yellow"/>
        </w:rP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w:t>
      </w:r>
      <w:r>
        <w:rPr>
          <w:highlight w:val="yellow"/>
        </w:rPr>
        <w:t xml:space="preserve">).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constant across threshold probabilities because this rule produces no false positives in the evaluated sample.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9"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7">
        <w:r>
          <w:rPr>
            <w:rStyle w:val="Hyperlink"/>
          </w:rPr>
          <w:t xml:space="preserve">https://doi.org/10.5281/zenodo.21953934</w:t>
        </w:r>
      </w:hyperlink>
      <w:r>
        <w:rPr>
          <w:highlight w:val="yellow"/>
        </w:rPr>
        <w:t xml:space="preserve">,</w:t>
      </w:r>
      <w:r>
        <w:t xml:space="preserve"> </w:t>
      </w:r>
      <w:r>
        <w:t xml:space="preserve">MIT license), mirrored in the source repository at</w:t>
      </w:r>
      <w:r>
        <w:t xml:space="preserve"> </w:t>
      </w:r>
      <w:hyperlink r:id="rId88">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9"/>
    <w:bookmarkStart w:id="90"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2026-10-14T23:23:44Z</dcterms:created>
  <dcterms:modified xsi:type="dcterms:W3CDTF">2026-10-14T23:23:44Z</dcterms:modified>
</cp:coreProperties>
</file>

<file path=docProps/custom.xml><?xml version="1.0" encoding="utf-8"?>
<Properties xmlns="http://schemas.openxmlformats.org/officeDocument/2006/custom-properties" xmlns:vt="http://schemas.openxmlformats.org/officeDocument/2006/docPropsVTypes"/>
</file>