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6.png" ContentType="image/png"/>
  <Override PartName="/word/media/rId29.png" ContentType="image/png"/>
  <Override PartName="/word/media/rId35.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LLM-Based</w:t>
      </w:r>
      <w:r>
        <w:t xml:space="preserve"> </w:t>
      </w:r>
      <w:r>
        <w:t xml:space="preserve">Credit</w:t>
      </w:r>
      <w:r>
        <w:t xml:space="preserve"> </w:t>
      </w:r>
      <w:r>
        <w:t xml:space="preserve">Rating</w:t>
      </w:r>
      <w:r>
        <w:t xml:space="preserve"> </w:t>
      </w:r>
      <w:r>
        <w:t xml:space="preserve">Systems:</w:t>
      </w:r>
      <w:r>
        <w:t xml:space="preserve"> </w:t>
      </w:r>
      <w:r>
        <w:t xml:space="preserve">A</w:t>
      </w:r>
      <w:r>
        <w:t xml:space="preserve"> </w:t>
      </w:r>
      <w:r>
        <w:t xml:space="preserve">Pre-Registered</w:t>
      </w:r>
      <w:r>
        <w:t xml:space="preserve"> </w:t>
      </w:r>
      <w:r>
        <w:t xml:space="preserve">Specification-Curve</w:t>
      </w:r>
      <w:r>
        <w:t xml:space="preserve"> </w:t>
      </w:r>
      <w:r>
        <w:t xml:space="preserve">Analysis</w:t>
      </w:r>
    </w:p>
    <w:p>
      <w:pPr>
        <w:pStyle w:val="Author"/>
      </w:pPr>
      <w:r>
        <w:t xml:space="preserve">Anonymous</w:t>
      </w:r>
    </w:p>
    <w:p>
      <w:pPr>
        <w:pStyle w:val="Abstract"/>
      </w:pPr>
      <w:r>
        <w:t xml:space="preserve">Large</w:t>
      </w:r>
      <w:r>
        <w:t xml:space="preserve"> </w:t>
      </w:r>
      <w:r>
        <w:t xml:space="preserve">language</w:t>
      </w:r>
      <w:r>
        <w:t xml:space="preserve"> </w:t>
      </w:r>
      <w:r>
        <w:t xml:space="preserve">models</w:t>
      </w:r>
      <w:r>
        <w:t xml:space="preserve"> </w:t>
      </w:r>
      <w:r>
        <w:t xml:space="preserve">(LLMs)</w:t>
      </w:r>
      <w:r>
        <w:t xml:space="preserve"> </w:t>
      </w:r>
      <w:r>
        <w:t xml:space="preserve">are</w:t>
      </w:r>
      <w:r>
        <w:t xml:space="preserve"> </w:t>
      </w:r>
      <w:r>
        <w:t xml:space="preserve">increasingly</w:t>
      </w:r>
      <w:r>
        <w:t xml:space="preserve"> </w:t>
      </w:r>
      <w:r>
        <w:t xml:space="preserve">used</w:t>
      </w:r>
      <w:r>
        <w:t xml:space="preserve"> </w:t>
      </w:r>
      <w:r>
        <w:t xml:space="preserve">to</w:t>
      </w:r>
      <w:r>
        <w:t xml:space="preserve"> </w:t>
      </w:r>
      <w:r>
        <w:t xml:space="preserve">support</w:t>
      </w:r>
      <w:r>
        <w:t xml:space="preserve"> </w:t>
      </w:r>
      <w:r>
        <w:t xml:space="preserve">credit</w:t>
      </w:r>
      <w:r>
        <w:t xml:space="preserve"> </w:t>
      </w:r>
      <w:r>
        <w:t xml:space="preserve">assessments,</w:t>
      </w:r>
      <w:r>
        <w:t xml:space="preserve"> </w:t>
      </w:r>
      <w:r>
        <w:t xml:space="preserve">but</w:t>
      </w:r>
      <w:r>
        <w:t xml:space="preserve"> </w:t>
      </w:r>
      <w:r>
        <w:t xml:space="preserve">it</w:t>
      </w:r>
      <w:r>
        <w:t xml:space="preserve"> </w:t>
      </w:r>
      <w:r>
        <w:t xml:space="preserve">is</w:t>
      </w:r>
      <w:r>
        <w:t xml:space="preserve"> </w:t>
      </w:r>
      <w:r>
        <w:t xml:space="preserve">unclear</w:t>
      </w:r>
      <w:r>
        <w:t xml:space="preserve"> </w:t>
      </w:r>
      <w:r>
        <w:t xml:space="preserve">whether</w:t>
      </w:r>
      <w:r>
        <w:t xml:space="preserve"> </w:t>
      </w:r>
      <w:r>
        <w:t xml:space="preserve">elicitation</w:t>
      </w:r>
      <w:r>
        <w:t xml:space="preserve"> </w:t>
      </w:r>
      <w:r>
        <w:t xml:space="preserve">choices</w:t>
      </w:r>
      <w:r>
        <w:t xml:space="preserve"> </w:t>
      </w:r>
      <w:r>
        <w:t xml:space="preserve">merely</w:t>
      </w:r>
      <w:r>
        <w:t xml:space="preserve"> </w:t>
      </w:r>
      <w:r>
        <w:t xml:space="preserve">reveal</w:t>
      </w:r>
      <w:r>
        <w:t xml:space="preserve"> </w:t>
      </w:r>
      <w:r>
        <w:t xml:space="preserve">a</w:t>
      </w:r>
      <w:r>
        <w:t xml:space="preserve"> </w:t>
      </w:r>
      <w:r>
        <w:t xml:space="preserve">stable</w:t>
      </w:r>
      <w:r>
        <w:t xml:space="preserve"> </w:t>
      </w:r>
      <w:r>
        <w:t xml:space="preserve">credit</w:t>
      </w:r>
      <w:r>
        <w:t xml:space="preserve"> </w:t>
      </w:r>
      <w:r>
        <w:t xml:space="preserve">view</w:t>
      </w:r>
      <w:r>
        <w:t xml:space="preserve"> </w:t>
      </w:r>
      <w:r>
        <w:t xml:space="preserve">or</w:t>
      </w:r>
      <w:r>
        <w:t xml:space="preserve"> </w:t>
      </w:r>
      <w:r>
        <w:t xml:space="preserve">shape</w:t>
      </w:r>
      <w:r>
        <w:t xml:space="preserve"> </w:t>
      </w:r>
      <w:r>
        <w:t xml:space="preserve">the</w:t>
      </w:r>
      <w:r>
        <w:t xml:space="preserve"> </w:t>
      </w:r>
      <w:r>
        <w:t xml:space="preserve">rating.</w:t>
      </w:r>
      <w:r>
        <w:t xml:space="preserve"> </w:t>
      </w:r>
      <w:r>
        <w:t xml:space="preserve">Using</w:t>
      </w:r>
      <w:r>
        <w:t xml:space="preserve"> </w:t>
      </w:r>
      <w:r>
        <w:t xml:space="preserve">a</w:t>
      </w:r>
      <w:r>
        <w:t xml:space="preserve"> </w:t>
      </w:r>
      <w:r>
        <w:t xml:space="preserve">pre-registered</w:t>
      </w:r>
      <w:r>
        <w:t xml:space="preserve"> </w:t>
      </w:r>
      <w:r>
        <w:t xml:space="preserve">specification-curve</w:t>
      </w:r>
      <w:r>
        <w:t xml:space="preserve"> </w:t>
      </w:r>
      <w:r>
        <w:t xml:space="preserve">design</w:t>
      </w:r>
      <w:r>
        <w:t xml:space="preserve"> </w:t>
      </w:r>
      <w:r>
        <w:t xml:space="preserve">that</w:t>
      </w:r>
      <w:r>
        <w:t xml:space="preserve"> </w:t>
      </w:r>
      <w:r>
        <w:t xml:space="preserve">holds</w:t>
      </w:r>
      <w:r>
        <w:t xml:space="preserve"> </w:t>
      </w:r>
      <w:r>
        <w:t xml:space="preserve">fundamentals</w:t>
      </w:r>
      <w:r>
        <w:t xml:space="preserve"> </w:t>
      </w:r>
      <w:r>
        <w:t xml:space="preserve">fixed</w:t>
      </w:r>
      <w:r>
        <w:t xml:space="preserve"> </w:t>
      </w:r>
      <w:r>
        <w:t xml:space="preserve">while</w:t>
      </w:r>
      <w:r>
        <w:t xml:space="preserve"> </w:t>
      </w:r>
      <w:r>
        <w:t xml:space="preserve">varying</w:t>
      </w:r>
      <w:r>
        <w:t xml:space="preserve"> </w:t>
      </w:r>
      <w:r>
        <w:t xml:space="preserve">how</w:t>
      </w:r>
      <w:r>
        <w:t xml:space="preserve"> </w:t>
      </w:r>
      <w:r>
        <w:t xml:space="preserve">the</w:t>
      </w:r>
      <w:r>
        <w:t xml:space="preserve"> </w:t>
      </w:r>
      <w:r>
        <w:t xml:space="preserve">assessment</w:t>
      </w:r>
      <w:r>
        <w:t xml:space="preserve"> </w:t>
      </w:r>
      <w:r>
        <w:t xml:space="preserve">is</w:t>
      </w:r>
      <w:r>
        <w:t xml:space="preserve"> </w:t>
      </w:r>
      <w:r>
        <w:t xml:space="preserve">elicited,</w:t>
      </w:r>
      <w:r>
        <w:t xml:space="preserve"> </w:t>
      </w:r>
      <w:r>
        <w:t xml:space="preserve">we</w:t>
      </w:r>
      <w:r>
        <w:t xml:space="preserve"> </w:t>
      </w:r>
      <w:r>
        <w:t xml:space="preserve">evaluate</w:t>
      </w:r>
      <w:r>
        <w:t xml:space="preserve"> </w:t>
      </w:r>
      <w:r>
        <w:t xml:space="preserve">a</w:t>
      </w:r>
      <w:r>
        <w:t xml:space="preserve"> </w:t>
      </w:r>
      <w:r>
        <w:t xml:space="preserve">fixed</w:t>
      </w:r>
      <w:r>
        <w:t xml:space="preserve"> </w:t>
      </w:r>
      <w:r>
        <w:t xml:space="preserve">90-item</w:t>
      </w:r>
      <w:r>
        <w:t xml:space="preserve"> </w:t>
      </w:r>
      <w:r>
        <w:t xml:space="preserve">battery</w:t>
      </w:r>
      <w:r>
        <w:t xml:space="preserve"> </w:t>
      </w:r>
      <w:r>
        <w:t xml:space="preserve">across</w:t>
      </w:r>
      <w:r>
        <w:t xml:space="preserve"> </w:t>
      </w:r>
      <w:r>
        <w:t xml:space="preserve">a</w:t>
      </w:r>
      <w:r>
        <w:t xml:space="preserve"> </w:t>
      </w:r>
      <w:r>
        <w:t xml:space="preserve">balanced</w:t>
      </w:r>
      <w:r>
        <w:t xml:space="preserve"> </w:t>
      </w:r>
      <w:r>
        <w:t xml:space="preserve">grid</w:t>
      </w:r>
      <w:r>
        <w:t xml:space="preserve"> </w:t>
      </w:r>
      <w:r>
        <w:t xml:space="preserve">of</w:t>
      </w:r>
      <w:r>
        <w:t xml:space="preserve"> </w:t>
      </w:r>
      <w:r>
        <w:t xml:space="preserve">model</w:t>
      </w:r>
      <w:r>
        <w:t xml:space="preserve"> </w:t>
      </w:r>
      <w:r>
        <w:t xml:space="preserve">version,</w:t>
      </w:r>
      <w:r>
        <w:t xml:space="preserve"> </w:t>
      </w:r>
      <w:r>
        <w:t xml:space="preserve">temperature,</w:t>
      </w:r>
      <w:r>
        <w:t xml:space="preserve"> </w:t>
      </w:r>
      <w:r>
        <w:t xml:space="preserve">prompt</w:t>
      </w:r>
      <w:r>
        <w:t xml:space="preserve"> </w:t>
      </w:r>
      <w:r>
        <w:t xml:space="preserve">paraphrase,</w:t>
      </w:r>
      <w:r>
        <w:t xml:space="preserve"> </w:t>
      </w:r>
      <w:r>
        <w:t xml:space="preserve">output</w:t>
      </w:r>
      <w:r>
        <w:t xml:space="preserve"> </w:t>
      </w:r>
      <w:r>
        <w:t xml:space="preserve">format,</w:t>
      </w:r>
      <w:r>
        <w:t xml:space="preserve"> </w:t>
      </w:r>
      <w:r>
        <w:t xml:space="preserve">few-shot</w:t>
      </w:r>
      <w:r>
        <w:t xml:space="preserve"> </w:t>
      </w:r>
      <w:r>
        <w:t xml:space="preserve">exemplars,</w:t>
      </w:r>
      <w:r>
        <w:t xml:space="preserve"> </w:t>
      </w:r>
      <w:r>
        <w:t xml:space="preserve">and</w:t>
      </w:r>
      <w:r>
        <w:t xml:space="preserve"> </w:t>
      </w:r>
      <w:r>
        <w:t xml:space="preserve">presentation</w:t>
      </w:r>
      <w:r>
        <w:t xml:space="preserve"> </w:t>
      </w:r>
      <w:r>
        <w:t xml:space="preserve">over</w:t>
      </w:r>
      <w:r>
        <w:t xml:space="preserve"> </w:t>
      </w:r>
      <w:r>
        <w:t xml:space="preserve">two</w:t>
      </w:r>
      <w:r>
        <w:t xml:space="preserve"> </w:t>
      </w:r>
      <w:r>
        <w:t xml:space="preserve">providers</w:t>
      </w:r>
      <w:r>
        <w:t xml:space="preserve"> </w:t>
      </w:r>
      <w:r>
        <w:t xml:space="preserve">(four</w:t>
      </w:r>
      <w:r>
        <w:t xml:space="preserve"> </w:t>
      </w:r>
      <w:r>
        <w:t xml:space="preserve">snapshots;</w:t>
      </w:r>
      <w:r>
        <w:t xml:space="preserve"> </w:t>
      </w:r>
      <w:r>
        <w:t xml:space="preserve">8</w:t>
      </w:r>
      <w:r>
        <w:t xml:space="preserve">,</w:t>
      </w:r>
      <w:r>
        <w:t xml:space="preserve">640</w:t>
      </w:r>
      <w:r>
        <w:t xml:space="preserve"> </w:t>
      </w:r>
      <w:r>
        <w:t xml:space="preserve">elicitations,</w:t>
      </w:r>
      <w:r>
        <w:t xml:space="preserve"> </w:t>
      </w:r>
      <w:r>
        <w:t xml:space="preserve">4</w:t>
      </w:r>
      <w:r>
        <w:t xml:space="preserve">,</w:t>
      </w:r>
      <w:r>
        <w:t xml:space="preserve">320</w:t>
      </w:r>
      <w:r>
        <w:t xml:space="preserve"> </w:t>
      </w:r>
      <w:r>
        <w:t xml:space="preserve">on</w:t>
      </w:r>
      <w:r>
        <w:t xml:space="preserve"> </w:t>
      </w:r>
      <w:r>
        <w:t xml:space="preserve">credit-health</w:t>
      </w:r>
      <w:r>
        <w:t xml:space="preserve"> </w:t>
      </w:r>
      <w:r>
        <w:t xml:space="preserve">profiles</w:t>
      </w:r>
      <w:r>
        <w:t xml:space="preserve"> </w:t>
      </w:r>
      <w:r>
        <w:t xml:space="preserve">benchmarked</w:t>
      </w:r>
      <w:r>
        <w:t xml:space="preserve"> </w:t>
      </w:r>
      <w:r>
        <w:t xml:space="preserve">to</w:t>
      </w:r>
      <w:r>
        <w:t xml:space="preserve"> </w:t>
      </w:r>
      <w:r>
        <w:t xml:space="preserve">Altman</w:t>
      </w:r>
      <w:r>
        <w:t xml:space="preserve"> </w:t>
      </w:r>
      <w:r>
        <w:t xml:space="preserve">Z</w:t>
      </w:r>
      <m:oMath>
        <m:r>
          <m:t>″</m:t>
        </m:r>
      </m:oMath>
      <w:r>
        <w:t xml:space="preserve">).</w:t>
      </w:r>
      <w:r>
        <w:t xml:space="preserve"> </w:t>
      </w:r>
      <w:r>
        <w:t xml:space="preserve">Our</w:t>
      </w:r>
      <w:r>
        <w:t xml:space="preserve"> </w:t>
      </w:r>
      <w:r>
        <w:t xml:space="preserve">estimand</w:t>
      </w:r>
      <w:r>
        <w:t xml:space="preserve"> </w:t>
      </w:r>
      <w:r>
        <w:t xml:space="preserve">is</w:t>
      </w:r>
      <w:r>
        <w:t xml:space="preserve"> </w:t>
      </w:r>
      <w:r>
        <w:t xml:space="preserve">stability,</w:t>
      </w:r>
      <w:r>
        <w:t xml:space="preserve"> </w:t>
      </w:r>
      <w:r>
        <w:t xml:space="preserve">not</w:t>
      </w:r>
      <w:r>
        <w:t xml:space="preserve"> </w:t>
      </w:r>
      <w:r>
        <w:t xml:space="preserve">accuracy.</w:t>
      </w:r>
      <w:r>
        <w:t xml:space="preserve"> </w:t>
      </w:r>
      <w:r>
        <w:t xml:space="preserve">No</w:t>
      </w:r>
      <w:r>
        <w:t xml:space="preserve"> </w:t>
      </w:r>
      <w:r>
        <w:t xml:space="preserve">controllable</w:t>
      </w:r>
      <w:r>
        <w:t xml:space="preserve"> </w:t>
      </w:r>
      <w:r>
        <w:t xml:space="preserve">axis</w:t>
      </w:r>
      <w:r>
        <w:t xml:space="preserve"> </w:t>
      </w:r>
      <w:r>
        <w:t xml:space="preserve">explains</w:t>
      </w:r>
      <w:r>
        <w:t xml:space="preserve"> </w:t>
      </w:r>
      <w:r>
        <w:t xml:space="preserve">more</w:t>
      </w:r>
      <w:r>
        <w:t xml:space="preserve"> </w:t>
      </w:r>
      <w:r>
        <w:t xml:space="preserve">than</w:t>
      </w:r>
      <w:r>
        <w:t xml:space="preserve"> </w:t>
      </w:r>
      <w:r>
        <w:t xml:space="preserve">about</w:t>
      </w:r>
      <w:r>
        <w:t xml:space="preserve"> </w:t>
      </w:r>
      <w:r>
        <w:t xml:space="preserve">5%</w:t>
      </w:r>
      <w:r>
        <w:t xml:space="preserve"> </w:t>
      </w:r>
      <w:r>
        <w:t xml:space="preserve">of</w:t>
      </w:r>
      <w:r>
        <w:t xml:space="preserve"> </w:t>
      </w:r>
      <w:r>
        <w:t xml:space="preserve">rating</w:t>
      </w:r>
      <w:r>
        <w:t xml:space="preserve"> </w:t>
      </w:r>
      <w:r>
        <w:t xml:space="preserve">variance,</w:t>
      </w:r>
      <w:r>
        <w:t xml:space="preserve"> </w:t>
      </w:r>
      <w:r>
        <w:t xml:space="preserve">and</w:t>
      </w:r>
      <w:r>
        <w:t xml:space="preserve"> </w:t>
      </w:r>
      <w:r>
        <w:t xml:space="preserve">pure</w:t>
      </w:r>
      <w:r>
        <w:t xml:space="preserve"> </w:t>
      </w:r>
      <w:r>
        <w:t xml:space="preserve">run-to-run</w:t>
      </w:r>
      <w:r>
        <w:t xml:space="preserve"> </w:t>
      </w:r>
      <w:r>
        <w:t xml:space="preserve">variation</w:t>
      </w:r>
      <w:r>
        <w:t xml:space="preserve"> </w:t>
      </w:r>
      <w:r>
        <w:t xml:space="preserve">contributes</w:t>
      </w:r>
      <w:r>
        <w:t xml:space="preserve"> </w:t>
      </w:r>
      <w:r>
        <w:t xml:space="preserve">about</w:t>
      </w:r>
      <w:r>
        <w:t xml:space="preserve"> </w:t>
      </w:r>
      <w:r>
        <w:t xml:space="preserve">8%;</w:t>
      </w:r>
      <w:r>
        <w:t xml:space="preserve"> </w:t>
      </w:r>
      <w:r>
        <w:t xml:space="preserve">instability</w:t>
      </w:r>
      <w:r>
        <w:t xml:space="preserve"> </w:t>
      </w:r>
      <w:r>
        <w:t xml:space="preserve">persists</w:t>
      </w:r>
      <w:r>
        <w:t xml:space="preserve"> </w:t>
      </w:r>
      <w:r>
        <w:t xml:space="preserve">under</w:t>
      </w:r>
      <w:r>
        <w:t xml:space="preserve"> </w:t>
      </w:r>
      <w:r>
        <w:t xml:space="preserve">deterministic</w:t>
      </w:r>
      <w:r>
        <w:t xml:space="preserve"> </w:t>
      </w:r>
      <w:r>
        <w:t xml:space="preserve">execution</w:t>
      </w:r>
      <w:r>
        <w:t xml:space="preserve"> </w:t>
      </w:r>
      <w:r>
        <w:t xml:space="preserve">(one</w:t>
      </w:r>
      <w:r>
        <w:t xml:space="preserve"> </w:t>
      </w:r>
      <w:r>
        <w:t xml:space="preserve">provider,</w:t>
      </w:r>
      <w:r>
        <w:t xml:space="preserve"> </w:t>
      </w:r>
      <w:r>
        <w:t xml:space="preserve">temperature</w:t>
      </w:r>
      <w:r>
        <w:t xml:space="preserve"> </w:t>
      </w:r>
      <w:r>
        <w:t xml:space="preserve">0;</w:t>
      </w:r>
      <w:r>
        <w:t xml:space="preserve"> </w:t>
      </w:r>
      <w:r>
        <w:t xml:space="preserve">permutation</w:t>
      </w:r>
      <w:r>
        <w:t xml:space="preserve"> </w:t>
      </w:r>
      <m:oMath>
        <m:r>
          <m:t>p</m:t>
        </m:r>
        <m:r>
          <m:t>=</m:t>
        </m:r>
        <m:r>
          <m:t>0.001</m:t>
        </m:r>
      </m:oMath>
      <w:r>
        <w:t xml:space="preserve">).</w:t>
      </w:r>
      <w:r>
        <w:t xml:space="preserve"> </w:t>
      </w:r>
      <w:r>
        <w:t xml:space="preserve">Cross-specification</w:t>
      </w:r>
      <w:r>
        <w:t xml:space="preserve"> </w:t>
      </w:r>
      <w:r>
        <w:t xml:space="preserve">agreement</w:t>
      </w:r>
      <w:r>
        <w:t xml:space="preserve"> </w:t>
      </w:r>
      <w:r>
        <w:t xml:space="preserve">stays</w:t>
      </w:r>
      <w:r>
        <w:t xml:space="preserve"> </w:t>
      </w:r>
      <w:r>
        <w:t xml:space="preserve">limited</w:t>
      </w:r>
      <w:r>
        <w:t xml:space="preserve"> </w:t>
      </w:r>
      <w:r>
        <w:t xml:space="preserve">at</w:t>
      </w:r>
      <w:r>
        <w:t xml:space="preserve"> </w:t>
      </w:r>
      <w:r>
        <w:t xml:space="preserve">every</w:t>
      </w:r>
      <w:r>
        <w:t xml:space="preserve"> </w:t>
      </w:r>
      <w:r>
        <w:t xml:space="preserve">resolution:</w:t>
      </w:r>
      <w:r>
        <w:t xml:space="preserve"> </w:t>
      </w:r>
      <w:r>
        <w:t xml:space="preserve">unweighted</w:t>
      </w:r>
      <w:r>
        <w:t xml:space="preserve"> </w:t>
      </w:r>
      <w:r>
        <w:t xml:space="preserve">Fleiss’</w:t>
      </w:r>
      <w:r>
        <w:t xml:space="preserve"> </w:t>
      </w:r>
      <m:oMath>
        <m:r>
          <m:t>κ</m:t>
        </m:r>
      </m:oMath>
      <w:r>
        <w:t xml:space="preserve"> </w:t>
      </w:r>
      <w:r>
        <w:t xml:space="preserve">reaches</w:t>
      </w:r>
      <w:r>
        <w:t xml:space="preserve"> </w:t>
      </w:r>
      <w:r>
        <w:t xml:space="preserve">at</w:t>
      </w:r>
      <w:r>
        <w:t xml:space="preserve"> </w:t>
      </w:r>
      <w:r>
        <w:t xml:space="preserve">most</w:t>
      </w:r>
      <w:r>
        <w:t xml:space="preserve"> </w:t>
      </w:r>
      <w:r>
        <w:t xml:space="preserve">0.49</w:t>
      </w:r>
      <w:r>
        <w:t xml:space="preserve"> </w:t>
      </w:r>
      <w:r>
        <w:t xml:space="preserve">at</w:t>
      </w:r>
      <w:r>
        <w:t xml:space="preserve"> </w:t>
      </w:r>
      <w:r>
        <w:t xml:space="preserve">the</w:t>
      </w:r>
      <w:r>
        <w:t xml:space="preserve"> </w:t>
      </w:r>
      <w:r>
        <w:t xml:space="preserve">investment-grade/high-yield</w:t>
      </w:r>
      <w:r>
        <w:t xml:space="preserve"> </w:t>
      </w:r>
      <w:r>
        <w:t xml:space="preserve">split,</w:t>
      </w:r>
      <w:r>
        <w:t xml:space="preserve"> </w:t>
      </w:r>
      <w:r>
        <w:t xml:space="preserve">where</w:t>
      </w:r>
      <w:r>
        <w:t xml:space="preserve"> </w:t>
      </w:r>
      <w:r>
        <w:t xml:space="preserve">25.2%</w:t>
      </w:r>
      <w:r>
        <w:t xml:space="preserve"> </w:t>
      </w:r>
      <w:r>
        <w:t xml:space="preserve">of</w:t>
      </w:r>
      <w:r>
        <w:t xml:space="preserve"> </w:t>
      </w:r>
      <w:r>
        <w:t xml:space="preserve">matched</w:t>
      </w:r>
      <w:r>
        <w:t xml:space="preserve"> </w:t>
      </w:r>
      <w:r>
        <w:t xml:space="preserve">pairs</w:t>
      </w:r>
      <w:r>
        <w:t xml:space="preserve"> </w:t>
      </w:r>
      <w:r>
        <w:t xml:space="preserve">disagree,</w:t>
      </w:r>
      <w:r>
        <w:t xml:space="preserve"> </w:t>
      </w:r>
      <w:r>
        <w:t xml:space="preserve">and</w:t>
      </w:r>
      <w:r>
        <w:t xml:space="preserve"> </w:t>
      </w:r>
      <w:r>
        <w:t xml:space="preserve">switching</w:t>
      </w:r>
      <w:r>
        <w:t xml:space="preserve"> </w:t>
      </w:r>
      <w:r>
        <w:t xml:space="preserve">or</w:t>
      </w:r>
      <w:r>
        <w:t xml:space="preserve"> </w:t>
      </w:r>
      <w:r>
        <w:t xml:space="preserve">pooling</w:t>
      </w:r>
      <w:r>
        <w:t xml:space="preserve"> </w:t>
      </w:r>
      <w:r>
        <w:t xml:space="preserve">providers</w:t>
      </w:r>
      <w:r>
        <w:t xml:space="preserve"> </w:t>
      </w:r>
      <w:r>
        <w:t xml:space="preserve">does</w:t>
      </w:r>
      <w:r>
        <w:t xml:space="preserve"> </w:t>
      </w:r>
      <w:r>
        <w:t xml:space="preserve">not</w:t>
      </w:r>
      <w:r>
        <w:t xml:space="preserve"> </w:t>
      </w:r>
      <w:r>
        <w:t xml:space="preserve">remove</w:t>
      </w:r>
      <w:r>
        <w:t xml:space="preserve"> </w:t>
      </w:r>
      <w:r>
        <w:t xml:space="preserve">it.</w:t>
      </w:r>
      <w:r>
        <w:t xml:space="preserve"> </w:t>
      </w:r>
      <w:r>
        <w:t xml:space="preserve">Modal</w:t>
      </w:r>
      <w:r>
        <w:t xml:space="preserve"> </w:t>
      </w:r>
      <w:r>
        <w:t xml:space="preserve">calls</w:t>
      </w:r>
      <w:r>
        <w:t xml:space="preserve"> </w:t>
      </w:r>
      <w:r>
        <w:t xml:space="preserve">imply</w:t>
      </w:r>
      <w:r>
        <w:t xml:space="preserve"> </w:t>
      </w:r>
      <w:r>
        <w:t xml:space="preserve">53.5%</w:t>
      </w:r>
      <w:r>
        <w:t xml:space="preserve"> </w:t>
      </w:r>
      <w:r>
        <w:t xml:space="preserve">portfolio</w:t>
      </w:r>
      <w:r>
        <w:t xml:space="preserve"> </w:t>
      </w:r>
      <w:r>
        <w:t xml:space="preserve">turnover,</w:t>
      </w:r>
      <w:r>
        <w:t xml:space="preserve"> </w:t>
      </w:r>
      <w:r>
        <w:t xml:space="preserve">and</w:t>
      </w:r>
      <w:r>
        <w:t xml:space="preserve"> </w:t>
      </w:r>
      <w:r>
        <w:t xml:space="preserve">a</w:t>
      </w:r>
      <w:r>
        <w:t xml:space="preserve"> </w:t>
      </w:r>
      <w:r>
        <w:t xml:space="preserve">post-hoc</w:t>
      </w:r>
      <w:r>
        <w:t xml:space="preserve"> </w:t>
      </w:r>
      <w:r>
        <w:t xml:space="preserve">recast</w:t>
      </w:r>
      <w:r>
        <w:t xml:space="preserve"> </w:t>
      </w:r>
      <w:r>
        <w:t xml:space="preserve">swings</w:t>
      </w:r>
      <w:r>
        <w:t xml:space="preserve"> </w:t>
      </w:r>
      <w:r>
        <w:t xml:space="preserve">a</w:t>
      </w:r>
      <w:r>
        <w:t xml:space="preserve"> </w:t>
      </w:r>
      <w:r>
        <w:t xml:space="preserve">$45</w:t>
      </w:r>
      <w:r>
        <w:t xml:space="preserve"> </w:t>
      </w:r>
      <w:r>
        <w:t xml:space="preserve">billion</w:t>
      </w:r>
      <w:r>
        <w:t xml:space="preserve"> </w:t>
      </w:r>
      <w:r>
        <w:t xml:space="preserve">book</w:t>
      </w:r>
      <w:r>
        <w:t xml:space="preserve"> </w:t>
      </w:r>
      <w:r>
        <w:t xml:space="preserve">between</w:t>
      </w:r>
      <w:r>
        <w:t xml:space="preserve"> </w:t>
      </w:r>
      <w:r>
        <w:t xml:space="preserve">$2.0</w:t>
      </w:r>
      <w:r>
        <w:t xml:space="preserve"> </w:t>
      </w:r>
      <w:r>
        <w:t xml:space="preserve">and</w:t>
      </w:r>
      <w:r>
        <w:t xml:space="preserve"> </w:t>
      </w:r>
      <w:r>
        <w:t xml:space="preserve">$4.1</w:t>
      </w:r>
      <w:r>
        <w:t xml:space="preserve"> </w:t>
      </w:r>
      <w:r>
        <w:t xml:space="preserve">billion</w:t>
      </w:r>
      <w:r>
        <w:t xml:space="preserve"> </w:t>
      </w:r>
      <w:r>
        <w:t xml:space="preserve">of</w:t>
      </w:r>
      <w:r>
        <w:t xml:space="preserve"> </w:t>
      </w:r>
      <w:r>
        <w:t xml:space="preserve">Pillar-1</w:t>
      </w:r>
      <w:r>
        <w:t xml:space="preserve"> </w:t>
      </w:r>
      <w:r>
        <w:t xml:space="preserve">capital.</w:t>
      </w:r>
      <w:r>
        <w:t xml:space="preserve"> </w:t>
      </w:r>
      <w:r>
        <w:t xml:space="preserve">Substantial</w:t>
      </w:r>
      <w:r>
        <w:t xml:space="preserve"> </w:t>
      </w:r>
      <w:r>
        <w:t xml:space="preserve">instability</w:t>
      </w:r>
      <w:r>
        <w:t xml:space="preserve"> </w:t>
      </w:r>
      <w:r>
        <w:t xml:space="preserve">persists</w:t>
      </w:r>
      <w:r>
        <w:t xml:space="preserve"> </w:t>
      </w:r>
      <w:r>
        <w:t xml:space="preserve">on</w:t>
      </w:r>
      <w:r>
        <w:t xml:space="preserve"> </w:t>
      </w:r>
      <w:r>
        <w:t xml:space="preserve">31</w:t>
      </w:r>
      <w:r>
        <w:t xml:space="preserve"> </w:t>
      </w:r>
      <w:r>
        <w:t xml:space="preserve">decontaminated</w:t>
      </w:r>
      <w:r>
        <w:t xml:space="preserve"> </w:t>
      </w:r>
      <w:r>
        <w:t xml:space="preserve">real</w:t>
      </w:r>
      <w:r>
        <w:t xml:space="preserve"> </w:t>
      </w:r>
      <w:r>
        <w:t xml:space="preserve">issuers,</w:t>
      </w:r>
      <w:r>
        <w:t xml:space="preserve"> </w:t>
      </w:r>
      <w:r>
        <w:t xml:space="preserve">and</w:t>
      </w:r>
      <w:r>
        <w:t xml:space="preserve"> </w:t>
      </w:r>
      <w:r>
        <w:t xml:space="preserve">a</w:t>
      </w:r>
      <w:r>
        <w:t xml:space="preserve"> </w:t>
      </w:r>
      <w:r>
        <w:t xml:space="preserve">post-hoc</w:t>
      </w:r>
      <w:r>
        <w:t xml:space="preserve"> </w:t>
      </w:r>
      <w:r>
        <w:t xml:space="preserve">check</w:t>
      </w:r>
      <w:r>
        <w:t xml:space="preserve"> </w:t>
      </w:r>
      <w:r>
        <w:t xml:space="preserve">finds</w:t>
      </w:r>
      <w:r>
        <w:t xml:space="preserve"> </w:t>
      </w:r>
      <w:r>
        <w:t xml:space="preserve">no</w:t>
      </w:r>
      <w:r>
        <w:t xml:space="preserve"> </w:t>
      </w:r>
      <w:r>
        <w:t xml:space="preserve">evidence</w:t>
      </w:r>
      <w:r>
        <w:t xml:space="preserve"> </w:t>
      </w:r>
      <w:r>
        <w:t xml:space="preserve">that</w:t>
      </w:r>
      <w:r>
        <w:t xml:space="preserve"> </w:t>
      </w:r>
      <w:r>
        <w:t xml:space="preserve">it</w:t>
      </w:r>
      <w:r>
        <w:t xml:space="preserve"> </w:t>
      </w:r>
      <w:r>
        <w:t xml:space="preserve">attenuates</w:t>
      </w:r>
      <w:r>
        <w:t xml:space="preserve"> </w:t>
      </w:r>
      <w:r>
        <w:t xml:space="preserve">on</w:t>
      </w:r>
      <w:r>
        <w:t xml:space="preserve"> </w:t>
      </w:r>
      <w:r>
        <w:t xml:space="preserve">flagship</w:t>
      </w:r>
      <w:r>
        <w:t xml:space="preserve"> </w:t>
      </w:r>
      <w:r>
        <w:t xml:space="preserve">models.</w:t>
      </w:r>
      <w:r>
        <w:t xml:space="preserve"> </w:t>
      </w:r>
      <w:r>
        <w:t xml:space="preserve">We</w:t>
      </w:r>
      <w:r>
        <w:t xml:space="preserve"> </w:t>
      </w:r>
      <w:r>
        <w:t xml:space="preserve">frame</w:t>
      </w:r>
      <w:r>
        <w:t xml:space="preserve"> </w:t>
      </w:r>
      <w:r>
        <w:t xml:space="preserve">the</w:t>
      </w:r>
      <w:r>
        <w:t xml:space="preserve"> </w:t>
      </w:r>
      <w:r>
        <w:t xml:space="preserve">elicitation</w:t>
      </w:r>
      <w:r>
        <w:t xml:space="preserve"> </w:t>
      </w:r>
      <w:r>
        <w:t xml:space="preserve">specification</w:t>
      </w:r>
      <w:r>
        <w:t xml:space="preserve"> </w:t>
      </w:r>
      <w:r>
        <w:t xml:space="preserve">as</w:t>
      </w:r>
      <w:r>
        <w:t xml:space="preserve"> </w:t>
      </w:r>
      <w:r>
        <w:t xml:space="preserve">a</w:t>
      </w:r>
      <w:r>
        <w:t xml:space="preserve"> </w:t>
      </w:r>
      <w:r>
        <w:t xml:space="preserve">model-risk</w:t>
      </w:r>
      <w:r>
        <w:t xml:space="preserve"> </w:t>
      </w:r>
      <w:r>
        <w:t xml:space="preserve">parameter</w:t>
      </w:r>
      <w:r>
        <w:t xml:space="preserve"> </w:t>
      </w:r>
      <w:r>
        <w:t xml:space="preserve">and</w:t>
      </w:r>
      <w:r>
        <w:t xml:space="preserve"> </w:t>
      </w:r>
      <w:r>
        <w:t xml:space="preserve">develop</w:t>
      </w:r>
      <w:r>
        <w:t xml:space="preserve"> </w:t>
      </w:r>
      <w:r>
        <w:t xml:space="preserve">a</w:t>
      </w:r>
      <w:r>
        <w:t xml:space="preserve"> </w:t>
      </w:r>
      <w:r>
        <w:t xml:space="preserve">specification-instability</w:t>
      </w:r>
      <w:r>
        <w:t xml:space="preserve"> </w:t>
      </w:r>
      <w:r>
        <w:t xml:space="preserve">score</w:t>
      </w:r>
      <w:r>
        <w:t xml:space="preserve"> </w:t>
      </w:r>
      <w:r>
        <w:t xml:space="preserve">that</w:t>
      </w:r>
      <w:r>
        <w:t xml:space="preserve"> </w:t>
      </w:r>
      <w:r>
        <w:t xml:space="preserve">predicts</w:t>
      </w:r>
      <w:r>
        <w:t xml:space="preserve"> </w:t>
      </w:r>
      <w:r>
        <w:t xml:space="preserve">held-out</w:t>
      </w:r>
      <w:r>
        <w:t xml:space="preserve"> </w:t>
      </w:r>
      <w:r>
        <w:t xml:space="preserve">instability</w:t>
      </w:r>
      <w:r>
        <w:t xml:space="preserve"> </w:t>
      </w:r>
      <w:r>
        <w:t xml:space="preserve">(ROC-AUC</w:t>
      </w:r>
      <w:r>
        <w:t xml:space="preserve"> </w:t>
      </w:r>
      <w:r>
        <w:t xml:space="preserve">0.94;</w:t>
      </w:r>
      <w:r>
        <w:t xml:space="preserve"> </w:t>
      </w:r>
      <w:r>
        <w:t xml:space="preserve">0.70</w:t>
      </w:r>
      <w:r>
        <w:t xml:space="preserve"> </w:t>
      </w:r>
      <w:r>
        <w:t xml:space="preserve">on</w:t>
      </w:r>
      <w:r>
        <w:t xml:space="preserve"> </w:t>
      </w:r>
      <w:r>
        <w:t xml:space="preserve">real</w:t>
      </w:r>
      <w:r>
        <w:t xml:space="preserve"> </w:t>
      </w:r>
      <w:r>
        <w:t xml:space="preserve">issuers),</w:t>
      </w:r>
      <w:r>
        <w:t xml:space="preserve"> </w:t>
      </w:r>
      <w:r>
        <w:t xml:space="preserve">a</w:t>
      </w:r>
      <w:r>
        <w:t xml:space="preserve"> </w:t>
      </w:r>
      <w:r>
        <w:t xml:space="preserve">lightweight,</w:t>
      </w:r>
      <w:r>
        <w:t xml:space="preserve"> </w:t>
      </w:r>
      <w:r>
        <w:t xml:space="preserve">ground-truth-free</w:t>
      </w:r>
      <w:r>
        <w:t xml:space="preserve"> </w:t>
      </w:r>
      <w:r>
        <w:t xml:space="preserve">control.</w:t>
      </w:r>
    </w:p>
    <w:p>
      <w:pPr>
        <w:pStyle w:val="FirstParagraph"/>
      </w:pPr>
      <w:r>
        <w:t xml:space="preserve">Prompt and model choices move</w:t>
      </w:r>
      <w:r>
        <w:t xml:space="preserve"> </w:t>
      </w:r>
      <m:oMath>
        <m:r>
          <m:t>∼</m:t>
        </m:r>
      </m:oMath>
      <w:r>
        <w:t xml:space="preserve">25% of AI credit ratings across the IG/HY line.</w:t>
      </w:r>
    </w:p>
    <w:p>
      <w:pPr>
        <w:pStyle w:val="BodyText"/>
      </w:pPr>
      <w:r>
        <w:t xml:space="preserve">No single elicitation axis explains</w:t>
      </w:r>
      <w:r>
        <w:t xml:space="preserve"> </w:t>
      </w:r>
      <m:oMath>
        <m:r>
          <m:t>&gt;</m:t>
        </m:r>
      </m:oMath>
      <w:r>
        <w:t xml:space="preserve">5% of variance; pure seed noise is</w:t>
      </w:r>
      <w:r>
        <w:t xml:space="preserve"> </w:t>
      </w:r>
      <m:oMath>
        <m:r>
          <m:t>∼</m:t>
        </m:r>
      </m:oMath>
      <w:r>
        <w:t xml:space="preserve">8%.</w:t>
      </w:r>
    </w:p>
    <w:p>
      <w:pPr>
        <w:pStyle w:val="BodyText"/>
      </w:pPr>
      <w:r>
        <w:t xml:space="preserve">Instability persists even under deterministic execution (one provider, temp 0).</w:t>
      </w:r>
    </w:p>
    <w:p>
      <w:pPr>
        <w:pStyle w:val="BodyText"/>
      </w:pPr>
      <w:r>
        <w:t xml:space="preserve">Unweighted cross-specification agreement stays modest (Fleiss</w:t>
      </w:r>
      <w:r>
        <w:t xml:space="preserve"> </w:t>
      </w:r>
      <m:oMath>
        <m:r>
          <m:t>κ</m:t>
        </m:r>
        <m:r>
          <m:t>≤</m:t>
        </m:r>
        <m:r>
          <m:t>0.49</m:t>
        </m:r>
      </m:oMath>
      <w:r>
        <w:t xml:space="preserve">).</w:t>
      </w:r>
    </w:p>
    <w:p>
      <w:pPr>
        <w:pStyle w:val="BodyText"/>
      </w:pPr>
      <w:r>
        <w:t xml:space="preserve">Score validated on held-out specs (ROC-AUC 0.94) gives a deployable model-risk control.</w:t>
      </w:r>
    </w:p>
    <w:p>
      <w:pPr>
        <w:pStyle w:val="BodyText"/>
      </w:pPr>
      <w:r>
        <w:t xml:space="preserve">large language models ,credit ratings ,specification-curve analysis ,model risk ,reproducibility ,investment grade</w:t>
      </w:r>
    </w:p>
    <w:p>
      <w:pPr>
        <w:pStyle w:val="Heading1"/>
      </w:pPr>
      <w:bookmarkStart w:id="20" w:name="introduction"/>
      <w:r>
        <w:t xml:space="preserve">Introduction</w:t>
      </w:r>
      <w:bookmarkEnd w:id="20"/>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et al., 2024; Kaplan et al., 2020), and recent work has shown related variability in</w:t>
      </w:r>
      <w:r>
        <w:t xml:space="preserve"> </w:t>
      </w:r>
      <w:r>
        <w:t xml:space="preserve">LLM-generated financial recommendations (Chon et al.,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et al., 2020; Steegen et al.,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et al.,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makes two co-equal contributions: an</w:t>
      </w:r>
      <w:r>
        <w:t xml:space="preserve"> </w:t>
      </w:r>
      <w:r>
        <w:rPr>
          <w:i/>
        </w:rPr>
        <w:t xml:space="preserve">intelligent-systems reliability framework</w:t>
      </w:r>
      <w:r>
        <w:t xml:space="preserve"> </w:t>
      </w:r>
      <w:r>
        <w:t xml:space="preserve">that</w:t>
      </w:r>
      <w:r>
        <w:t xml:space="preserve"> </w:t>
      </w:r>
      <w:r>
        <w:t xml:space="preserve">quantifies how LLM-based credit ratings depend on elicitation, and a</w:t>
      </w:r>
      <w:r>
        <w:t xml:space="preserve"> </w:t>
      </w:r>
      <w:r>
        <w:rPr>
          <w:i/>
        </w:rPr>
        <w:t xml:space="preserve">deployable model-risk control</w:t>
      </w:r>
      <w:r>
        <w:t xml:space="preserve"> </w:t>
      </w:r>
      <w:r>
        <w:t xml:space="preserve">derived from it. Concretely, we (i) quantify the</w:t>
      </w:r>
      <w:r>
        <w:t xml:space="preserve"> </w:t>
      </w:r>
      <w:r>
        <w:t xml:space="preserve">sensitivity of machine-generated credit ratings to the elicitation specification and decompose the</w:t>
      </w:r>
      <w:r>
        <w:t xml:space="preserve"> </w:t>
      </w:r>
      <w:r>
        <w:t xml:space="preserve">rating variation into firm, elicitation-axis, provider-by-item, pure seed, and other unexplained</w:t>
      </w:r>
      <w:r>
        <w:t xml:space="preserve"> </w:t>
      </w:r>
      <w:r>
        <w:t xml:space="preserve">components; (ii) test the persistence of the instability under two natural remedies, deterministic</w:t>
      </w:r>
      <w:r>
        <w:t xml:space="preserve"> </w:t>
      </w:r>
      <w:r>
        <w:t xml:space="preserve">execution and provider selection, and across rating resolutions from the full letter scale to the</w:t>
      </w:r>
      <w:r>
        <w:t xml:space="preserve"> </w:t>
      </w:r>
      <w:r>
        <w:t xml:space="preserve">investment-grade/high-yield split; (iii) translate the instability into decision-relevant quantities</w:t>
      </w:r>
      <w:r>
        <w:t xml:space="preserve"> </w:t>
      </w:r>
      <w:r>
        <w:t xml:space="preserve">(boundary migration, portfolio turnover, implied spread, and an illustrative regulatory-capital recast);</w:t>
      </w:r>
      <w:r>
        <w:t xml:space="preserve"> </w:t>
      </w:r>
      <w:r>
        <w:t xml:space="preserve">(iv) test external validity on a decontaminated real-issuer arm that first demonstrates, and then</w:t>
      </w:r>
      <w:r>
        <w:t xml:space="preserve"> </w:t>
      </w:r>
      <w:r>
        <w:t xml:space="preserve">controls for, contamination by model memorization; and (v) develop a deployable model-risk control, a</w:t>
      </w:r>
      <w:r>
        <w:t xml:space="preserve"> </w:t>
      </w:r>
      <w:r>
        <w:rPr>
          <w:i/>
        </w:rPr>
        <w:t xml:space="preserve">specification-instability score</w:t>
      </w:r>
      <w:r>
        <w:t xml:space="preserve"> </w:t>
      </w:r>
      <w:r>
        <w:t xml:space="preserve">with pseudocode, a governance workflow, and a per-issuer cost</w:t>
      </w:r>
      <w:r>
        <w:t xml:space="preserve"> </w:t>
      </w:r>
      <w:r>
        <w:t xml:space="preserve">model, and validate that it predicts held-out instability (ROC-AUC 0.94). The diagnosis and the control</w:t>
      </w:r>
      <w:r>
        <w:t xml:space="preserve"> </w:t>
      </w:r>
      <w:r>
        <w:t xml:space="preserve">are co-equal contributions: the first quantifies the problem, the second gives practitioners a</w:t>
      </w:r>
      <w:r>
        <w:t xml:space="preserve"> </w:t>
      </w:r>
      <w:r>
        <w:t xml:space="preserve">ground-truth-free instrument to manage it.</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credit-health profiles rest on</w:t>
      </w:r>
      <w:r>
        <w:t xml:space="preserve"> </w:t>
      </w:r>
      <w:r>
        <w:t xml:space="preserve">a pre-specified Altman Z</w:t>
      </w:r>
      <m:oMath>
        <m:r>
          <m:t>″</m:t>
        </m:r>
      </m:oMath>
      <w:r>
        <w:t xml:space="preserve"> </w:t>
      </w:r>
      <w:r>
        <w:t xml:space="preserve">accounting-based benchmark (Altman, 1968), which provides a fixed,</w:t>
      </w:r>
      <w:r>
        <w:t xml:space="preserve"> </w:t>
      </w:r>
      <w:r>
        <w:t xml:space="preserve">independently computable reference while the elicitation specification varies; our estimand is therefore</w:t>
      </w:r>
      <w:r>
        <w:t xml:space="preserve"> </w:t>
      </w:r>
      <w:r>
        <w:t xml:space="preserve">not rating accuracy but</w:t>
      </w:r>
      <w:r>
        <w:t xml:space="preserve"> </w:t>
      </w:r>
      <w:r>
        <w:rPr>
          <w:i/>
        </w:rPr>
        <w:t xml:space="preserve">stability across specifications</w:t>
      </w:r>
      <w:r>
        <w:t xml:space="preserve">.</w:t>
      </w:r>
    </w:p>
    <w:p>
      <w:pPr>
        <w:pStyle w:val="Heading1"/>
      </w:pPr>
      <w:bookmarkStart w:id="21" w:name="related-work"/>
      <w:r>
        <w:t xml:space="preserve">Related work</w:t>
      </w:r>
      <w:bookmarkEnd w:id="21"/>
    </w:p>
    <w:p>
      <w:pPr>
        <w:pStyle w:val="Heading2"/>
      </w:pPr>
      <w:bookmarkStart w:id="22" w:name="X0dba5ecfc7746c0d26bbfb187565964f2058f86"/>
      <w:r>
        <w:t xml:space="preserve">Prompt sensitivity and non-determinism in large language models</w:t>
      </w:r>
      <w:bookmarkEnd w:id="22"/>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et al., 2017; Devlin et al., 2019; Bommasani and others,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et al.,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et al.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p>
      <w:pPr>
        <w:pStyle w:val="Heading2"/>
      </w:pPr>
      <w:bookmarkStart w:id="23" w:name="X99d2309975b6bf7ae5cad3e79bc26027f8502df"/>
      <w:r>
        <w:t xml:space="preserve">Uncertainty quantification for LLM outputs</w:t>
      </w:r>
      <w:bookmarkEnd w:id="23"/>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et al., 2023). Semantic-entropy methods cluster semantically equivalent generations and</w:t>
      </w:r>
      <w:r>
        <w:t xml:space="preserve"> </w:t>
      </w:r>
      <w:r>
        <w:t xml:space="preserve">measure entropy over meanings to detect unreliable answers (Kuhn et al., 2023). Others elicit</w:t>
      </w:r>
      <w:r>
        <w:t xml:space="preserve"> </w:t>
      </w:r>
      <w:r>
        <w:t xml:space="preserve">confidence directly, teaching models to verbalize calibrated uncertainty (Lin et al., 2022) or</w:t>
      </w:r>
      <w:r>
        <w:t xml:space="preserve"> </w:t>
      </w:r>
      <w:r>
        <w:t xml:space="preserve">probing whether models</w:t>
      </w:r>
      <w:r>
        <w:t xml:space="preserve"> </w:t>
      </w:r>
      <w:r>
        <w:t xml:space="preserve">“</w:t>
      </w:r>
      <w:r>
        <w:t xml:space="preserve">know what they know</w:t>
      </w:r>
      <w:r>
        <w:t xml:space="preserve">”</w:t>
      </w:r>
      <w:r>
        <w:t xml:space="preserve"> </w:t>
      </w:r>
      <w:r>
        <w:t xml:space="preserve">(Kadavath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p>
      <w:pPr>
        <w:pStyle w:val="Heading2"/>
      </w:pPr>
      <w:bookmarkStart w:id="24" w:name="Xc762aa355966b1fd4892cde6748a9809de69570"/>
      <w:r>
        <w:t xml:space="preserve">Multiverse analysis and specification curves</w:t>
      </w:r>
      <w:bookmarkEnd w:id="24"/>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w:t>
      </w:r>
      <w:r>
        <w:t xml:space="preserve">garden of forking paths,</w:t>
      </w:r>
      <w:r>
        <w:t xml:space="preserve">”</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et al.,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p>
      <w:pPr>
        <w:pStyle w:val="Heading2"/>
      </w:pPr>
      <w:bookmarkStart w:id="25" w:name="Xb2e0c57c99f402f4e936f6826ba1a3899b92637"/>
      <w:r>
        <w:t xml:space="preserve">Large language models for finance, credit, and supervision</w:t>
      </w:r>
      <w:bookmarkEnd w:id="25"/>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and others, 2020; Ouyang and others, 2022; OpenAI, 2023) and finance-specific</w:t>
      </w:r>
      <w:r>
        <w:t xml:space="preserve"> </w:t>
      </w:r>
      <w:r>
        <w:t xml:space="preserve">(Wu et al., 2023; Xie et al.,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(García-Llorente and Olmeda, 2026), and credit-rating prediction (Drinkall et al., 2025).</w:t>
      </w:r>
    </w:p>
    <w:p>
      <w:pPr>
        <w:pStyle w:val="BodyText"/>
      </w:pPr>
      <w:r>
        <w:t xml:space="preserve">Much of this literature evaluates</w:t>
      </w:r>
      <w:r>
        <w:t xml:space="preserve"> </w:t>
      </w:r>
      <w:r>
        <w:rPr>
          <w:i/>
        </w:rPr>
        <w:t xml:space="preserve">capability</w:t>
      </w:r>
      <w:r>
        <w:t xml:space="preserve">: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rPr>
        <w:t xml:space="preserve">stability versus capability</w:t>
      </w:r>
      <w:r>
        <w:t xml:space="preserve">: whether the credit opinion</w:t>
      </w:r>
      <w:r>
        <w:t xml:space="preserve"> </w:t>
      </w:r>
      <w:r>
        <w:t xml:space="preserve">itself is unchanged when the information being evaluated is unchanged but the elicitation specification</w:t>
      </w:r>
      <w:r>
        <w:t xml:space="preserve"> </w:t>
      </w:r>
      <w:r>
        <w:t xml:space="preserve">differs.</w:t>
      </w:r>
    </w:p>
    <w:p>
      <w:pPr>
        <w:pStyle w:val="Heading2"/>
      </w:pPr>
      <w:bookmarkStart w:id="26" w:name="X46dbbd77e0e69055eeab036521de68d083ce3fe"/>
      <w:r>
        <w:t xml:space="preserve">Credit ratings, economic consequences, and model risk</w:t>
      </w:r>
      <w:bookmarkEnd w:id="26"/>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et al.,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(Basel Committee on Banking Supervision, 2019), and supervisory exercises have documented considerable dispersion in risk-weighted</w:t>
      </w:r>
      <w:r>
        <w:t xml:space="preserve"> </w:t>
      </w:r>
      <w:r>
        <w:t xml:space="preserve">assets even for common portfolios (Basel Committee on Banking Supervision,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(Board of Governors of the Federal Reserve System and Currency,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not only through statistical disagreement but also through rating migration, portfolio</w:t>
      </w:r>
      <w:r>
        <w:t xml:space="preserve"> </w:t>
      </w:r>
      <w:r>
        <w:t xml:space="preserve">turnover, spread implications, and regulatory-capital translations.</w:t>
      </w:r>
    </w:p>
    <w:p>
      <w:pPr>
        <w:pStyle w:val="Heading1"/>
      </w:pPr>
      <w:bookmarkStart w:id="27" w:name="results"/>
      <w:r>
        <w:t xml:space="preserve">Results</w:t>
      </w:r>
      <w:bookmarkEnd w:id="27"/>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w:t>
      </w:r>
      <w:hyperlink w:anchor="tab:models">
        <w:r>
          <w:rPr>
            <w:rStyle w:val="Hyperlink"/>
          </w:rPr>
          <w:t xml:space="preserve">7</w:t>
        </w:r>
      </w:hyperlink>
      <w:r>
        <w:t xml:space="preserve">).</w:t>
      </w:r>
    </w:p>
    <w:p>
      <w:pPr>
        <w:pStyle w:val="Heading2"/>
      </w:pPr>
      <w:bookmarkStart w:id="28" w:name="sources-of-rating-variation"/>
      <w:r>
        <w:t xml:space="preserve">Sources of rating variation</w:t>
      </w:r>
      <w:bookmarkEnd w:id="28"/>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w:t>
      </w:r>
      <w:hyperlink w:anchor="tab:var">
        <w:r>
          <w:rPr>
            <w:rStyle w:val="Hyperlink"/>
          </w:rPr>
          <w:t xml:space="preserve">1</w:t>
        </w:r>
      </w:hyperlink>
      <w:r>
        <w:t xml:space="preserve">).</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No</w:t>
      </w:r>
      <w:r>
        <w:t xml:space="preserve"> </w:t>
      </w:r>
      <w:r>
        <w:t xml:space="preserve">individual controllable elicitation choice explains more than about 5% of rating variance; the largest</w:t>
      </w:r>
      <w:r>
        <w:t xml:space="preserve"> </w:t>
      </w:r>
      <w:r>
        <w:t xml:space="preserve">measured design-axis contribution is answer presentation (</w:t>
      </w:r>
      <m:oMath>
        <m:r>
          <m:t>∼</m:t>
        </m:r>
      </m:oMath>
      <w:r>
        <w:t xml:space="preserve">4.6%), and the model-provider main</w:t>
      </w:r>
      <w:r>
        <w:t xml:space="preserve"> </w:t>
      </w:r>
      <w:r>
        <w:t xml:space="preserve">effect contributes only</w:t>
      </w:r>
      <w:r>
        <w:t xml:space="preserve"> </w:t>
      </w:r>
      <m:oMath>
        <m:r>
          <m:t>∼</m:t>
        </m:r>
      </m:oMath>
      <w:r>
        <w:t xml:space="preserve">0.3%, with a provider-by-item interaction of</w:t>
      </w:r>
      <w:r>
        <w:t xml:space="preserve"> </w:t>
      </w:r>
      <m:oMath>
        <m:r>
          <m:t>∼</m:t>
        </m:r>
      </m:oMath>
      <w:r>
        <w:t xml:space="preserve">1.4%. The OLS residual</w:t>
      </w:r>
      <w:r>
        <w:t xml:space="preserve"> </w:t>
      </w:r>
      <w:r>
        <w:t xml:space="preserve">is</w:t>
      </w:r>
      <w:r>
        <w:t xml:space="preserve"> </w:t>
      </w:r>
      <m:oMath>
        <m:r>
          <m:t>∼</m:t>
        </m:r>
      </m:oMath>
      <w:r>
        <w:t xml:space="preserve">25%. Because a raw residual can conflate genuine run-to-run randomness with structure the model</w:t>
      </w:r>
      <w:r>
        <w:t xml:space="preserve"> </w:t>
      </w:r>
      <w:r>
        <w:t xml:space="preserve">omits, we separate the two:</w:t>
      </w:r>
      <w:r>
        <w:t xml:space="preserve"> </w:t>
      </w:r>
      <w:r>
        <w:rPr>
          <w:i/>
        </w:rPr>
        <w:t xml:space="preserve">pure within-cell seed variation</w:t>
      </w:r>
      <w:r>
        <w:t xml:space="preserve">, the variance across the three seeds</w:t>
      </w:r>
      <w:r>
        <w:t xml:space="preserve"> </w:t>
      </w:r>
      <w:r>
        <w:t xml:space="preserve">of each identical item</w:t>
      </w:r>
      <m:oMath>
        <m:r>
          <m:t>×</m:t>
        </m:r>
      </m:oMath>
      <w:r>
        <w:t xml:space="preserve">specification cell, accounts for only 8.1% of total variance (95% CI</w:t>
      </w:r>
      <w:r>
        <w:t xml:space="preserve"> </w:t>
      </w:r>
      <w:r>
        <w:t xml:space="preserve">6.4–10.8%), while the remaining</w:t>
      </w:r>
      <w:r>
        <w:t xml:space="preserve"> </w:t>
      </w:r>
      <m:oMath>
        <m:r>
          <m:t>∼</m:t>
        </m:r>
      </m:oMath>
      <w:r>
        <w:t xml:space="preserve">17% reflects unmodeled interactions (for example</w:t>
      </w:r>
      <w:r>
        <w:t xml:space="preserve"> </w:t>
      </w:r>
      <w:r>
        <w:t xml:space="preserve">item</w:t>
      </w:r>
      <m:oMath>
        <m:r>
          <m:t>×</m:t>
        </m:r>
      </m:oMath>
      <w:r>
        <w:t xml:space="preserve">prompt or presentation</w:t>
      </w:r>
      <m:oMath>
        <m:r>
          <m:t>×</m:t>
        </m:r>
      </m:oMath>
      <w:r>
        <w:t xml:space="preserve">item) not captured by the main-effects model. Run-to-run</w:t>
      </w:r>
      <w:r>
        <w:t xml:space="preserve"> </w:t>
      </w:r>
      <w:r>
        <w:t xml:space="preserve">sampling noise is therefore a real but minority component; most residual variation is structured</w:t>
      </w:r>
      <w:r>
        <w:t xml:space="preserve"> </w:t>
      </w:r>
      <w:r>
        <w:t xml:space="preserve">sensitivity to how the rating is elicited.</w:t>
      </w:r>
    </w:p>
    <w:p>
      <w:pPr>
        <w:pStyle w:val="BodyText"/>
      </w:pPr>
      <w:r>
        <w:t xml:space="preserve">These results indicate that specification sensitivity is not concentrated in a single elicitation choice</w:t>
      </w:r>
      <w:r>
        <w:t xml:space="preserve"> </w:t>
      </w:r>
      <w:r>
        <w:t xml:space="preserve">that could be avoided by simply selecting a preferred prompt, format, or provider. Instead, the observed</w:t>
      </w:r>
      <w:r>
        <w:t xml:space="preserve"> </w:t>
      </w:r>
      <w:r>
        <w:t xml:space="preserve">instability is spread across the elicitation process.</w:t>
      </w:r>
    </w:p>
    <w:p>
      <w:pPr>
        <w:pStyle w:val="BodyText"/>
      </w:pPr>
      <w:r>
        <w:t xml:space="preserve">The same pattern appears in the specification curve (Fig. </w:t>
      </w:r>
      <w:hyperlink w:anchor="fig:speccurve">
        <w:r>
          <w:rPr>
            <w:rStyle w:val="Hyperlink"/>
          </w:rPr>
          <w:t xml:space="preserve">1</w:t>
        </w:r>
      </w:hyperlink>
      <w:r>
        <w:t xml:space="preserve">). The three seeds are</w:t>
      </w:r>
      <w:r>
        <w:t xml:space="preserve"> </w:t>
      </w:r>
      <w:r>
        <w:t xml:space="preserve">pooled, and each point is a pre-registered specification, ordered by benchmark-consistent credit-band</w:t>
      </w:r>
      <w:r>
        <w:t xml:space="preserve"> </w:t>
      </w:r>
      <w:r>
        <w:t xml:space="preserve">accuracy against the frozen Altman Z</w:t>
      </w:r>
      <m:oMath>
        <m:r>
          <m:t>″</m:t>
        </m:r>
      </m:oMath>
      <w:r>
        <w:t xml:space="preserve"> </w:t>
      </w:r>
      <w:r>
        <w:t xml:space="preserve">reference. Even when the underlying firm profiles are identical,</w:t>
      </w:r>
      <w:r>
        <w:t xml:space="preserve"> </w:t>
      </w:r>
      <w:r>
        <w:t xml:space="preserve">performance varies substantially across defensible specifications: the specifications split roughly</w:t>
      </w:r>
      <w:r>
        <w:t xml:space="preserve"> </w:t>
      </w:r>
      <w:r>
        <w:t xml:space="preserve">56/44 around the pre-registered majority-accuracy threshold, with about 56% yielding a</w:t>
      </w:r>
      <w:r>
        <w:t xml:space="preserve"> </w:t>
      </w:r>
      <w:r>
        <w:t xml:space="preserve">majority-incorrect credit-band verdict and 44% a majority-correct one. The</w:t>
      </w:r>
      <w:r>
        <w:t xml:space="preserve"> </w:t>
      </w:r>
      <w:r>
        <w:t xml:space="preserve">specification curve therefore demonstrates that conclusions drawn from a single elicitation configuration</w:t>
      </w:r>
      <w:r>
        <w:t xml:space="preserve"> </w:t>
      </w:r>
      <w:r>
        <w:t xml:space="preserve">do not necessarily generalize to other plausible configurations.</w:t>
      </w:r>
    </w:p>
    <w:p>
      <w:pPr>
        <w:pStyle w:val="CaptionedFigure"/>
      </w:pPr>
      <w:bookmarkStart w:id="30" w:name="fig:speccurve"/>
      <w:r>
        <w:drawing>
          <wp:inline>
            <wp:extent cx="5334000" cy="2378675"/>
            <wp:effectExtent b="0" l="0" r="0" t="0"/>
            <wp:docPr descr="Specification curves of the machine credit rating; each point is one pre-registered specification (three seeds pooled), specifications sorted independently in each panel. (a) Benchmark-referenced: majority-correct credit-band accuracy against the Altman Z'' reference; the specifications split about 56/44 around the majority-accuracy threshold. (b) Benchmark-free: the share of a specification’s credit elicitations rated investment grade, which needs no ground truth and ranges widely across specifications, direct evidence that the verdict, not merely its accuracy, moves with the elicitation. This is the multiverse the method is named for." title="" id="1" name="Picture"/>
            <a:graphic>
              <a:graphicData uri="http://schemas.openxmlformats.org/drawingml/2006/picture">
                <pic:pic>
                  <pic:nvPicPr>
                    <pic:cNvPr descr="fig_spec_curve.png" id="0" name="Picture"/>
                    <pic:cNvPicPr>
                      <a:picLocks noChangeArrowheads="1" noChangeAspect="1"/>
                    </pic:cNvPicPr>
                  </pic:nvPicPr>
                  <pic:blipFill>
                    <a:blip r:embed="rId29"/>
                    <a:stretch>
                      <a:fillRect/>
                    </a:stretch>
                  </pic:blipFill>
                  <pic:spPr bwMode="auto">
                    <a:xfrm>
                      <a:off x="0" y="0"/>
                      <a:ext cx="5334000" cy="2378675"/>
                    </a:xfrm>
                    <a:prstGeom prst="rect">
                      <a:avLst/>
                    </a:prstGeom>
                    <a:noFill/>
                    <a:ln w="9525">
                      <a:noFill/>
                      <a:headEnd/>
                      <a:tailEnd/>
                    </a:ln>
                  </pic:spPr>
                </pic:pic>
              </a:graphicData>
            </a:graphic>
          </wp:inline>
        </w:drawing>
      </w:r>
      <w:bookmarkEnd w:id="30"/>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rPr>
        <w:t xml:space="preserve">(a)</w:t>
      </w:r>
      <w:r>
        <w:t xml:space="preserve"> </w:t>
      </w:r>
      <w:r>
        <w:t xml:space="preserve">Benchmark-referenced: majority-correct credit-band accuracy against the Altman Z</w:t>
      </w:r>
      <m:oMath>
        <m:r>
          <m:t>″</m:t>
        </m:r>
      </m:oMath>
      <w:r>
        <w:t xml:space="preserve"> </w:t>
      </w:r>
      <w:r>
        <w:t xml:space="preserve">reference; the</w:t>
      </w:r>
      <w:r>
        <w:t xml:space="preserve"> </w:t>
      </w:r>
      <w:r>
        <w:t xml:space="preserve">specifications split about 56/44 around the majority-accuracy threshold.</w:t>
      </w:r>
      <w:r>
        <w:t xml:space="preserve"> </w:t>
      </w:r>
      <w:r>
        <w:rPr>
          <w:b/>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Start w:id="31" w:name="tab:var"/>
    <w:p>
      <w:pPr>
        <w:pStyle w:val="TableCaption"/>
      </w:pPr>
      <w:r>
        <w:t xml:space="preserve">Variance shares of the machine credit letter-rank (OLS decomposition with Type-II ANOVA;</w:t>
      </w:r>
      <w:r>
        <w:t xml:space="preserve"> </w:t>
      </w:r>
      <m:oMath>
        <m:r>
          <m:t>n</m:t>
        </m:r>
        <m:r>
          <m:t>=</m:t>
        </m:r>
        <m:r>
          <m:t>45</m:t>
        </m:r>
      </m:oMath>
      <w:r>
        <w:t xml:space="preserve"> </w:t>
      </w:r>
      <w:r>
        <w:t xml:space="preserve">items). The residual is split into pure within-cell seed variance and other unexplained variance.</w:t>
      </w:r>
      <w:r>
        <w:t xml:space="preserve"> </w:t>
      </w:r>
      <w:r>
        <w:t xml:space="preserve">Parenthetical values are issuer-clustered bootstrap 95% confidence intervals.</w:t>
      </w:r>
    </w:p>
    <w:tbl>
      <w:tblPr>
        <w:tblStyle w:val="Table"/>
        <w:tblW w:type="pct" w:w="0.0"/>
        <w:tblLook w:firstRow="1"/>
        <w:tblCaption w:val="Variance shares of the machine credit letter-rank (OLS decomposition with Type-II ANOVA; n=45 items). The residual is split into pure within-cell seed variance and other unexplained variance. Parenthetical values are issuer-clustered bootstrap 95% confidence intervals."/>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right"/>
            </w:pPr>
            <w:r>
              <w:t xml:space="preserve">Variance share</w:t>
            </w:r>
          </w:p>
        </w:tc>
      </w:tr>
      <w:tr>
        <w:tc>
          <w:p>
            <w:pPr>
              <w:pStyle w:val="Compact"/>
              <w:jc w:val="left"/>
            </w:pPr>
            <w:r>
              <w:t xml:space="preserve">Item (firm profile)</w:t>
            </w:r>
          </w:p>
        </w:tc>
        <w:tc>
          <w:p>
            <w:pPr>
              <w:pStyle w:val="Compact"/>
              <w:jc w:val="right"/>
            </w:pPr>
            <w:r>
              <w:t xml:space="preserve">64.9% (53.9–72.3%)</w:t>
            </w:r>
          </w:p>
        </w:tc>
      </w:tr>
      <w:tr>
        <w:tc>
          <w:p>
            <w:pPr>
              <w:pStyle w:val="Compact"/>
              <w:jc w:val="left"/>
            </w:pPr>
            <w:r>
              <w:t xml:space="preserve">Residual (total)</w:t>
            </w:r>
          </w:p>
        </w:tc>
        <w:tc>
          <w:p>
            <w:pPr>
              <w:pStyle w:val="Compact"/>
              <w:jc w:val="right"/>
            </w:pPr>
            <w:r>
              <w:t xml:space="preserve">25.2%</w:t>
            </w:r>
          </w:p>
        </w:tc>
      </w:tr>
      <w:tr>
        <w:tc>
          <w:p>
            <w:pPr>
              <w:pStyle w:val="Compact"/>
              <w:jc w:val="left"/>
            </w:pPr>
            <w:r>
              <w:t xml:space="preserve">— pure within-cell seed variation</w:t>
            </w:r>
          </w:p>
        </w:tc>
        <w:tc>
          <w:p>
            <w:pPr>
              <w:pStyle w:val="Compact"/>
              <w:jc w:val="right"/>
            </w:pPr>
            <w:r>
              <w:t xml:space="preserve">8.1% (6.4–10.8%)</w:t>
            </w:r>
          </w:p>
        </w:tc>
      </w:tr>
      <w:tr>
        <w:tc>
          <w:p>
            <w:pPr>
              <w:pStyle w:val="Compact"/>
              <w:jc w:val="left"/>
            </w:pPr>
            <w:r>
              <w:t xml:space="preserve">— other unexplained (unmodeled interactions)</w:t>
            </w:r>
          </w:p>
        </w:tc>
        <w:tc>
          <w:p>
            <w:pPr>
              <w:pStyle w:val="Compact"/>
              <w:jc w:val="right"/>
            </w:pPr>
            <m:oMath>
              <m:r>
                <m:t>∼</m:t>
              </m:r>
            </m:oMath>
            <w:r>
              <w:t xml:space="preserve">17%</w:t>
            </w:r>
          </w:p>
        </w:tc>
      </w:tr>
      <w:tr>
        <w:tc>
          <w:p>
            <w:pPr>
              <w:pStyle w:val="Compact"/>
              <w:jc w:val="left"/>
            </w:pPr>
            <w:r>
              <w:t xml:space="preserve">Answer presentation (</w:t>
            </w:r>
            <m:oMath>
              <m:sSub>
                <m:e>
                  <m:r>
                    <m:t>A</m:t>
                  </m:r>
                </m:e>
                <m:sub>
                  <m:r>
                    <m:t>7</m:t>
                  </m:r>
                </m:sub>
              </m:sSub>
            </m:oMath>
            <w:r>
              <w:t xml:space="preserve">, largest design axis)</w:t>
            </w:r>
          </w:p>
        </w:tc>
        <w:tc>
          <w:p>
            <w:pPr>
              <w:pStyle w:val="Compact"/>
              <w:jc w:val="right"/>
            </w:pPr>
            <w:r>
              <w:t xml:space="preserve">4.6%</w:t>
            </w:r>
          </w:p>
        </w:tc>
      </w:tr>
      <w:tr>
        <w:tc>
          <w:p>
            <w:pPr>
              <w:pStyle w:val="Compact"/>
              <w:jc w:val="left"/>
            </w:pPr>
            <w:r>
              <w:t xml:space="preserve">Provider</w:t>
            </w:r>
            <w:r>
              <w:t xml:space="preserve"> </w:t>
            </w:r>
            <m:oMath>
              <m:r>
                <m:t>×</m:t>
              </m:r>
            </m:oMath>
            <w:r>
              <w:t xml:space="preserve"> </w:t>
            </w:r>
            <w:r>
              <w:t xml:space="preserve">item interaction</w:t>
            </w:r>
          </w:p>
        </w:tc>
        <w:tc>
          <w:p>
            <w:pPr>
              <w:pStyle w:val="Compact"/>
              <w:jc w:val="right"/>
            </w:pPr>
            <w:r>
              <w:t xml:space="preserve">1.4%</w:t>
            </w:r>
          </w:p>
        </w:tc>
      </w:tr>
      <w:tr>
        <w:tc>
          <w:p>
            <w:pPr>
              <w:pStyle w:val="Compact"/>
              <w:jc w:val="left"/>
            </w:pPr>
            <w:r>
              <w:t xml:space="preserve">Prompt paraphrase / few-shot / format / version</w:t>
            </w:r>
          </w:p>
        </w:tc>
        <w:tc>
          <w:p>
            <w:pPr>
              <w:pStyle w:val="Compact"/>
              <w:jc w:val="right"/>
            </w:pPr>
            <m:oMath>
              <m:r>
                <m:t>≤</m:t>
              </m:r>
            </m:oMath>
            <w:r>
              <w:t xml:space="preserve">1.0% each</w:t>
            </w:r>
          </w:p>
        </w:tc>
      </w:tr>
      <w:tr>
        <w:tc>
          <w:p>
            <w:pPr>
              <w:pStyle w:val="Compact"/>
              <w:jc w:val="left"/>
            </w:pPr>
            <w:r>
              <w:t xml:space="preserve">Model provider (main effect)</w:t>
            </w:r>
          </w:p>
        </w:tc>
        <w:tc>
          <w:p>
            <w:pPr>
              <w:pStyle w:val="Compact"/>
              <w:jc w:val="right"/>
            </w:pPr>
            <w:r>
              <w:t xml:space="preserve">0.3%</w:t>
            </w:r>
          </w:p>
        </w:tc>
      </w:tr>
    </w:tbl>
    <w:bookmarkEnd w:id="31"/>
    <w:p>
      <w:pPr>
        <w:pStyle w:val="BodyText"/>
      </w:pPr>
      <w:r>
        <w:t xml:space="preserve">The item, design-axis, provider</w:t>
      </w:r>
      <m:oMath>
        <m:r>
          <m:t>×</m:t>
        </m:r>
      </m:oMath>
      <w:r>
        <w:t xml:space="preserve">item interaction, and residual shares</w:t>
      </w:r>
      <w:r>
        <w:t xml:space="preserve"> </w:t>
      </w:r>
      <w:r>
        <w:t xml:space="preserve">partition the total variance and sum to 100% up to rounding; the two indented rows are a decomposition</w:t>
      </w:r>
      <w:r>
        <w:t xml:space="preserve"> </w:t>
      </w:r>
      <w:r>
        <w:t xml:space="preserve">of the residual, not additional components.</w:t>
      </w:r>
    </w:p>
    <w:p>
      <w:pPr>
        <w:pStyle w:val="Heading2"/>
      </w:pPr>
      <w:bookmarkStart w:id="32" w:name="Xbbb5a40575d6b28e60fbe2c2efe587619ec44e6"/>
      <w:r>
        <w:t xml:space="preserve">Specification fragility under deterministic execution</w:t>
      </w:r>
      <w:bookmarkEnd w:id="32"/>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deterministic execution: Google at</w:t>
      </w:r>
      <w:r>
        <w:t xml:space="preserve"> </w:t>
      </w:r>
      <w:r>
        <w:t xml:space="preserve">temperature 0. This subgrid removes repeated-call sampling variation but retains substantial</w:t>
      </w:r>
      <w:r>
        <w:t xml:space="preserve"> </w:t>
      </w:r>
      <w:r>
        <w:t xml:space="preserve">specification dependence. In it, 62.5% of specifications fall on opposite sides of the majority-accuracy</w:t>
      </w:r>
      <w:r>
        <w:t xml:space="preserve"> </w:t>
      </w:r>
      <w:r>
        <w:t xml:space="preserve">threshold, and benchmark-consistent credit-band accuracy ranges from 0.36 to 0.69 across deterministic</w:t>
      </w:r>
      <w:r>
        <w:t xml:space="preserve"> </w:t>
      </w:r>
      <w:r>
        <w:t xml:space="preserve">prompt configurations.</w:t>
      </w:r>
    </w:p>
    <w:p>
      <w:pPr>
        <w:pStyle w:val="BodyText"/>
      </w:pPr>
      <w:r>
        <w:t xml:space="preserve">A one-sided permutation test rejects the null of specification invariance: specification labels are</w:t>
      </w:r>
      <w:r>
        <w:t xml:space="preserve"> </w:t>
      </w:r>
      <w:r>
        <w:t xml:space="preserve">shuffled across the deterministic subgrid, breaking the specification–outcome association. Across 999</w:t>
      </w:r>
      <w:r>
        <w:t xml:space="preserve"> </w:t>
      </w:r>
      <w:r>
        <w:t xml:space="preserve">permutations, no permuted labeling produced a between-specification spread as large as the observed</w:t>
      </w:r>
      <w:r>
        <w:t xml:space="preserve"> </w:t>
      </w:r>
      <w:r>
        <w:t xml:space="preserve">statistic, giving</w:t>
      </w:r>
      <w:r>
        <w:t xml:space="preserve"> </w:t>
      </w:r>
      <m:oMath>
        <m:r>
          <m:t>p</m:t>
        </m:r>
        <m:r>
          <m:t>=</m:t>
        </m:r>
        <m:r>
          <m:t>(</m:t>
        </m:r>
        <m:r>
          <m:t>k</m:t>
        </m:r>
        <m:r>
          <m:t>+</m:t>
        </m:r>
        <m:r>
          <m:t>1</m:t>
        </m:r>
        <m:r>
          <m:t>)</m:t>
        </m:r>
        <m:r>
          <m:t>/</m:t>
        </m:r>
        <m:r>
          <m:t>(</m:t>
        </m:r>
        <m:r>
          <m:t>n</m:t>
        </m:r>
        <m:r>
          <m:t>+</m:t>
        </m:r>
        <m:r>
          <m:t>1</m:t>
        </m:r>
        <m:r>
          <m:t>)</m:t>
        </m:r>
        <m:r>
          <m:t>=</m:t>
        </m:r>
        <m:r>
          <m:t>0.001</m:t>
        </m:r>
      </m:oMath>
      <w:r>
        <w:t xml:space="preserve">, the minimum attainable with 999 permutations. Deterministic execution thus removes run-to-run jitter but does not eliminate</w:t>
      </w:r>
      <w:r>
        <w:t xml:space="preserve"> </w:t>
      </w:r>
      <w:r>
        <w:t xml:space="preserve">sensitivity to prompt and presentation choices; indeed, the specification-curve flip share within the</w:t>
      </w:r>
      <w:r>
        <w:t xml:space="preserve"> </w:t>
      </w:r>
      <w:r>
        <w:t xml:space="preserve">deterministic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p>
      <w:pPr>
        <w:pStyle w:val="Heading2"/>
      </w:pPr>
      <w:bookmarkStart w:id="33" w:name="agreement-within-and-between-providers"/>
      <w:r>
        <w:t xml:space="preserve">Agreement within and between providers</w:t>
      </w:r>
      <w:bookmarkEnd w:id="33"/>
    </w:p>
    <w:p>
      <w:pPr>
        <w:pStyle w:val="FirstParagraph"/>
      </w:pPr>
      <w:r>
        <w:t xml:space="preserve">The small provider main effect might suggest that provider choice does not matter much.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p>
      <w:pPr>
        <w:pStyle w:val="Heading2"/>
      </w:pPr>
      <w:bookmarkStart w:id="34" w:name="stability-across-rating-resolutions"/>
      <w:r>
        <w:t xml:space="preserve">Stability across rating resolutions</w:t>
      </w:r>
      <w:bookmarkEnd w:id="34"/>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w:t>
      </w:r>
      <w:hyperlink w:anchor="tab:map">
        <w:r>
          <w:rPr>
            <w:rStyle w:val="Hyperlink"/>
          </w:rPr>
          <w:t xml:space="preserve">6</w:t>
        </w:r>
      </w:hyperlink>
      <w:r>
        <w:t xml:space="preserve">).</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w:t>
      </w:r>
      <w:hyperlink w:anchor="fig:ighy">
        <w:r>
          <w:rPr>
            <w:rStyle w:val="Hyperlink"/>
          </w:rPr>
          <w:t xml:space="preserve">2</w:t>
        </w:r>
      </w:hyperlink>
      <w:r>
        <w:t xml:space="preserve">).</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w:t>
      </w:r>
      <w:hyperlink w:anchor="fig:kappa">
        <w:r>
          <w:rPr>
            <w:rStyle w:val="Hyperlink"/>
          </w:rPr>
          <w:t xml:space="preserve">3</w:t>
        </w:r>
      </w:hyperlink>
      <w:r>
        <w:t xml:space="preserve">). No evaluated rating resolution meets the</w:t>
      </w:r>
      <w:r>
        <w:t xml:space="preserve"> </w:t>
      </w:r>
      <w:r>
        <w:t xml:space="preserve">conventional threshold for substantial agreement (</w:t>
      </w:r>
      <m:oMath>
        <m:r>
          <m:t>κ</m:t>
        </m:r>
        <m: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it concentrates near the</w:t>
      </w:r>
      <w:r>
        <w:t xml:space="preserve"> </w:t>
      </w:r>
      <w:r>
        <w:t xml:space="preserve">investment-grade cut.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p>
    <w:p>
      <w:pPr>
        <w:pStyle w:val="CaptionedFigure"/>
      </w:pPr>
      <w:bookmarkStart w:id="36" w:name="fig:ighy"/>
      <w:r>
        <w:drawing>
          <wp:inline>
            <wp:extent cx="5146371" cy="3124582"/>
            <wp:effectExtent b="0" l="0" r="0" t="0"/>
            <wp:docPr descr="Share of matched elicitation pairs whose credit verdicts differ, by rating granularity, where the two elicitations of a firm may differ on any grid axis (provider, model version, temperature, paraphrase, format, few-shot, presentation) and seed. Even at the coarse investment-grade/high-yield split, the most consequential line in credit, about 25% of matched pairs disagree." title="" id="1" name="Picture"/>
            <a:graphic>
              <a:graphicData uri="http://schemas.openxmlformats.org/drawingml/2006/picture">
                <pic:pic>
                  <pic:nvPicPr>
                    <pic:cNvPr descr="figure1_ighy.png" id="0" name="Picture"/>
                    <pic:cNvPicPr>
                      <a:picLocks noChangeArrowheads="1" noChangeAspect="1"/>
                    </pic:cNvPicPr>
                  </pic:nvPicPr>
                  <pic:blipFill>
                    <a:blip r:embed="rId35"/>
                    <a:stretch>
                      <a:fillRect/>
                    </a:stretch>
                  </pic:blipFill>
                  <pic:spPr bwMode="auto">
                    <a:xfrm>
                      <a:off x="0" y="0"/>
                      <a:ext cx="5146371" cy="3124582"/>
                    </a:xfrm>
                    <a:prstGeom prst="rect">
                      <a:avLst/>
                    </a:prstGeom>
                    <a:noFill/>
                    <a:ln w="9525">
                      <a:noFill/>
                      <a:headEnd/>
                      <a:tailEnd/>
                    </a:ln>
                  </pic:spPr>
                </pic:pic>
              </a:graphicData>
            </a:graphic>
          </wp:inline>
        </w:drawing>
      </w:r>
      <w:bookmarkEnd w:id="36"/>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w:t>
      </w:r>
    </w:p>
    <w:p>
      <w:pPr>
        <w:pStyle w:val="CaptionedFigure"/>
      </w:pPr>
      <w:bookmarkStart w:id="38" w:name="fig:kappa"/>
      <w:r>
        <w:drawing>
          <wp:inline>
            <wp:extent cx="5146371" cy="3124582"/>
            <wp:effectExtent b="0" l="0" r="0" t="0"/>
            <wp:docPr descr="Chance-corrected cross-specification agreement (unweighted Fleiss \kappa) by granularity; agreement peaks at 0.49 on the IG/HY split and no resolution reaches the \kappa=0.6 substantial threshold under unweighted scoring. Ordinal weighting raises letter-scale agreement (Krippendorff’s \alpha=0.65 quadratic), but the binary IG/HY flip is unaffected by weighting." title="" id="1" name="Picture"/>
            <a:graphic>
              <a:graphicData uri="http://schemas.openxmlformats.org/drawingml/2006/picture">
                <pic:pic>
                  <pic:nvPicPr>
                    <pic:cNvPr descr="figureA_kappa.png" id="0" name="Picture"/>
                    <pic:cNvPicPr>
                      <a:picLocks noChangeArrowheads="1" noChangeAspect="1"/>
                    </pic:cNvPicPr>
                  </pic:nvPicPr>
                  <pic:blipFill>
                    <a:blip r:embed="rId37"/>
                    <a:stretch>
                      <a:fillRect/>
                    </a:stretch>
                  </pic:blipFill>
                  <pic:spPr bwMode="auto">
                    <a:xfrm>
                      <a:off x="0" y="0"/>
                      <a:ext cx="5146371" cy="3124582"/>
                    </a:xfrm>
                    <a:prstGeom prst="rect">
                      <a:avLst/>
                    </a:prstGeom>
                    <a:noFill/>
                    <a:ln w="9525">
                      <a:noFill/>
                      <a:headEnd/>
                      <a:tailEnd/>
                    </a:ln>
                  </pic:spPr>
                </pic:pic>
              </a:graphicData>
            </a:graphic>
          </wp:inline>
        </w:drawing>
      </w:r>
      <w:bookmarkEnd w:id="38"/>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t>=</m:t>
        </m:r>
        <m:r>
          <m:t>0.65</m:t>
        </m:r>
      </m:oMath>
      <w:r>
        <w:t xml:space="preserve"> </w:t>
      </w:r>
      <w:r>
        <w:t xml:space="preserve">quadratic), but the binary IG/HY flip is unaffected by weighting.</w:t>
      </w:r>
    </w:p>
    <w:p>
      <w:pPr>
        <w:pStyle w:val="Heading2"/>
      </w:pPr>
      <w:bookmarkStart w:id="39" w:name="X550f5210f40dfd123c9f40984dcf8431bc8b469"/>
      <w:r>
        <w:t xml:space="preserve">Economic implications of elicitation instability</w:t>
      </w:r>
      <w:bookmarkEnd w:id="39"/>
    </w:p>
    <w:p>
      <w:pPr>
        <w:pStyle w:val="FirstParagraph"/>
      </w:pPr>
      <w:r>
        <w:t xml:space="preserve">Statistical disagreement is economically important when alternative specifications produce decisions on</w:t>
      </w:r>
      <w:r>
        <w:t xml:space="preserve"> </w:t>
      </w:r>
      <w:r>
        <w:t xml:space="preserve">opposite sides of consequential credit boundaries. We translate the observed rating instability into</w:t>
      </w:r>
      <w:r>
        <w:t xml:space="preserve"> </w:t>
      </w:r>
      <w:r>
        <w:t xml:space="preserve">three decision-relevant quantities: investment-grade/high-yield migration, portfolio turnover, and</w:t>
      </w:r>
      <w:r>
        <w:t xml:space="preserve"> </w:t>
      </w:r>
      <w:r>
        <w:t xml:space="preserve">illustrative spread and capital implications.</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an investment-grade/high-yield flip rate of 25.2% (95% CI 19.7–31.2%): about a quarter of</w:t>
      </w:r>
      <w:r>
        <w:t xml:space="preserve"> </w:t>
      </w:r>
      <w:r>
        <w:t xml:space="preserve">matched ratings for the same underlying credit profile disagree on which side of the investment-grade</w:t>
      </w:r>
      <w:r>
        <w:t xml:space="preserve"> </w:t>
      </w:r>
      <w:r>
        <w:t xml:space="preserve">boundary the profile falls.</w:t>
      </w:r>
    </w:p>
    <w:p>
      <w:pPr>
        <w:pStyle w:val="BodyText"/>
      </w:pPr>
      <w:r>
        <w:t xml:space="preserve">The implication for the directional task is similar. A strategy that mechanically follows the modal</w:t>
      </w:r>
      <w:r>
        <w:t xml:space="preserve"> </w:t>
      </w:r>
      <w:r>
        <w:t xml:space="preserve">buy/hold/sell call across specifications would incur 53.5% implied turnover (95% CI 47.4–58.9%) due</w:t>
      </w:r>
      <w:r>
        <w:t xml:space="preserve"> </w:t>
      </w:r>
      <w:r>
        <w:t xml:space="preserve">solely to elicitation choices. With the financial inputs unchanged, this turnover reflects specification</w:t>
      </w:r>
      <w:r>
        <w:t xml:space="preserve"> </w:t>
      </w:r>
      <w:r>
        <w:t xml:space="preserve">instability rather than new economic information.</w:t>
      </w:r>
    </w:p>
    <w:p>
      <w:pPr>
        <w:pStyle w:val="BodyText"/>
      </w:pPr>
      <w:r>
        <w:t xml:space="preserve">We also offer two post-hoc economic calibrations. Across all profiles, the median within-name spread</w:t>
      </w:r>
      <w:r>
        <w:t xml:space="preserve"> </w:t>
      </w:r>
      <w:r>
        <w:t xml:space="preserve">range is about 275 basis points under the rating-spread schedule of Cornaggia et al. (2018), rising to</w:t>
      </w:r>
      <w:r>
        <w:t xml:space="preserve"> </w:t>
      </w:r>
      <w:r>
        <w:t xml:space="preserve">about 860 basis points for names saturating in the CCC region; for non-saturating profiles the median</w:t>
      </w:r>
      <w:r>
        <w:t xml:space="preserve"> </w:t>
      </w:r>
      <w:r>
        <w:t xml:space="preserve">range is about 261 basis points, with a floor near 42 basis points. Mapping each specification’s rating</w:t>
      </w:r>
      <w:r>
        <w:t xml:space="preserve"> </w:t>
      </w:r>
      <w:r>
        <w:t xml:space="preserve">through the Basel standardized external-ratings risk-weight framework (Basel Committee on Banking Supervision, 2019) for a single</w:t>
      </w:r>
      <w:r>
        <w:t xml:space="preserve"> </w:t>
      </w:r>
      <w:r>
        <w:t xml:space="preserve">hypothetical $45 billion equal-weight corporate portfolio, the resulting Pillar-1 minimum-capital</w:t>
      </w:r>
      <w:r>
        <w:t xml:space="preserve"> </w:t>
      </w:r>
      <w:r>
        <w:t xml:space="preserve">requirement, driven only by the elicitation specification, ranges from approximately $2.0 billion to</w:t>
      </w:r>
      <w:r>
        <w:t xml:space="preserve"> </w:t>
      </w:r>
      <w:r>
        <w:t xml:space="preserve">$4.1 billion (median $3.1 billion; interquartile range $2.9–3.6 billion), so the dispersion is not</w:t>
      </w:r>
      <w:r>
        <w:t xml:space="preserve"> </w:t>
      </w:r>
      <w:r>
        <w:t xml:space="preserve">driven only by extreme specifications. Two randomly drawn specifications differ by about $0.57 billion on</w:t>
      </w:r>
      <w:r>
        <w:t xml:space="preserve"> </w:t>
      </w:r>
      <w:r>
        <w:t xml:space="preserve">average, or 18.3% of the median computed capital requirement; under value-weighting this pairwise</w:t>
      </w:r>
      <w:r>
        <w:t xml:space="preserve"> </w:t>
      </w:r>
      <w:r>
        <w:t xml:space="preserve">dispersion is 20.5%, comparable to the</w:t>
      </w:r>
      <w:r>
        <w:t xml:space="preserve"> </w:t>
      </w:r>
      <m:oMath>
        <m:r>
          <m:t>∼</m:t>
        </m:r>
      </m:oMath>
      <w:r>
        <w:t xml:space="preserve">20% relative dispersion the Basel RCAP exercise found</w:t>
      </w:r>
      <w:r>
        <w:t xml:space="preserve"> </w:t>
      </w:r>
      <w:r>
        <w:t xml:space="preserve">across internal-model banks holding identical portfolios (Basel Committee on Banking Supervision, 2013). Although these spread and</w:t>
      </w:r>
      <w:r>
        <w:t xml:space="preserve"> </w:t>
      </w:r>
      <w:r>
        <w:t xml:space="preserve">capital calculations are explicitly post-hoc calibrations rather than confirmatory tests, they indicate</w:t>
      </w:r>
      <w:r>
        <w:t xml:space="preserve"> </w:t>
      </w:r>
      <w:r>
        <w:t xml:space="preserve">that the magnitude of specification-induced rating dispersion is economically non-trivial</w:t>
      </w:r>
      <w:r>
        <w:t xml:space="preserve"> </w:t>
      </w:r>
      <w:r>
        <w:t xml:space="preserve">(Table </w:t>
      </w:r>
      <w:hyperlink w:anchor="tab:frag">
        <w:r>
          <w:rPr>
            <w:rStyle w:val="Hyperlink"/>
          </w:rPr>
          <w:t xml:space="preserve">2</w:t>
        </w:r>
      </w:hyperlink>
      <w:r>
        <w:t xml:space="preserve">).</w:t>
      </w:r>
    </w:p>
    <w:bookmarkStart w:id="40" w:name="tab:frag"/>
    <w:p>
      <w:pPr>
        <w:pStyle w:val="TableCaption"/>
      </w:pPr>
      <w:r>
        <w:t xml:space="preserve">Fragility in decision and economic units. Parenthetical values are 95% confidence intervals</w:t>
      </w:r>
      <w:r>
        <w:t xml:space="preserve"> </w:t>
      </w:r>
      <w:r>
        <w:t xml:space="preserve">(issuer-clustered percentile bootstrap).</w:t>
      </w:r>
    </w:p>
    <w:tbl>
      <w:tblPr>
        <w:tblStyle w:val="Table"/>
        <w:tblW w:type="pct" w:w="0.0"/>
        <w:tblLook w:firstRow="1"/>
        <w:tblCaption w:val="Fragility in decision and economic units.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Specifications flipping majority credit</w:t>
            </w:r>
            <w:r>
              <w:t xml:space="preserve"> </w:t>
            </w:r>
            <w:r>
              <w:rPr>
                <w:i/>
              </w:rPr>
              <w:t xml:space="preserve">band</w:t>
            </w:r>
            <w:r>
              <w:t xml:space="preserve"> </w:t>
            </w:r>
            <w:r>
              <w:t xml:space="preserve">verdict (pooled / determ.)</w:t>
            </w:r>
          </w:p>
        </w:tc>
        <w:tc>
          <w:p>
            <w:pPr>
              <w:pStyle w:val="Compact"/>
              <w:jc w:val="right"/>
            </w:pPr>
            <m:oMath>
              <m:r>
                <m:t>∼</m:t>
              </m:r>
            </m:oMath>
            <w:r>
              <w:t xml:space="preserve">56% / 62.5%</w:t>
            </w:r>
          </w:p>
        </w:tc>
      </w:tr>
      <w:tr>
        <w:tc>
          <w:p>
            <w:pPr>
              <w:pStyle w:val="Compact"/>
              <w:jc w:val="left"/>
            </w:pPr>
            <w:r>
              <w:t xml:space="preserve">Credit-band accuracy range, honored-determinism subgrid</w:t>
            </w:r>
          </w:p>
        </w:tc>
        <w:tc>
          <w:p>
            <w:pPr>
              <w:pStyle w:val="Compact"/>
              <w:jc w:val="right"/>
            </w:pPr>
            <w:r>
              <w:t xml:space="preserve">0.36–0.69</w:t>
            </w:r>
          </w:p>
        </w:tc>
      </w:tr>
      <w:tr>
        <w:tc>
          <w:p>
            <w:pPr>
              <w:pStyle w:val="Compact"/>
              <w:jc w:val="left"/>
            </w:pPr>
            <w:r>
              <w:t xml:space="preserve">Permutation test, determinism subgrid</w:t>
            </w:r>
          </w:p>
        </w:tc>
        <w:tc>
          <w:p>
            <w:pPr>
              <w:pStyle w:val="Compact"/>
              <w:jc w:val="right"/>
            </w:pPr>
            <m:oMath>
              <m:r>
                <m:t>p</m:t>
              </m:r>
              <m:r>
                <m:t>=</m:t>
              </m:r>
              <m:r>
                <m:t>0.001</m:t>
              </m:r>
            </m:oMath>
            <w:r>
              <w:t xml:space="preserve"> </w:t>
            </w:r>
            <w:r>
              <w:t xml:space="preserve">(999 perms)</w:t>
            </w:r>
          </w:p>
        </w:tc>
      </w:tr>
      <w:tr>
        <w:tc>
          <w:p>
            <w:pPr>
              <w:pStyle w:val="Compact"/>
              <w:jc w:val="left"/>
            </w:pPr>
            <w:r>
              <w:t xml:space="preserve">Within- vs cross-provider agreement (band / letter)</w:t>
            </w:r>
          </w:p>
        </w:tc>
        <w:tc>
          <w:p>
            <w:pPr>
              <w:pStyle w:val="Compact"/>
              <w:jc w:val="right"/>
            </w:pPr>
            <w:r>
              <w:t xml:space="preserve">82.5/64.4</w:t>
            </w:r>
            <w:r>
              <w:t xml:space="preserve"> </w:t>
            </w:r>
            <m:oMath>
              <m:r>
                <m:t>⋅</m:t>
              </m:r>
            </m:oMath>
            <w:r>
              <w:t xml:space="preserve"> </w:t>
            </w:r>
            <w:r>
              <w:t xml:space="preserve">30.4/11.1</w:t>
            </w:r>
          </w:p>
        </w:tc>
      </w:tr>
      <w:tr>
        <w:tc>
          <w:p>
            <w:pPr>
              <w:pStyle w:val="Compact"/>
              <w:jc w:val="left"/>
            </w:pPr>
            <w:r>
              <w:t xml:space="preserve">Max chance-corrected agreement (Fleiss</w:t>
            </w:r>
            <w:r>
              <w:t xml:space="preserve"> </w:t>
            </w:r>
            <m:oMath>
              <m:r>
                <m:t>κ</m:t>
              </m:r>
            </m:oMath>
            <w:r>
              <w:t xml:space="preserve">, IG/HY)</w:t>
            </w:r>
          </w:p>
        </w:tc>
        <w:tc>
          <w:p>
            <w:pPr>
              <w:pStyle w:val="Compact"/>
              <w:jc w:val="right"/>
            </w:pPr>
            <w:r>
              <w:t xml:space="preserve">0.49 (no scale</w:t>
            </w:r>
            <w:r>
              <w:t xml:space="preserve"> </w:t>
            </w:r>
            <m:oMath>
              <m:r>
                <m:t>≥</m:t>
              </m:r>
              <m:r>
                <m:t>0.6</m:t>
              </m:r>
            </m:oMath>
            <w:r>
              <w:t xml:space="preserve">)</w:t>
            </w:r>
          </w:p>
        </w:tc>
      </w:tr>
      <w:tr>
        <w:tc>
          <w:p>
            <w:pPr>
              <w:pStyle w:val="Compact"/>
              <w:jc w:val="left"/>
            </w:pPr>
            <w:r>
              <w:t xml:space="preserve">Per-comparison IG/HY boundary flip</w:t>
            </w:r>
          </w:p>
        </w:tc>
        <w:tc>
          <w:p>
            <w:pPr>
              <w:pStyle w:val="Compact"/>
              <w:jc w:val="right"/>
            </w:pPr>
            <w:r>
              <w:t xml:space="preserve">25.2% (95% CI 19.7–31.2%)</w:t>
            </w:r>
          </w:p>
        </w:tc>
      </w:tr>
      <w:tr>
        <w:tc>
          <w:p>
            <w:pPr>
              <w:pStyle w:val="Compact"/>
              <w:jc w:val="left"/>
            </w:pPr>
            <w:r>
              <w:t xml:space="preserve">Implied turnover (modal-call instability)</w:t>
            </w:r>
          </w:p>
        </w:tc>
        <w:tc>
          <w:p>
            <w:pPr>
              <w:pStyle w:val="Compact"/>
              <w:jc w:val="right"/>
            </w:pPr>
            <w:r>
              <w:t xml:space="preserve">53.5% (95% CI 47.4–58.9%)</w:t>
            </w:r>
          </w:p>
        </w:tc>
      </w:tr>
      <w:tr>
        <w:tc>
          <w:p>
            <w:pPr>
              <w:pStyle w:val="Compact"/>
              <w:jc w:val="left"/>
            </w:pPr>
            <w:r>
              <w:t xml:space="preserve">Implied spread range per name (non-saturating / median)</w:t>
            </w:r>
          </w:p>
        </w:tc>
        <w:tc>
          <w:p>
            <w:pPr>
              <w:pStyle w:val="Compact"/>
              <w:jc w:val="right"/>
            </w:pPr>
            <m:oMath>
              <m:r>
                <m:t>∼</m:t>
              </m:r>
            </m:oMath>
            <w:r>
              <w:t xml:space="preserve">261 /</w:t>
            </w:r>
            <w:r>
              <w:t xml:space="preserve"> </w:t>
            </w:r>
            <m:oMath>
              <m:r>
                <m:t>∼</m:t>
              </m:r>
            </m:oMath>
            <w:r>
              <w:t xml:space="preserve">275 bps</w:t>
            </w:r>
          </w:p>
        </w:tc>
      </w:tr>
      <w:tr>
        <w:tc>
          <w:p>
            <w:pPr>
              <w:pStyle w:val="Compact"/>
              <w:jc w:val="left"/>
            </w:pPr>
            <w:r>
              <w:t xml:space="preserve">Pillar-1 capital range, same $45bn book (post-hoc cut)</w:t>
            </w:r>
          </w:p>
        </w:tc>
        <w:tc>
          <w:p>
            <w:pPr>
              <w:pStyle w:val="Compact"/>
              <w:jc w:val="right"/>
            </w:pPr>
            <w:r>
              <w:t xml:space="preserve">$2.0–4.1bn (IQR 2.9–3.6)</w:t>
            </w:r>
          </w:p>
        </w:tc>
      </w:tr>
    </w:tbl>
    <w:bookmarkEnd w:id="40"/>
    <w:p>
      <w:pPr>
        <w:pStyle w:val="Heading2"/>
      </w:pPr>
      <w:bookmarkStart w:id="41" w:name="sec:realarm"/>
      <w:r>
        <w:t xml:space="preserve">Robustness on decontaminated real issuers</w:t>
      </w:r>
      <w:bookmarkEnd w:id="41"/>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first, before using real issuers as a robustness sample.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decontaminated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t>−</m:t>
        </m:r>
        <m:r>
          <m:t>0.091</m:t>
        </m:r>
      </m:oMath>
      <w:r>
        <w:t xml:space="preserve"> </w:t>
      </w:r>
      <w:r>
        <w:t xml:space="preserve">(95% CI</w:t>
      </w:r>
      <w:r>
        <w:t xml:space="preserve"> </w:t>
      </w:r>
      <m:oMath>
        <m:r>
          <m:t>−</m:t>
        </m:r>
        <m:r>
          <m:t>0.213</m:t>
        </m:r>
      </m:oMath>
      <w:r>
        <w:t xml:space="preserve"> </w:t>
      </w:r>
      <w:r>
        <w:t xml:space="preserve">to</w:t>
      </w:r>
      <w:r>
        <w:t xml:space="preserve"> </w:t>
      </w:r>
      <m:oMath>
        <m:r>
          <m:t>0.032</m:t>
        </m:r>
      </m:oMath>
      <w:r>
        <w:t xml:space="preserve">; Table </w:t>
      </w:r>
      <w:hyperlink w:anchor="tab:realarm">
        <w:r>
          <w:rPr>
            <w:rStyle w:val="Hyperlink"/>
          </w:rPr>
          <w:t xml:space="preserve">3</w:t>
        </w:r>
      </w:hyperlink>
      <w:r>
        <w:t xml:space="preserve">). The difference is not statistically distinguishable from zero, and</w:t>
      </w:r>
      <w:r>
        <w:t xml:space="preserve"> </w:t>
      </w:r>
      <w:r>
        <w:t xml:space="preserve">the pre-registered two-one-sided-tests (TOST) equivalence test at the</w:t>
      </w:r>
      <w:r>
        <w:t xml:space="preserve"> </w:t>
      </w:r>
      <m:oMath>
        <m:r>
          <m:t>±</m:t>
        </m:r>
        <m:r>
          <m:t>0.15</m:t>
        </m:r>
      </m:oMath>
      <w:r>
        <w:t xml:space="preserve"> </w:t>
      </w:r>
      <w:r>
        <w:t xml:space="preserve">margin does not establish</w:t>
      </w:r>
      <w:r>
        <w:t xml:space="preserve"> </w:t>
      </w:r>
      <w:r>
        <w:t xml:space="preserve">quantitative equivalence (</w:t>
      </w:r>
      <m:oMath>
        <m:r>
          <m:t>p</m:t>
        </m:r>
        <m:r>
          <m:t>=</m:t>
        </m:r>
        <m:r>
          <m:t>0.179</m:t>
        </m:r>
      </m:oMath>
      <w:r>
        <w:t xml:space="preserve">), consistent with limited power at 16 real and 15 battery WATCH</w:t>
      </w:r>
      <w:r>
        <w:t xml:space="preserve"> </w:t>
      </w:r>
      <w:r>
        <w:t xml:space="preserve">observations. We therefore treat this arm as an illustrative external-validity check rather than a</w:t>
      </w:r>
      <w:r>
        <w:t xml:space="preserve"> </w:t>
      </w:r>
      <w:r>
        <w:t xml:space="preserve">formal equivalence claim: substantial specification instability remains observable in decontaminated real</w:t>
      </w:r>
      <w:r>
        <w:t xml:space="preserve"> </w:t>
      </w:r>
      <w:r>
        <w:t xml:space="preserve">issuers under the same elicitation conditions, but the small sample cannot certify that its magnitude</w:t>
      </w:r>
      <w:r>
        <w:t xml:space="preserve"> </w:t>
      </w:r>
      <w:r>
        <w:t xml:space="preserve">equals the constructed battery’s. As a separate descriptive reference, machine-generated credit bands</w:t>
      </w:r>
      <w:r>
        <w:t xml:space="preserve"> </w:t>
      </w:r>
      <w:r>
        <w:t xml:space="preserve">match the disclosed agency ratings about 54% of the time, above the</w:t>
      </w:r>
      <w:r>
        <w:t xml:space="preserve"> </w:t>
      </w:r>
      <m:oMath>
        <m:r>
          <m:t>∼</m:t>
        </m:r>
      </m:oMath>
      <w:r>
        <w:t xml:space="preserve">33% expected by chance on</w:t>
      </w:r>
      <w:r>
        <w:t xml:space="preserve"> </w:t>
      </w:r>
      <w:r>
        <w:t xml:space="preserve">three bands, but far from reliable agreement.</w:t>
      </w:r>
    </w:p>
    <w:bookmarkStart w:id="42" w:name="tab:realarm"/>
    <w:p>
      <w:pPr>
        <w:pStyle w:val="TableCaption"/>
      </w:pPr>
      <w:r>
        <w:t xml:space="preserve">Real-firm arm: 31 decontaminated business-to-business issuers, agency-rating benchmark.</w:t>
      </w:r>
      <w:r>
        <w:t xml:space="preserve"> </w:t>
      </w:r>
      <w:r>
        <w:t xml:space="preserve">Parenthetical values are 95% confidence intervals (issuer-clustered percentile bootstrap).</w:t>
      </w:r>
    </w:p>
    <w:tbl>
      <w:tblPr>
        <w:tblStyle w:val="Table"/>
        <w:tblW w:type="pct" w:w="0.0"/>
        <w:tblLook w:firstRow="1"/>
        <w:tblCaption w:val="Real-firm arm: 31 decontaminated business-to-business issuers, agency-rating benchmark. Parenthetical values are 95% confidence intervals (issuer-clustered percentile bootstrap)."/>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right"/>
            </w:pPr>
            <w:r>
              <w:t xml:space="preserve">Result</w:t>
            </w:r>
          </w:p>
        </w:tc>
      </w:tr>
      <w:tr>
        <w:tc>
          <w:p>
            <w:pPr>
              <w:pStyle w:val="Compact"/>
              <w:jc w:val="left"/>
            </w:pPr>
            <w:r>
              <w:t xml:space="preserve">Fingerprint identification, naive (exact figures)</w:t>
            </w:r>
          </w:p>
        </w:tc>
        <w:tc>
          <w:p>
            <w:pPr>
              <w:pStyle w:val="Compact"/>
              <w:jc w:val="right"/>
            </w:pPr>
            <w:r>
              <w:t xml:space="preserve">22%</w:t>
            </w:r>
          </w:p>
        </w:tc>
      </w:tr>
      <w:tr>
        <w:tc>
          <w:p>
            <w:pPr>
              <w:pStyle w:val="Compact"/>
              <w:jc w:val="left"/>
            </w:pPr>
            <w:r>
              <w:t xml:space="preserve">Fingerprint identification, decontaminated (gate)</w:t>
            </w:r>
          </w:p>
        </w:tc>
        <w:tc>
          <w:p>
            <w:pPr>
              <w:pStyle w:val="Compact"/>
              <w:jc w:val="right"/>
            </w:pPr>
            <w:r>
              <w:t xml:space="preserve">2.9%</w:t>
            </w:r>
          </w:p>
        </w:tc>
      </w:tr>
      <w:tr>
        <w:tc>
          <w:p>
            <w:pPr>
              <w:pStyle w:val="Compact"/>
              <w:jc w:val="left"/>
            </w:pPr>
            <w:r>
              <w:t xml:space="preserve">WATCH-stratum flip-share, real arm</w:t>
            </w:r>
          </w:p>
        </w:tc>
        <w:tc>
          <w:p>
            <w:pPr>
              <w:pStyle w:val="Compact"/>
              <w:jc w:val="right"/>
            </w:pPr>
            <w:r>
              <w:t xml:space="preserve">0.226 (0.147–0.308)</w:t>
            </w:r>
          </w:p>
        </w:tc>
      </w:tr>
      <w:tr>
        <w:tc>
          <w:p>
            <w:pPr>
              <w:pStyle w:val="Compact"/>
              <w:jc w:val="left"/>
            </w:pPr>
            <w:r>
              <w:t xml:space="preserve">WATCH-stratum flip-share, battery (same 12 specs)</w:t>
            </w:r>
          </w:p>
        </w:tc>
        <w:tc>
          <w:p>
            <w:pPr>
              <w:pStyle w:val="Compact"/>
              <w:jc w:val="right"/>
            </w:pPr>
            <w:r>
              <w:t xml:space="preserve">0.318 (0.223–0.406)</w:t>
            </w:r>
          </w:p>
        </w:tc>
      </w:tr>
      <w:tr>
        <w:tc>
          <w:p>
            <w:pPr>
              <w:pStyle w:val="Compact"/>
              <w:jc w:val="left"/>
            </w:pPr>
            <w:r>
              <w:t xml:space="preserve">Difference (real</w:t>
            </w:r>
            <w:r>
              <w:t xml:space="preserve"> </w:t>
            </w:r>
            <m:oMath>
              <m:r>
                <m:t>−</m:t>
              </m:r>
            </m:oMath>
            <w:r>
              <w:t xml:space="preserve"> </w:t>
            </w:r>
            <w:r>
              <w:t xml:space="preserve">battery), 95% CI</w:t>
            </w:r>
          </w:p>
        </w:tc>
        <w:tc>
          <w:p>
            <w:pPr>
              <w:pStyle w:val="Compact"/>
              <w:jc w:val="right"/>
            </w:pPr>
            <m:oMath>
              <m:r>
                <m:t>−</m:t>
              </m:r>
              <m:r>
                <m:t>0.091</m:t>
              </m:r>
            </m:oMath>
            <w:r>
              <w:t xml:space="preserve"> </w:t>
            </w:r>
            <w:r>
              <w:t xml:space="preserve">(</w:t>
            </w:r>
            <m:oMath>
              <m:r>
                <m:t>−</m:t>
              </m:r>
              <m:r>
                <m:t>0.213</m:t>
              </m:r>
            </m:oMath>
            <w:r>
              <w:t xml:space="preserve">,</w:t>
            </w:r>
            <w:r>
              <w:t xml:space="preserve"> </w:t>
            </w:r>
            <m:oMath>
              <m:r>
                <m:t>0.032</m:t>
              </m:r>
            </m:oMath>
            <w:r>
              <w:t xml:space="preserve">)</w:t>
            </w:r>
          </w:p>
        </w:tc>
      </w:tr>
      <w:tr>
        <w:tc>
          <w:p>
            <w:pPr>
              <w:pStyle w:val="Compact"/>
              <w:jc w:val="left"/>
            </w:pPr>
            <w:r>
              <w:t xml:space="preserve">Equivalence test (TOST,</w:t>
            </w:r>
            <w:r>
              <w:t xml:space="preserve"> </w:t>
            </w:r>
            <m:oMath>
              <m:r>
                <m:t>±</m:t>
              </m:r>
              <m:r>
                <m:t>0.15</m:t>
              </m:r>
            </m:oMath>
            <w:r>
              <w:t xml:space="preserve"> </w:t>
            </w:r>
            <w:r>
              <w:t xml:space="preserve">margin)</w:t>
            </w:r>
          </w:p>
        </w:tc>
        <w:tc>
          <w:p>
            <w:pPr>
              <w:pStyle w:val="Compact"/>
              <w:jc w:val="right"/>
            </w:pPr>
            <m:oMath>
              <m:r>
                <m:t>p</m:t>
              </m:r>
              <m:r>
                <m:t>=</m:t>
              </m:r>
              <m:r>
                <m:t>0.179</m:t>
              </m:r>
            </m:oMath>
            <w:r>
              <w:t xml:space="preserve"> </w:t>
            </w:r>
            <w:r>
              <w:t xml:space="preserve">(not established; underpowered)</w:t>
            </w:r>
          </w:p>
        </w:tc>
      </w:tr>
      <w:tr>
        <w:tc>
          <w:p>
            <w:pPr>
              <w:pStyle w:val="Compact"/>
              <w:jc w:val="left"/>
            </w:pPr>
            <w:r>
              <w:t xml:space="preserve">Interpretation</w:t>
            </w:r>
          </w:p>
        </w:tc>
        <w:tc>
          <w:p>
            <w:pPr>
              <w:pStyle w:val="Compact"/>
              <w:jc w:val="right"/>
            </w:pPr>
            <w:r>
              <w:t xml:space="preserve">illustrative external check; equivalence not established</w:t>
            </w:r>
          </w:p>
        </w:tc>
      </w:tr>
      <w:tr>
        <w:tc>
          <w:p>
            <w:pPr>
              <w:pStyle w:val="Compact"/>
              <w:jc w:val="left"/>
            </w:pPr>
            <w:r>
              <w:t xml:space="preserve">Machine band vs. disclosed agency rating (descriptive)</w:t>
            </w:r>
          </w:p>
        </w:tc>
        <w:tc>
          <w:p>
            <w:pPr>
              <w:pStyle w:val="Compact"/>
              <w:jc w:val="right"/>
            </w:pPr>
            <w:r>
              <w:t xml:space="preserve">54% (</w:t>
            </w:r>
            <m:oMath>
              <m:r>
                <m:t>∼</m:t>
              </m:r>
            </m:oMath>
            <w:r>
              <w:t xml:space="preserve">33% chance)</w:t>
            </w:r>
          </w:p>
        </w:tc>
      </w:tr>
    </w:tbl>
    <w:bookmarkEnd w:id="42"/>
    <w:p>
      <w:pPr>
        <w:pStyle w:val="Heading2"/>
      </w:pPr>
      <w:bookmarkStart w:id="43" w:name="sec:tier"/>
      <w:r>
        <w:t xml:space="preserve">Robustness across model tiers (post-hoc)</w:t>
      </w:r>
      <w:bookmarkEnd w:id="43"/>
    </w:p>
    <w:p>
      <w:pPr>
        <w:pStyle w:val="FirstParagraph"/>
      </w:pPr>
      <w:r>
        <w:t xml:space="preserve">This analysis is</w:t>
      </w:r>
      <w:r>
        <w:t xml:space="preserve"> </w:t>
      </w:r>
      <w:r>
        <w:rPr>
          <w:i/>
        </w:rPr>
        <w:t xml:space="preserve">post-hoc</w:t>
      </w:r>
      <w:r>
        <w:t xml:space="preserve">: it was not part of the pre-registered design and was carried out in a</w:t>
      </w:r>
      <w:r>
        <w:t xml:space="preserve"> </w:t>
      </w:r>
      <w:r>
        <w:t xml:space="preserve">separate run on 30 August 2026, after the confirmatory corpus was frozen (7 July 2026),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t>−</m:t>
        </m:r>
        <m:r>
          <m:t>1.1</m:t>
        </m:r>
      </m:oMath>
      <w:r>
        <w:t xml:space="preserve"> </w:t>
      </w:r>
      <w:r>
        <w:t xml:space="preserve">percentage points (95% CI</w:t>
      </w:r>
      <w:r>
        <w:t xml:space="preserve"> </w:t>
      </w:r>
      <m:oMath>
        <m:r>
          <m:t>−</m:t>
        </m:r>
        <m:r>
          <m:t>7.6</m:t>
        </m:r>
      </m:oMath>
      <w:r>
        <w:t xml:space="preserve"> </w:t>
      </w:r>
      <w:r>
        <w:t xml:space="preserve">to</w:t>
      </w:r>
      <w:r>
        <w:t xml:space="preserve"> </w:t>
      </w:r>
      <m:oMath>
        <m:r>
          <m:t>+</m:t>
        </m:r>
        <m:r>
          <m:t>6.0</m:t>
        </m:r>
      </m:oMath>
      <w:r>
        <w:t xml:space="preserve">), not distinguishable from zero</w:t>
      </w:r>
      <w:r>
        <w:t xml:space="preserve"> </w:t>
      </w:r>
      <w:r>
        <w:t xml:space="preserve">(Table </w:t>
      </w:r>
      <w:hyperlink w:anchor="tab:tier">
        <w:r>
          <w:rPr>
            <w:rStyle w:val="Hyperlink"/>
          </w:rPr>
          <w:t xml:space="preserve">4</w:t>
        </w:r>
      </w:hyperlink>
      <w:r>
        <w:t xml:space="preserve">). The three-way band flip is likewise statistically indistinguishable</w:t>
      </w:r>
      <w:r>
        <w:t xml:space="preserve"> </w:t>
      </w:r>
      <w:r>
        <w:t xml:space="preserve">(</w:t>
      </w:r>
      <m:oMath>
        <m:r>
          <m:t>−</m:t>
        </m:r>
        <m:r>
          <m:t>5.3</m:t>
        </m:r>
      </m:oMath>
      <w:r>
        <w:t xml:space="preserve"> </w:t>
      </w:r>
      <w:r>
        <w:t xml:space="preserve">points; 95% CI</w:t>
      </w:r>
      <w:r>
        <w:t xml:space="preserve"> </w:t>
      </w:r>
      <m:oMath>
        <m:r>
          <m:t>−</m:t>
        </m:r>
        <m:r>
          <m:t>11.9</m:t>
        </m:r>
      </m:oMath>
      <w:r>
        <w:t xml:space="preserve"> </w:t>
      </w:r>
      <w:r>
        <w:t xml:space="preserve">to</w:t>
      </w:r>
      <w:r>
        <w:t xml:space="preserve"> </w:t>
      </w:r>
      <m:oMath>
        <m: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stable across elicitation choices. We find no evidence that specification sensitivity attenuates at the</w:t>
      </w:r>
      <w:r>
        <w:t xml:space="preserve"> </w:t>
      </w:r>
      <w:r>
        <w:t xml:space="preserve">flagship tier: the paired difference is small and statistically indistinguishable from zero, consistent</w:t>
      </w:r>
      <w:r>
        <w:t xml:space="preserve"> </w:t>
      </w:r>
      <w:r>
        <w:t xml:space="preserve">with the instability being a property of how the categorical judgment is elicited rather than of model</w:t>
      </w:r>
      <w:r>
        <w:t xml:space="preserve"> </w:t>
      </w:r>
      <w:r>
        <w:t xml:space="preserve">scale.</w:t>
      </w:r>
    </w:p>
    <w:p>
      <w:pPr>
        <w:pStyle w:val="BodyText"/>
      </w:pPr>
      <w:r>
        <w:t xml:space="preserve">Two caveats attach to this comparison. First, the pooled figure masks provider 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are not more accurate against</w:t>
      </w:r>
      <w:r>
        <w:t xml:space="preserve"> </w:t>
      </w:r>
      <w:r>
        <w:t xml:space="preserve">the Altman benchmark despite their leniency: flagship credit-band accuracy is 36.7% versus 44.3% for</w:t>
      </w:r>
      <w:r>
        <w:t xml:space="preserve"> </w:t>
      </w:r>
      <w:r>
        <w:t xml:space="preserve">nano/flash, so the 21-point investment-grade leniency shift reflects a more permissive rating posture,</w:t>
      </w:r>
      <w:r>
        <w:t xml:space="preserve"> </w:t>
      </w:r>
      <w:r>
        <w:t xml:space="preserve">not better benchmark agreement.</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issuer-clustered bootstrap confidence intervals; the difference is paired by item.</w:t>
      </w:r>
    </w:p>
    <w:tbl>
      <w:tblPr>
        <w:tblStyle w:val="Table"/>
        <w:tblW w:type="pct" w:w="0.0"/>
        <w:tblLook w:firstRow="1"/>
        <w:tblCaption w:val="Model-tier robustness (post-hoc; not pre-registered): per-comparison flip share on the same frozen 12-specification grid (45 credit-health items, three seeds). Parenthetical values are 95% issuer-clustered bootstrap confidence intervals; the difference is paired by item."/>
      </w:tblPr>
      <w:tblGrid/>
      <w:tr>
        <w:trPr>
          <w:cnfStyle w:firstRow="1"/>
        </w:trPr>
        <w:tc>
          <w:tcPr>
            <w:tcBorders>
              <w:bottom w:val="single"/>
            </w:tcBorders>
            <w:vAlign w:val="bottom"/>
          </w:tcPr>
          <w:p>
            <w:pPr>
              <w:pStyle w:val="Compact"/>
              <w:jc w:val="left"/>
            </w:pPr>
            <w:r>
              <w:t xml:space="preserve">Flip share</w:t>
            </w:r>
          </w:p>
        </w:tc>
        <w:tc>
          <w:tcPr>
            <w:tcBorders>
              <w:bottom w:val="single"/>
            </w:tcBorders>
            <w:vAlign w:val="bottom"/>
          </w:tcPr>
          <w:p>
            <w:pPr>
              <w:pStyle w:val="Compact"/>
              <w:jc w:val="center"/>
            </w:pPr>
            <w:r>
              <w:t xml:space="preserve">Nano/flash</w:t>
            </w:r>
          </w:p>
        </w:tc>
        <w:tc>
          <w:tcPr>
            <w:tcBorders>
              <w:bottom w:val="single"/>
            </w:tcBorders>
            <w:vAlign w:val="bottom"/>
          </w:tcPr>
          <w:p>
            <w:pPr>
              <w:pStyle w:val="Compact"/>
              <w:jc w:val="center"/>
            </w:pPr>
            <w:r>
              <w:t xml:space="preserve">Flagship</w:t>
            </w:r>
          </w:p>
        </w:tc>
        <w:tc>
          <w:tcPr>
            <w:tcBorders>
              <w:bottom w:val="single"/>
            </w:tcBorders>
            <w:vAlign w:val="bottom"/>
          </w:tcPr>
          <w:p>
            <w:pPr>
              <w:pStyle w:val="Compact"/>
              <w:jc w:val="center"/>
            </w:pPr>
            <w:r>
              <w:t xml:space="preserve">Difference (95% CI)</w:t>
            </w:r>
          </w:p>
        </w:tc>
      </w:tr>
      <w:tr>
        <w:tc>
          <w:p>
            <w:pPr>
              <w:pStyle w:val="Compact"/>
              <w:jc w:val="left"/>
            </w:pPr>
            <w:r>
              <w:t xml:space="preserve">IG/HY (pooled)</w:t>
            </w:r>
          </w:p>
        </w:tc>
        <w:tc>
          <w:p>
            <w:pPr>
              <w:pStyle w:val="Compact"/>
              <w:jc w:val="center"/>
            </w:pPr>
            <w:r>
              <w:t xml:space="preserve">24.7% (19.1–30.6)</w:t>
            </w:r>
          </w:p>
        </w:tc>
        <w:tc>
          <w:p>
            <w:pPr>
              <w:pStyle w:val="Compact"/>
              <w:jc w:val="center"/>
            </w:pPr>
            <w:r>
              <w:t xml:space="preserve">23.6% (19.4–27.8)</w:t>
            </w:r>
          </w:p>
        </w:tc>
        <w:tc>
          <w:p>
            <w:pPr>
              <w:pStyle w:val="Compact"/>
              <w:jc w:val="center"/>
            </w:pPr>
            <m:oMath>
              <m:r>
                <m:t>−</m:t>
              </m:r>
              <m:r>
                <m:t>1.1</m:t>
              </m:r>
            </m:oMath>
            <w:r>
              <w:t xml:space="preserve"> </w:t>
            </w:r>
            <w:r>
              <w:t xml:space="preserve">(</w:t>
            </w:r>
            <m:oMath>
              <m:r>
                <m:t>−</m:t>
              </m:r>
              <m:r>
                <m:t>7.6</m:t>
              </m:r>
            </m:oMath>
            <w:r>
              <w:t xml:space="preserve">,</w:t>
            </w:r>
            <w:r>
              <w:t xml:space="preserve"> </w:t>
            </w:r>
            <m:oMath>
              <m:r>
                <m:t>+</m:t>
              </m:r>
              <m:r>
                <m:t>6.0</m:t>
              </m:r>
            </m:oMath>
            <w:r>
              <w:t xml:space="preserve">)</w:t>
            </w:r>
          </w:p>
        </w:tc>
      </w:tr>
      <w:tr>
        <w:tc>
          <w:p>
            <w:pPr>
              <w:pStyle w:val="Compact"/>
              <w:jc w:val="left"/>
            </w:pPr>
            <w:r>
              <w:t xml:space="preserve">IG/HY, OpenAI</w:t>
            </w:r>
          </w:p>
        </w:tc>
        <w:tc>
          <w:p>
            <w:pPr>
              <w:pStyle w:val="Compact"/>
              <w:jc w:val="center"/>
            </w:pPr>
            <w:r>
              <w:t xml:space="preserve">17.3%</w:t>
            </w:r>
          </w:p>
        </w:tc>
        <w:tc>
          <w:p>
            <w:pPr>
              <w:pStyle w:val="Compact"/>
              <w:jc w:val="center"/>
            </w:pPr>
            <w:r>
              <w:t xml:space="preserve">26.7%</w:t>
            </w:r>
          </w:p>
        </w:tc>
        <w:tc>
          <w:p/>
        </w:tc>
      </w:tr>
      <w:tr>
        <w:tc>
          <w:p>
            <w:pPr>
              <w:pStyle w:val="Compact"/>
              <w:jc w:val="left"/>
            </w:pPr>
            <w:r>
              <w:t xml:space="preserve">IG/HY, Google</w:t>
            </w:r>
          </w:p>
        </w:tc>
        <w:tc>
          <w:p>
            <w:pPr>
              <w:pStyle w:val="Compact"/>
              <w:jc w:val="center"/>
            </w:pPr>
            <w:r>
              <w:t xml:space="preserve">20.5%</w:t>
            </w:r>
          </w:p>
        </w:tc>
        <w:tc>
          <w:p>
            <w:pPr>
              <w:pStyle w:val="Compact"/>
              <w:jc w:val="center"/>
            </w:pPr>
            <w:r>
              <w:t xml:space="preserve">16.7%</w:t>
            </w:r>
          </w:p>
        </w:tc>
        <w:tc>
          <w:p/>
        </w:tc>
      </w:tr>
      <w:tr>
        <w:tc>
          <w:p>
            <w:pPr>
              <w:pStyle w:val="Compact"/>
              <w:jc w:val="left"/>
            </w:pPr>
            <w:r>
              <w:t xml:space="preserve">Three-way band</w:t>
            </w:r>
          </w:p>
        </w:tc>
        <w:tc>
          <w:p>
            <w:pPr>
              <w:pStyle w:val="Compact"/>
              <w:jc w:val="center"/>
            </w:pPr>
            <w:r>
              <w:t xml:space="preserve">30.5%</w:t>
            </w:r>
          </w:p>
        </w:tc>
        <w:tc>
          <w:p>
            <w:pPr>
              <w:pStyle w:val="Compact"/>
              <w:jc w:val="center"/>
            </w:pPr>
            <w:r>
              <w:t xml:space="preserve">25.2%</w:t>
            </w:r>
          </w:p>
        </w:tc>
        <w:tc>
          <w:p>
            <w:pPr>
              <w:pStyle w:val="Compact"/>
              <w:jc w:val="center"/>
            </w:pPr>
            <m:oMath>
              <m:r>
                <m:t>−</m:t>
              </m:r>
              <m:r>
                <m:t>5.3</m:t>
              </m:r>
            </m:oMath>
            <w:r>
              <w:t xml:space="preserve"> </w:t>
            </w:r>
            <w:r>
              <w:t xml:space="preserve">(</w:t>
            </w:r>
            <m:oMath>
              <m:r>
                <m:t>−</m:t>
              </m:r>
              <m:r>
                <m:t>11.9</m:t>
              </m:r>
            </m:oMath>
            <w:r>
              <w:t xml:space="preserve">,</w:t>
            </w:r>
            <w:r>
              <w:t xml:space="preserve"> </w:t>
            </w:r>
            <m:oMath>
              <m:r>
                <m:t>+</m:t>
              </m:r>
              <m:r>
                <m:t>1.3</m:t>
              </m:r>
            </m:oMath>
            <w:r>
              <w:t xml:space="preserve">)</w:t>
            </w:r>
          </w:p>
        </w:tc>
      </w:tr>
      <w:tr>
        <w:tc>
          <w:p>
            <w:pPr>
              <w:pStyle w:val="Compact"/>
              <w:jc w:val="left"/>
            </w:pPr>
            <w:r>
              <w:t xml:space="preserve">Band accuracy vs. Altman</w:t>
            </w:r>
          </w:p>
        </w:tc>
        <w:tc>
          <w:p>
            <w:pPr>
              <w:pStyle w:val="Compact"/>
              <w:jc w:val="center"/>
            </w:pPr>
            <w:r>
              <w:t xml:space="preserve">44.3%</w:t>
            </w:r>
          </w:p>
        </w:tc>
        <w:tc>
          <w:p>
            <w:pPr>
              <w:pStyle w:val="Compact"/>
              <w:jc w:val="center"/>
            </w:pPr>
            <w:r>
              <w:t xml:space="preserve">36.7%</w:t>
            </w:r>
          </w:p>
        </w:tc>
        <w:tc>
          <w:p/>
        </w:tc>
      </w:tr>
      <w:tr>
        <w:tc>
          <w:p>
            <w:pPr>
              <w:pStyle w:val="Compact"/>
              <w:jc w:val="left"/>
            </w:pPr>
            <w:r>
              <w:t xml:space="preserve">IG rate (leniency)</w:t>
            </w:r>
          </w:p>
        </w:tc>
        <w:tc>
          <w:p>
            <w:pPr>
              <w:pStyle w:val="Compact"/>
              <w:jc w:val="center"/>
            </w:pPr>
            <w:r>
              <w:t xml:space="preserve">58.6%</w:t>
            </w:r>
          </w:p>
        </w:tc>
        <w:tc>
          <w:p>
            <w:pPr>
              <w:pStyle w:val="Compact"/>
              <w:jc w:val="center"/>
            </w:pPr>
            <w:r>
              <w:t xml:space="preserve">79.9%</w:t>
            </w:r>
          </w:p>
        </w:tc>
        <w:tc>
          <w:p/>
        </w:tc>
      </w:tr>
      <w:tr>
        <w:tc>
          <w:p/>
        </w:tc>
        <w:tc>
          <w:p/>
        </w:tc>
        <w:tc>
          <w:p/>
        </w:tc>
        <w:tc>
          <w:p/>
        </w:tc>
      </w:tr>
      <w:tr>
        <w:tc>
          <w:p/>
        </w:tc>
        <w:tc>
          <w:p/>
        </w:tc>
        <w:tc>
          <w:p/>
        </w:tc>
        <w:tc>
          <w:p/>
        </w:tc>
      </w:tr>
    </w:tbl>
    <w:bookmarkEnd w:id="44"/>
    <w:p>
      <w:pPr>
        <w:pStyle w:val="Heading2"/>
      </w:pPr>
      <w:bookmarkStart w:id="45" w:name="sec:selfcons"/>
      <w:r>
        <w:t xml:space="preserve">Self-consistency: does aggregation remove the instability? (post-hoc)</w:t>
      </w:r>
      <w:bookmarkEnd w:id="45"/>
    </w:p>
    <w:p>
      <w:pPr>
        <w:pStyle w:val="FirstParagraph"/>
      </w:pPr>
      <w:r>
        <w:t xml:space="preserve">This analysis is post-hoc and was not part of the pre-registration. A natural remedy is self-consistency: instead of acting on a single elicitation, query the model under</w:t>
      </w:r>
      <w:r>
        <w:t xml:space="preserve"> </w:t>
      </w:r>
      <m:oMath>
        <m:r>
          <m:t>k</m:t>
        </m:r>
      </m:oMath>
      <w:r>
        <w:t xml:space="preserve"> </w:t>
      </w:r>
      <w:r>
        <w:t xml:space="preserve">defensible specifications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t>=</m:t>
        </m:r>
        <m:r>
          <m:t>1</m:t>
        </m:r>
        <m:r>
          <m:t>,</m:t>
        </m:r>
        <m:r>
          <m:t>3</m:t>
        </m:r>
        <m:r>
          <m:t>,</m:t>
        </m:r>
        <m:r>
          <m:t>5</m:t>
        </m:r>
        <m:r>
          <m:t>,</m:t>
        </m:r>
        <m:r>
          <m:t>9</m:t>
        </m:r>
        <m:r>
          <m:t>,</m:t>
        </m:r>
        <m:r>
          <m:t>15</m:t>
        </m:r>
      </m:oMath>
      <w:r>
        <w:t xml:space="preserve"> </w:t>
      </w:r>
      <w:r>
        <w:t xml:space="preserve">(Fig. </w:t>
      </w:r>
      <w:hyperlink w:anchor="fig:selfcons">
        <w:r>
          <w:rPr>
            <w:rStyle w:val="Hyperlink"/>
          </w:rPr>
          <w:t xml:space="preserve">4</w:t>
        </w:r>
      </w:hyperlink>
      <w:r>
        <w:t xml:space="preserve">).</w:t>
      </w:r>
      <w:r>
        <w:t xml:space="preserve"> </w:t>
      </w:r>
      <w:r>
        <w:t xml:space="preserve">Aggregation reduces but does not remove the instability: the residual flip falls from 25.2% at</w:t>
      </w:r>
      <w:r>
        <w:t xml:space="preserve"> </w:t>
      </w:r>
      <m:oMath>
        <m:r>
          <m:t>k</m:t>
        </m:r>
        <m:r>
          <m:t>=</m:t>
        </m:r>
        <m:r>
          <m:t>1</m:t>
        </m:r>
      </m:oMath>
      <w:r>
        <w:t xml:space="preserve"> </w:t>
      </w:r>
      <w:r>
        <w:t xml:space="preserve">to</w:t>
      </w:r>
      <w:r>
        <w:t xml:space="preserve"> </w:t>
      </w:r>
      <w:r>
        <w:t xml:space="preserve">19.4% (</w:t>
      </w:r>
      <m:oMath>
        <m:r>
          <m:t>k</m:t>
        </m:r>
        <m:r>
          <m:t>=</m:t>
        </m:r>
        <m:r>
          <m:t>3</m:t>
        </m:r>
      </m:oMath>
      <w:r>
        <w:t xml:space="preserve">), 16.6% (</w:t>
      </w:r>
      <m:oMath>
        <m:r>
          <m:t>k</m:t>
        </m:r>
        <m:r>
          <m:t>=</m:t>
        </m:r>
        <m:r>
          <m:t>5</m:t>
        </m:r>
      </m:oMath>
      <w:r>
        <w:t xml:space="preserve">), 13.6% (</w:t>
      </w:r>
      <m:oMath>
        <m:r>
          <m:t>k</m:t>
        </m:r>
        <m:r>
          <m:t>=</m:t>
        </m:r>
        <m:r>
          <m:t>9</m:t>
        </m:r>
      </m:oMath>
      <w:r>
        <w:t xml:space="preserve">), and 11.1% at</w:t>
      </w:r>
      <w:r>
        <w:t xml:space="preserve"> </w:t>
      </w:r>
      <m:oMath>
        <m:r>
          <m:t>k</m:t>
        </m:r>
        <m: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p>
      <w:pPr>
        <w:pStyle w:val="CaptionedFigure"/>
      </w:pPr>
      <w:bookmarkStart w:id="47" w:name="fig:selfcons"/>
      <w:r>
        <w:drawing>
          <wp:inline>
            <wp:extent cx="5146371" cy="3124582"/>
            <wp:effectExtent b="0" l="0" r="0" t="0"/>
            <wp:docPr descr="Self-consistency curve: residual per-comparison IG/HY flip after aggregating k elicitations per issuer by majority vote. Aggregation lowers instability with diminishing returns and does not eliminate it, about 11% of matched assessments still cross the boundary at k=15." title="" id="1" name="Picture"/>
            <a:graphic>
              <a:graphicData uri="http://schemas.openxmlformats.org/drawingml/2006/picture">
                <pic:pic>
                  <pic:nvPicPr>
                    <pic:cNvPr descr="fig_selfconsistency.png" id="0" name="Picture"/>
                    <pic:cNvPicPr>
                      <a:picLocks noChangeArrowheads="1" noChangeAspect="1"/>
                    </pic:cNvPicPr>
                  </pic:nvPicPr>
                  <pic:blipFill>
                    <a:blip r:embed="rId46"/>
                    <a:stretch>
                      <a:fillRect/>
                    </a:stretch>
                  </pic:blipFill>
                  <pic:spPr bwMode="auto">
                    <a:xfrm>
                      <a:off x="0" y="0"/>
                      <a:ext cx="5146371" cy="3124582"/>
                    </a:xfrm>
                    <a:prstGeom prst="rect">
                      <a:avLst/>
                    </a:prstGeom>
                    <a:noFill/>
                    <a:ln w="9525">
                      <a:noFill/>
                      <a:headEnd/>
                      <a:tailEnd/>
                    </a:ln>
                  </pic:spPr>
                </pic:pic>
              </a:graphicData>
            </a:graphic>
          </wp:inline>
        </w:drawing>
      </w:r>
      <w:bookmarkEnd w:id="47"/>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t>=</m:t>
        </m:r>
        <m:r>
          <m:t>15</m:t>
        </m:r>
      </m:oMath>
      <w:r>
        <w:t xml:space="preserve">.</w:t>
      </w:r>
    </w:p>
    <w:p>
      <w:pPr>
        <w:pStyle w:val="Heading1"/>
      </w:pPr>
      <w:bookmarkStart w:id="48" w:name="sec:sis"/>
      <w:r>
        <w:t xml:space="preserve">A specification-instability score for model-risk control</w:t>
      </w:r>
      <w:bookmarkEnd w:id="48"/>
    </w:p>
    <w:p>
      <w:pPr>
        <w:pStyle w:val="FirstParagraph"/>
      </w:pPr>
      <w:r>
        <w:t xml:space="preserve">The diagnosis above is actionable. Because the instability is a property of the elicitation process, it</w:t>
      </w:r>
      <w:r>
        <w:t xml:space="preserve"> </w:t>
      </w:r>
      <w:r>
        <w:t xml:space="preserve">can be measured at inference time from the model’s own outputs and reported alongside every rating,</w:t>
      </w:r>
      <w:r>
        <w:t xml:space="preserve"> </w:t>
      </w:r>
      <w:r>
        <w:t xml:space="preserve">turning the specification curve from a research diagnostic into an operational model-risk control. This</w:t>
      </w:r>
      <w:r>
        <w:t xml:space="preserve"> </w:t>
      </w:r>
      <w:r>
        <w:t xml:space="preserve">section defines the control, validates that it predicts held-out instability, and specifies its</w:t>
      </w:r>
      <w:r>
        <w:t xml:space="preserve"> </w:t>
      </w:r>
      <w:r>
        <w:t xml:space="preserve">deployment cost and governance use.</w:t>
      </w:r>
    </w:p>
    <w:p>
      <w:pPr>
        <w:pStyle w:val="Heading2"/>
      </w:pPr>
      <w:bookmarkStart w:id="49" w:name="definition"/>
      <w:r>
        <w:t xml:space="preserve">Definition</w:t>
      </w:r>
      <w:bookmarkEnd w:id="49"/>
    </w:p>
    <w:p>
      <w:pPr>
        <w:pStyle w:val="FirstParagraph"/>
      </w:pPr>
      <w:r>
        <w:t xml:space="preserve">For an issuer</w:t>
      </w:r>
      <w:r>
        <w:t xml:space="preserve"> </w:t>
      </w:r>
      <m:oMath>
        <m:r>
          <m:t>x</m:t>
        </m:r>
      </m:oMath>
      <w:r>
        <w:t xml:space="preserve">, fix a small set</w:t>
      </w:r>
      <w:r>
        <w:t xml:space="preserve"> </w:t>
      </w:r>
      <m:oMath>
        <m:r>
          <m:t>S</m:t>
        </m:r>
      </m:oMath>
      <w:r>
        <w:t xml:space="preserve"> </w:t>
      </w:r>
      <w:r>
        <w:t xml:space="preserve">of</w:t>
      </w:r>
      <w:r>
        <w:t xml:space="preserve"> </w:t>
      </w:r>
      <m:oMath>
        <m:r>
          <m:t>k</m:t>
        </m:r>
      </m:oMath>
      <w:r>
        <w:t xml:space="preserve"> </w:t>
      </w:r>
      <w:r>
        <w:t xml:space="preserve">defensible elicitation specifications and a decision</w:t>
      </w:r>
      <w:r>
        <w:t xml:space="preserve"> </w:t>
      </w:r>
      <w:r>
        <w:t xml:space="preserve">resolution</w:t>
      </w:r>
      <w:r>
        <w:t xml:space="preserve"> </w:t>
      </w:r>
      <m:oMath>
        <m:r>
          <m:t>g</m:t>
        </m:r>
      </m:oMath>
      <w:r>
        <w:t xml:space="preserve"> </w:t>
      </w:r>
      <w:r>
        <w:t xml:space="preserve">(for example, the map from letter grade to the IG/HY class). Query the model once per</w:t>
      </w:r>
      <w:r>
        <w:t xml:space="preserve"> </w:t>
      </w:r>
      <w:r>
        <w:t xml:space="preserve">specification, map each rating to its decision class, and let</w:t>
      </w:r>
      <w:r>
        <w:t xml:space="preserve"> </w:t>
      </w:r>
      <m:oMath>
        <m:sSub>
          <m:e>
            <m:r>
              <m:t>p</m:t>
            </m:r>
          </m:e>
          <m:sub>
            <m:r>
              <m:t>x</m:t>
            </m:r>
            <m:r>
              <m:t>,</m:t>
            </m:r>
            <m:r>
              <m:t>c</m:t>
            </m:r>
          </m:sub>
        </m:sSub>
      </m:oMath>
      <w:r>
        <w:t xml:space="preserve"> </w:t>
      </w:r>
      <w:r>
        <w:t xml:space="preserve">be the fraction of the</w:t>
      </w:r>
      <w:r>
        <w:t xml:space="preserve"> </w:t>
      </w:r>
      <m:oMath>
        <m:r>
          <m:t>k</m:t>
        </m:r>
      </m:oMath>
      <w:r>
        <w:t xml:space="preserve"> </w:t>
      </w:r>
      <w:r>
        <w:t xml:space="preserve">elicitations that fall in class</w:t>
      </w:r>
      <w:r>
        <w:t xml:space="preserve"> </w:t>
      </w:r>
      <m:oMath>
        <m:r>
          <m:t>c</m:t>
        </m:r>
      </m:oMath>
      <w:r>
        <w:t xml:space="preserve">. The</w:t>
      </w:r>
      <w:r>
        <w:t xml:space="preserve"> </w:t>
      </w:r>
      <w:r>
        <w:rPr>
          <w:i/>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t>(</m:t>
          </m:r>
          <m:r>
            <m:t>x</m:t>
          </m:r>
          <m:r>
            <m:t>)</m:t>
          </m:r>
          <m:r>
            <m:t> </m:t>
          </m:r>
          <m:r>
            <m:t>=</m:t>
          </m:r>
          <m:r>
            <m:t> </m:t>
          </m:r>
          <m:r>
            <m:t>1</m:t>
          </m:r>
          <m:r>
            <m:t>−</m:t>
          </m:r>
          <m:nary>
            <m:naryPr>
              <m:chr m:val="∑"/>
              <m:limLoc m:val="undOvr"/>
              <m:subHide m:val="0"/>
              <m:supHide m:val="1"/>
            </m:naryPr>
            <m:sub>
              <m:r>
                <m:t>c</m:t>
              </m:r>
            </m:sub>
            <m:sup>
              <m:r>
                <m:t>​</m:t>
              </m:r>
            </m:sup>
            <m:e>
              <m:sSubSup>
                <m:e>
                  <m:r>
                    <m:t>p</m:t>
                  </m:r>
                </m:e>
                <m:sub>
                  <m:r>
                    <m:t>x</m:t>
                  </m:r>
                  <m:r>
                    <m:t>,</m:t>
                  </m:r>
                  <m:r>
                    <m:t>c</m:t>
                  </m:r>
                </m:sub>
                <m:sup>
                  <m:r>
                    <m:t>2</m:t>
                  </m:r>
                </m:sup>
              </m:sSubSup>
            </m:e>
          </m:nary>
          <m:r>
            <m:t>,</m:t>
          </m:r>
        </m:oMath>
      </m:oMathPara>
    </w:p>
    <w:p>
      <w:pPr>
        <w:pStyle w:val="FirstParagraph"/>
      </w:pPr>
      <w:r>
        <w:t xml:space="preserve">reported alongside the modal rating</w:t>
      </w:r>
      <w:r>
        <w:t xml:space="preserve"> </w:t>
      </w:r>
      <m:oMath>
        <m:acc>
          <m:accPr>
            <m:chr m:val="̂"/>
          </m:accPr>
          <m:e>
            <m:r>
              <m:t>r</m:t>
            </m:r>
          </m:e>
        </m:acc>
        <m:r>
          <m:t>(</m:t>
        </m:r>
        <m:r>
          <m:t>x</m:t>
        </m:r>
        <m:r>
          <m:t>)</m:t>
        </m:r>
        <m:r>
          <m:t>=</m:t>
        </m:r>
        <m:r>
          <m:rPr>
            <m:nor/>
            <m:sty m:val="p"/>
          </m:rPr>
          <m:t>arg</m:t>
        </m:r>
        <m:sSub>
          <m:e>
            <m:r>
              <m:rPr>
                <m:nor/>
                <m:sty m:val="p"/>
              </m:rPr>
              <m:t>max</m:t>
            </m:r>
          </m:e>
          <m:sub>
            <m:r>
              <m:t>c</m:t>
            </m:r>
          </m:sub>
        </m:sSub>
        <m:sSub>
          <m:e>
            <m:r>
              <m:t>p</m:t>
            </m:r>
          </m:e>
          <m:sub>
            <m:r>
              <m:t>x</m:t>
            </m:r>
            <m:r>
              <m:t>,</m:t>
            </m:r>
            <m:r>
              <m:t>c</m:t>
            </m:r>
          </m:sub>
        </m:sSub>
      </m:oMath>
      <w:r>
        <w:t xml:space="preserve">. A score of zero denotes a perfectly</w:t>
      </w:r>
      <w:r>
        <w:t xml:space="preserve"> </w:t>
      </w:r>
      <w:r>
        <w:t xml:space="preserve">stable, specification-invariant rating; higher values flag issuers whose rating is substantially an</w:t>
      </w:r>
      <w:r>
        <w:t xml:space="preserve"> </w:t>
      </w:r>
      <w:r>
        <w:t xml:space="preserve">artifact of how the question was asked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w:t>
      </w:r>
      <w:hyperlink w:anchor="alg:sis">
        <w:r>
          <w:rPr>
            <w:rStyle w:val="Hyperlink"/>
          </w:rPr>
          <w:t xml:space="preserve">[alg:sis]</w:t>
        </w:r>
      </w:hyperlink>
      <w:r>
        <w:t xml:space="preserve">). The Gini–Simpson form itself is a standard dispersion index; the</w:t>
      </w:r>
      <w:r>
        <w:t xml:space="preserve"> </w:t>
      </w:r>
      <w:r>
        <w:t xml:space="preserve">contribution here is not a new mathematical index but its use as a deployable credit-model-risk control,</w:t>
      </w:r>
      <w:r>
        <w:t xml:space="preserve"> </w:t>
      </w:r>
      <w:r>
        <w:t xml:space="preserve">its validation on held-out specifications, its governance trigger, and its cost model.</w:t>
      </w:r>
    </w:p>
    <w:p>
      <w:pPr>
        <w:pStyle w:val="Heading2"/>
      </w:pPr>
      <w:bookmarkStart w:id="50" w:name="sec:sis-val"/>
      <w:r>
        <w:t xml:space="preserve">Post-hoc validation on held-out specifications</w:t>
      </w:r>
      <w:bookmarkEnd w:id="50"/>
    </w:p>
    <w:p>
      <w:pPr>
        <w:pStyle w:val="FirstParagraph"/>
      </w:pPr>
      <w:r>
        <w:t xml:space="preserve">This validation is</w:t>
      </w:r>
      <w:r>
        <w:t xml:space="preserve"> </w:t>
      </w:r>
      <w:r>
        <w:rPr>
          <w:i/>
        </w:rPr>
        <w:t xml:space="preserve">post-hoc</w:t>
      </w:r>
      <w:r>
        <w:t xml:space="preserve"> </w:t>
      </w:r>
      <w:r>
        <w:t xml:space="preserve">(it was not part of the pre-registration) and tests generalization</w:t>
      </w:r>
      <w:r>
        <w:t xml:space="preserve"> </w:t>
      </w:r>
      <w:r>
        <w:t xml:space="preserve">across specifications, not across an external issuer sample. A control is only useful if it predicts</w:t>
      </w:r>
      <w:r>
        <w:t xml:space="preserve"> </w:t>
      </w:r>
      <w:r>
        <w:t xml:space="preserve">instability it has not seen, so we split the 32 specifications into a 16-specification calibration set and</w:t>
      </w:r>
      <w:r>
        <w:t xml:space="preserve"> </w:t>
      </w:r>
      <w:r>
        <w:t xml:space="preserve">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t>=</m:t>
        </m:r>
        <m:r>
          <m:t>0.89</m:t>
        </m:r>
      </m:oMath>
      <w:r>
        <w:t xml:space="preserve">). Treating</w:t>
      </w:r>
      <w:r>
        <w:t xml:space="preserve"> </w:t>
      </w:r>
      <w:r>
        <w:t xml:space="preserve">“</w:t>
      </w:r>
      <w:r>
        <w:t xml:space="preserve">the issuer’s modal IG/HY call flips on at least one held-out specification</w:t>
      </w:r>
      <w:r>
        <w:t xml:space="preserve">”</w:t>
      </w:r>
      <w:r>
        <w:t xml:space="preserve"> </w:t>
      </w:r>
      <w:r>
        <w:t xml:space="preserve">as the event to be flagged</w:t>
      </w:r>
      <w:r>
        <w:t xml:space="preserve"> </w:t>
      </w:r>
      <w:r>
        <w:t xml:space="preserve">(base rate</w:t>
      </w:r>
      <w:r>
        <w:t xml:space="preserve"> </w:t>
      </w:r>
      <m:oMath>
        <m:r>
          <m:t>0.76</m:t>
        </m:r>
      </m:oMath>
      <w:r>
        <w:t xml:space="preserve">), the calibration score achieves an ROC-AUC of</w:t>
      </w:r>
      <w:r>
        <w:t xml:space="preserve"> </w:t>
      </w:r>
      <m:oMath>
        <m:r>
          <m:t>0.94</m:t>
        </m:r>
      </m:oMath>
      <w:r>
        <w:t xml:space="preserve"> </w:t>
      </w:r>
      <w:r>
        <w:t xml:space="preserve">(issuer-clustered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The score therefore identifies, from a</w:t>
      </w:r>
      <w:r>
        <w:t xml:space="preserve"> </w:t>
      </w:r>
      <w:r>
        <w:t xml:space="preserve">handful of elicitations, the issuers whose ratings will prove unstable under specifications not yet</w:t>
      </w:r>
      <w:r>
        <w:t xml:space="preserve"> </w:t>
      </w:r>
      <w:r>
        <w:t xml:space="preserve">tried, the screening function required of a deployable model-risk control.</w:t>
      </w:r>
    </w:p>
    <w:p>
      <w:pPr>
        <w:pStyle w:val="BodyText"/>
      </w:pPr>
      <w:r>
        <w:t xml:space="preserve">We also check whether this generalizes beyond the synthetic battery by repeating the validation on the</w:t>
      </w:r>
      <w:r>
        <w:t xml:space="preserve"> </w:t>
      </w:r>
      <w:r>
        <w:t xml:space="preserve">31 decontaminated</w:t>
      </w:r>
      <w:r>
        <w:t xml:space="preserve"> </w:t>
      </w:r>
      <w:r>
        <w:rPr>
          <w:i/>
        </w:rPr>
        <w:t xml:space="preserve">real</w:t>
      </w:r>
      <w:r>
        <w:t xml:space="preserve"> </w:t>
      </w:r>
      <w:r>
        <w:t xml:space="preserve">issuers (Section </w:t>
      </w:r>
      <w:hyperlink w:anchor="sec:realarm">
        <w:r>
          <w:rPr>
            <w:rStyle w:val="Hyperlink"/>
          </w:rPr>
          <w:t xml:space="preserve">3.6</w:t>
        </w:r>
      </w:hyperlink>
      <w:r>
        <w:t xml:space="preserve">), for which the same 12-specification</w:t>
      </w:r>
      <w:r>
        <w:t xml:space="preserve"> </w:t>
      </w:r>
      <w:r>
        <w:t xml:space="preserve">grid was collected. Splitting those specifications 6/6, the calibration-set score remains predictive of</w:t>
      </w:r>
      <w:r>
        <w:t xml:space="preserve"> </w:t>
      </w:r>
      <w:r>
        <w:t xml:space="preserve">held-out-specification instability on real firms (ROC-AUC 0.70, issuer-clustered bootstrap 95% CI</w:t>
      </w:r>
      <w:r>
        <w:t xml:space="preserve"> </w:t>
      </w:r>
      <w:r>
        <w:t xml:space="preserve">0.51–0.87; Spearman</w:t>
      </w:r>
      <w:r>
        <w:t xml:space="preserve"> </w:t>
      </w:r>
      <m:oMath>
        <m:r>
          <m:t>ρ</m:t>
        </m:r>
        <m:r>
          <m:t>=</m:t>
        </m:r>
        <m:r>
          <m:t>0.41</m:t>
        </m:r>
      </m:oMath>
      <w:r>
        <w:t xml:space="preserve">; base rate 0.61). Discrimination is weaker than on the synthetic battery</w:t>
      </w:r>
      <w:r>
        <w:t xml:space="preserve"> </w:t>
      </w:r>
      <w:r>
        <w:t xml:space="preserve">and the interval is wide, expected given only 31 issuers and a coarser six-specification calibration, but</w:t>
      </w:r>
      <w:r>
        <w:t xml:space="preserve"> </w:t>
      </w:r>
      <w:r>
        <w:t xml:space="preserve">the score carries a genuine, same-direction signal on real issuers, not only on the constructed profiles.</w:t>
      </w:r>
      <w:r>
        <w:t xml:space="preserve"> </w:t>
      </w:r>
      <w:r>
        <w:t xml:space="preserve">We nonetheless emphasize that the validation is across held-out specifications; a fully out-of-sample</w:t>
      </w:r>
      <w:r>
        <w:t xml:space="preserve"> </w:t>
      </w:r>
      <w:r>
        <w:t xml:space="preserve">external issuer population remains future work.</w:t>
      </w:r>
    </w:p>
    <w:p>
      <w:pPr>
        <w:pStyle w:val="Heading2"/>
      </w:pPr>
      <w:bookmarkStart w:id="51" w:name="sec:sis-cost"/>
      <w:r>
        <w:t xml:space="preserve">Deployment: aggregation level and cost</w:t>
      </w:r>
      <w:bookmarkEnd w:id="51"/>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w:t>
      </w:r>
      <w:hyperlink w:anchor="sec:selfcons">
        <w:r>
          <w:rPr>
            <w:rStyle w:val="Hyperlink"/>
          </w:rPr>
          <w:t xml:space="preserve">3.8</w:t>
        </w:r>
      </w:hyperlink>
      <w:r>
        <w:t xml:space="preserve">) shows steeply diminishing returns: the modal call’s residual IG/HY flip</w:t>
      </w:r>
      <w:r>
        <w:t xml:space="preserve"> </w:t>
      </w:r>
      <w:r>
        <w:t xml:space="preserve">falls from 25.2% at</w:t>
      </w:r>
      <w:r>
        <w:t xml:space="preserve"> </w:t>
      </w:r>
      <m:oMath>
        <m:r>
          <m:t>k</m:t>
        </m:r>
        <m:r>
          <m:t>=</m:t>
        </m:r>
        <m:r>
          <m:t>1</m:t>
        </m:r>
      </m:oMath>
      <w:r>
        <w:t xml:space="preserve"> </w:t>
      </w:r>
      <w:r>
        <w:t xml:space="preserve">to 13.6% at</w:t>
      </w:r>
      <w:r>
        <w:t xml:space="preserve"> </w:t>
      </w:r>
      <m:oMath>
        <m:r>
          <m:t>k</m:t>
        </m:r>
        <m:r>
          <m:t>=</m:t>
        </m:r>
        <m:r>
          <m:t>9</m:t>
        </m:r>
      </m:oMath>
      <w:r>
        <w:t xml:space="preserve"> </w:t>
      </w:r>
      <w:r>
        <w:t xml:space="preserve">and 11.1% at</w:t>
      </w:r>
      <w:r>
        <w:t xml:space="preserve"> </w:t>
      </w:r>
      <m:oMath>
        <m:r>
          <m:t>k</m:t>
        </m:r>
        <m:r>
          <m:t>=</m:t>
        </m:r>
        <m:r>
          <m:t>15</m:t>
        </m:r>
      </m:oMath>
      <w:r>
        <w:t xml:space="preserve">, so a moderate</w:t>
      </w:r>
      <w:r>
        <w:t xml:space="preserve"> </w:t>
      </w:r>
      <m:oMath>
        <m:r>
          <m:t>k</m:t>
        </m:r>
        <m:r>
          <m:t>​</m:t>
        </m:r>
        <m: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w:t>
      </w:r>
      <w:hyperlink w:anchor="tab:cost">
        <w:r>
          <w:rPr>
            <w:rStyle w:val="Hyperlink"/>
          </w:rPr>
          <w:t xml:space="preserve">5</w:t>
        </w:r>
      </w:hyperlink>
      <w:r>
        <w:t xml:space="preserve">).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t>−</m:t>
        </m:r>
        <m:r>
          <m:t>1</m:t>
        </m:r>
      </m:oMath>
      <w:r>
        <w:t xml:space="preserve"> </w:t>
      </w:r>
      <w:r>
        <w:t xml:space="preserve">additional elicitations.</w:t>
      </w:r>
    </w:p>
    <w:bookmarkStart w:id="52" w:name="tab:cost"/>
    <w:p>
      <w:pPr>
        <w:pStyle w:val="TableCaption"/>
      </w:pPr>
      <w:r>
        <w:t xml:space="preserve">Deployment cost of the specification-instability score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pct" w:w="0.0"/>
        <w:tblLook w:firstRow="1"/>
        <w:tblCaption w:val="Deployment cost of the specification-instability score by aggregation level k: cost to score 1,000 issuers, from the observed per-call token counts and provider pricing."/>
      </w:tblPr>
      <w:tblGrid/>
      <w:tr>
        <w:trPr>
          <w:cnfStyle w:firstRow="1"/>
        </w:trPr>
        <w:tc>
          <w:tcPr>
            <w:tcBorders>
              <w:bottom w:val="single"/>
            </w:tcBorders>
            <w:vAlign w:val="bottom"/>
          </w:tcPr>
          <w:p>
            <w:pPr>
              <w:pStyle w:val="Compact"/>
              <w:jc w:val="right"/>
            </w:pPr>
            <m:oMath>
              <m:r>
                <m:t>k</m:t>
              </m:r>
            </m:oMath>
          </w:p>
        </w:tc>
        <w:tc>
          <w:tcPr>
            <w:tcBorders>
              <w:bottom w:val="single"/>
            </w:tcBorders>
            <w:vAlign w:val="bottom"/>
          </w:tcPr>
          <w:p>
            <w:pPr>
              <w:pStyle w:val="Compact"/>
              <w:jc w:val="right"/>
            </w:pPr>
            <w:r>
              <w:t xml:space="preserve">Tokens/issuer</w:t>
            </w:r>
          </w:p>
        </w:tc>
        <w:tc>
          <w:tcPr>
            <w:tcBorders>
              <w:bottom w:val="single"/>
            </w:tcBorders>
            <w:vAlign w:val="bottom"/>
          </w:tcPr>
          <w:p>
            <w:pPr>
              <w:pStyle w:val="Compact"/>
              <w:jc w:val="right"/>
            </w:pPr>
            <w:r>
              <w:t xml:space="preserve">$/1</w:t>
            </w:r>
            <w:r>
              <w:t xml:space="preserve">,</w:t>
            </w:r>
            <w:r>
              <w:t xml:space="preserve">000 (nano/flash)</w:t>
            </w:r>
          </w:p>
        </w:tc>
        <w:tc>
          <w:tcPr>
            <w:tcBorders>
              <w:bottom w:val="single"/>
            </w:tcBorders>
            <w:vAlign w:val="bottom"/>
          </w:tcPr>
          <w:p>
            <w:pPr>
              <w:pStyle w:val="Compact"/>
              <w:jc w:val="right"/>
            </w:pPr>
            <w:r>
              <w:t xml:space="preserve">$/1</w:t>
            </w:r>
            <w:r>
              <w:t xml:space="preserve">,</w:t>
            </w:r>
            <w:r>
              <w:t xml:space="preserve">000 (flagship)</w:t>
            </w:r>
          </w:p>
        </w:tc>
      </w:tr>
      <w:tr>
        <w:tc>
          <w:p>
            <w:pPr>
              <w:pStyle w:val="Compact"/>
              <w:jc w:val="right"/>
            </w:pPr>
            <w:r>
              <w:t xml:space="preserve">1</w:t>
            </w:r>
          </w:p>
        </w:tc>
        <w:tc>
          <w:p>
            <w:pPr>
              <w:pStyle w:val="Compact"/>
              <w:jc w:val="right"/>
            </w:pPr>
            <w:r>
              <w:t xml:space="preserve">416</w:t>
            </w:r>
          </w:p>
        </w:tc>
        <w:tc>
          <w:p>
            <w:pPr>
              <w:pStyle w:val="Compact"/>
              <w:jc w:val="right"/>
            </w:pPr>
            <w:r>
              <w:t xml:space="preserve">0.83</w:t>
            </w:r>
          </w:p>
        </w:tc>
        <w:tc>
          <w:p>
            <w:pPr>
              <w:pStyle w:val="Compact"/>
              <w:jc w:val="right"/>
            </w:pPr>
            <w:r>
              <w:t xml:space="preserve">13.12</w:t>
            </w:r>
          </w:p>
        </w:tc>
      </w:tr>
      <w:tr>
        <w:tc>
          <w:p>
            <w:pPr>
              <w:pStyle w:val="Compact"/>
              <w:jc w:val="right"/>
            </w:pPr>
            <w:r>
              <w:t xml:space="preserve">3</w:t>
            </w:r>
          </w:p>
        </w:tc>
        <w:tc>
          <w:p>
            <w:pPr>
              <w:pStyle w:val="Compact"/>
              <w:jc w:val="right"/>
            </w:pPr>
            <w:r>
              <w:t xml:space="preserve">1</w:t>
            </w:r>
            <w:r>
              <w:t xml:space="preserve">,</w:t>
            </w:r>
            <w:r>
              <w:t xml:space="preserve">248</w:t>
            </w:r>
          </w:p>
        </w:tc>
        <w:tc>
          <w:p>
            <w:pPr>
              <w:pStyle w:val="Compact"/>
              <w:jc w:val="right"/>
            </w:pPr>
            <w:r>
              <w:t xml:space="preserve">2.48</w:t>
            </w:r>
          </w:p>
        </w:tc>
        <w:tc>
          <w:p>
            <w:pPr>
              <w:pStyle w:val="Compact"/>
              <w:jc w:val="right"/>
            </w:pPr>
            <w:r>
              <w:t xml:space="preserve">39.37</w:t>
            </w:r>
          </w:p>
        </w:tc>
      </w:tr>
      <w:tr>
        <w:tc>
          <w:p>
            <w:pPr>
              <w:pStyle w:val="Compact"/>
              <w:jc w:val="right"/>
            </w:pPr>
            <w:r>
              <w:t xml:space="preserve">5</w:t>
            </w:r>
          </w:p>
        </w:tc>
        <w:tc>
          <w:p>
            <w:pPr>
              <w:pStyle w:val="Compact"/>
              <w:jc w:val="right"/>
            </w:pPr>
            <w:r>
              <w:t xml:space="preserve">2</w:t>
            </w:r>
            <w:r>
              <w:t xml:space="preserve">,</w:t>
            </w:r>
            <w:r>
              <w:t xml:space="preserve">080</w:t>
            </w:r>
          </w:p>
        </w:tc>
        <w:tc>
          <w:p>
            <w:pPr>
              <w:pStyle w:val="Compact"/>
              <w:jc w:val="right"/>
            </w:pPr>
            <w:r>
              <w:t xml:space="preserve">4.13</w:t>
            </w:r>
          </w:p>
        </w:tc>
        <w:tc>
          <w:p>
            <w:pPr>
              <w:pStyle w:val="Compact"/>
              <w:jc w:val="right"/>
            </w:pPr>
            <w:r>
              <w:t xml:space="preserve">65.61</w:t>
            </w:r>
          </w:p>
        </w:tc>
      </w:tr>
      <w:tr>
        <w:tc>
          <w:p>
            <w:pPr>
              <w:pStyle w:val="Compact"/>
              <w:jc w:val="right"/>
            </w:pPr>
            <w:r>
              <w:t xml:space="preserve">9</w:t>
            </w:r>
          </w:p>
        </w:tc>
        <w:tc>
          <w:p>
            <w:pPr>
              <w:pStyle w:val="Compact"/>
              <w:jc w:val="right"/>
            </w:pPr>
            <w:r>
              <w:t xml:space="preserve">3</w:t>
            </w:r>
            <w:r>
              <w:t xml:space="preserve">,</w:t>
            </w:r>
            <w:r>
              <w:t xml:space="preserve">745</w:t>
            </w:r>
          </w:p>
        </w:tc>
        <w:tc>
          <w:p>
            <w:pPr>
              <w:pStyle w:val="Compact"/>
              <w:jc w:val="right"/>
            </w:pPr>
            <w:r>
              <w:t xml:space="preserve">7.43</w:t>
            </w:r>
          </w:p>
        </w:tc>
        <w:tc>
          <w:p>
            <w:pPr>
              <w:pStyle w:val="Compact"/>
              <w:jc w:val="right"/>
            </w:pPr>
            <w:r>
              <w:t xml:space="preserve">118.10</w:t>
            </w:r>
          </w:p>
        </w:tc>
      </w:tr>
      <w:tr>
        <w:tc>
          <w:p>
            <w:pPr>
              <w:pStyle w:val="Compact"/>
              <w:jc w:val="right"/>
            </w:pPr>
            <w:r>
              <w:t xml:space="preserve">15</w:t>
            </w:r>
          </w:p>
        </w:tc>
        <w:tc>
          <w:p>
            <w:pPr>
              <w:pStyle w:val="Compact"/>
              <w:jc w:val="right"/>
            </w:pPr>
            <w:r>
              <w:t xml:space="preserve">6</w:t>
            </w:r>
            <w:r>
              <w:t xml:space="preserve">,</w:t>
            </w:r>
            <w:r>
              <w:t xml:space="preserve">242</w:t>
            </w:r>
          </w:p>
        </w:tc>
        <w:tc>
          <w:p>
            <w:pPr>
              <w:pStyle w:val="Compact"/>
              <w:jc w:val="right"/>
            </w:pPr>
            <w:r>
              <w:t xml:space="preserve">12.38</w:t>
            </w:r>
          </w:p>
        </w:tc>
        <w:tc>
          <w:p>
            <w:pPr>
              <w:pStyle w:val="Compact"/>
              <w:jc w:val="right"/>
            </w:pPr>
            <w:r>
              <w:t xml:space="preserve">196.84</w:t>
            </w:r>
          </w:p>
        </w:tc>
      </w:tr>
    </w:tbl>
    <w:bookmarkEnd w:id="52"/>
    <w:p>
      <w:pPr>
        <w:pStyle w:val="BodyText"/>
      </w:pPr>
      <w:r>
        <w:t xml:space="preserve">Token counts are the observed per-call means; dollar figures use provider list</w:t>
      </w:r>
      <w:r>
        <w:t xml:space="preserve"> </w:t>
      </w:r>
      <w:r>
        <w:t xml:space="preserve">pricing accessed 30 August 2026 from the OpenAI and Google API pricing pages and will change as pricing</w:t>
      </w:r>
      <w:r>
        <w:t xml:space="preserve"> </w:t>
      </w:r>
      <w:r>
        <w:t xml:space="preserve">changes.</w:t>
      </w:r>
    </w:p>
    <w:p>
      <w:pPr>
        <w:pStyle w:val="Heading2"/>
      </w:pPr>
      <w:bookmarkStart w:id="53" w:name="sec:sis-gov"/>
      <w:r>
        <w:t xml:space="preserve">Governance workflow</w:t>
      </w:r>
      <w:bookmarkEnd w:id="53"/>
    </w:p>
    <w:p>
      <w:pPr>
        <w:pStyle w:val="FirstParagraph"/>
      </w:pPr>
      <w:r>
        <w:t xml:space="preserve">In a model-risk workflow the score sits between the model and the decision (Fig. </w:t>
      </w:r>
      <w:hyperlink w:anchor="fig:governance">
        <w:r>
          <w:rPr>
            <w:rStyle w:val="Hyperlink"/>
          </w:rPr>
          <w:t xml:space="preserve">5</w:t>
        </w:r>
      </w:hyperlink>
      <w:r>
        <w:t xml:space="preserve">).</w:t>
      </w:r>
      <w:r>
        <w:t xml:space="preserve"> </w:t>
      </w:r>
      <w:r>
        <w:t xml:space="preserve">Each issuer is elicited</w:t>
      </w:r>
      <w:r>
        <w:t xml:space="preserve"> </w:t>
      </w:r>
      <m:oMath>
        <m:r>
          <m:t>k</m:t>
        </m:r>
      </m:oMath>
      <w:r>
        <w:t xml:space="preserve"> </w:t>
      </w:r>
      <w:r>
        <w:t xml:space="preserve">times; the modal rating and its score are recorded; issuers whose modal rating</w:t>
      </w:r>
      <w:r>
        <w:t xml:space="preserve"> </w:t>
      </w:r>
      <w:r>
        <w:t xml:space="preserve">sits near a consequential boundary (such as IG/HY)</w:t>
      </w:r>
      <w:r>
        <w:t xml:space="preserve"> </w:t>
      </w:r>
      <w:r>
        <w:rPr>
          <w:i/>
        </w:rPr>
        <w:t xml:space="preserve">and</w:t>
      </w:r>
      <w:r>
        <w:t xml:space="preserve"> </w:t>
      </w:r>
      <w:r>
        <w:t xml:space="preserve">whose score exceeds a pre-set tolerance are</w:t>
      </w:r>
      <w:r>
        <w:t xml:space="preserve"> </w:t>
      </w:r>
      <w:r>
        <w:t xml:space="preserve">routed to human review, while stable issuers pass through. This yields an auditable, ground-truth-free</w:t>
      </w:r>
      <w:r>
        <w:t xml:space="preserve"> </w:t>
      </w:r>
      <w:r>
        <w:t xml:space="preserve">control that scales with the rating pipeline and directly answers a supervisory model-risk question:</w:t>
      </w:r>
      <w:r>
        <w:t xml:space="preserve"> </w:t>
      </w:r>
      <w:r>
        <w:t xml:space="preserve">how much of this rating is a property of the firm, and how much of how we asked?</w:t>
      </w:r>
    </w:p>
    <w:p>
      <w:pPr>
        <w:pStyle w:val="CaptionedFigure"/>
      </w:pPr>
      <w:bookmarkStart w:id="55" w:name="fig:governance"/>
      <w:r>
        <w:drawing>
          <wp:inline>
            <wp:extent cx="5275031" cy="1277403"/>
            <wp:effectExtent b="0" l="0" r="0" t="0"/>
            <wp:docPr descr="Governance workflow. Each issuer is elicited k times; the modal rating and specification-instability score are recorded; issuers that are both near a consequential boundary and unstable are routed to review." title="" id="1" name="Picture"/>
            <a:graphic>
              <a:graphicData uri="http://schemas.openxmlformats.org/drawingml/2006/picture">
                <pic:pic>
                  <pic:nvPicPr>
                    <pic:cNvPr descr="fig_governance.png" id="0" name="Picture"/>
                    <pic:cNvPicPr>
                      <a:picLocks noChangeArrowheads="1" noChangeAspect="1"/>
                    </pic:cNvPicPr>
                  </pic:nvPicPr>
                  <pic:blipFill>
                    <a:blip r:embed="rId54"/>
                    <a:stretch>
                      <a:fillRect/>
                    </a:stretch>
                  </pic:blipFill>
                  <pic:spPr bwMode="auto">
                    <a:xfrm>
                      <a:off x="0" y="0"/>
                      <a:ext cx="5275031" cy="1277403"/>
                    </a:xfrm>
                    <a:prstGeom prst="rect">
                      <a:avLst/>
                    </a:prstGeom>
                    <a:noFill/>
                    <a:ln w="9525">
                      <a:noFill/>
                      <a:headEnd/>
                      <a:tailEnd/>
                    </a:ln>
                  </pic:spPr>
                </pic:pic>
              </a:graphicData>
            </a:graphic>
          </wp:inline>
        </w:drawing>
      </w:r>
      <w:bookmarkEnd w:id="55"/>
    </w:p>
    <w:p>
      <w:pPr>
        <w:pStyle w:val="ImageCaption"/>
      </w:pPr>
      <w:r>
        <w:t xml:space="preserve">Governance workflow. Each issuer is elicited</w:t>
      </w:r>
      <w:r>
        <w:t xml:space="preserve"> </w:t>
      </w:r>
      <m:oMath>
        <m:r>
          <m:t>k</m:t>
        </m:r>
      </m:oMath>
      <w:r>
        <w:t xml:space="preserve"> </w:t>
      </w:r>
      <w:r>
        <w:t xml:space="preserve">times; the modal rating and specification-instability</w:t>
      </w:r>
      <w:r>
        <w:t xml:space="preserve"> </w:t>
      </w:r>
      <w:r>
        <w:t xml:space="preserve">score are recorded; issuers that are both near a consequential boundary and unstable are routed to review.</w:t>
      </w:r>
    </w:p>
    <w:p>
      <w:pPr>
        <w:pStyle w:val="Heading1"/>
      </w:pPr>
      <w:bookmarkStart w:id="56" w:name="discussion"/>
      <w:r>
        <w:t xml:space="preserve">Discussion</w:t>
      </w:r>
      <w:bookmarkEnd w:id="56"/>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No single controllable design choice explains more than</w:t>
      </w:r>
      <w:r>
        <w:t xml:space="preserve"> </w:t>
      </w:r>
      <m:oMath>
        <m:r>
          <m:t>∼</m:t>
        </m:r>
      </m:oMath>
      <w:r>
        <w:t xml:space="preserve">5% of rating variance. Of the</w:t>
      </w:r>
      <w:r>
        <w:t xml:space="preserve"> </w:t>
      </w:r>
      <m:oMath>
        <m:r>
          <m:t>∼</m:t>
        </m:r>
      </m:oMath>
      <w:r>
        <w:t xml:space="preserve">25%</w:t>
      </w:r>
      <w:r>
        <w:t xml:space="preserve"> </w:t>
      </w:r>
      <w:r>
        <w:t xml:space="preserve">OLS residual, only about 8% is pure run-to-run seed variation; the remainder is structured but unmodeled</w:t>
      </w:r>
      <w:r>
        <w:t xml:space="preserve"> </w:t>
      </w:r>
      <w:r>
        <w:t xml:space="preserve">sensitivity to the elicitation specification. This distinction matters because it implies that the</w:t>
      </w:r>
      <w:r>
        <w:t xml:space="preserve"> </w:t>
      </w:r>
      <w:r>
        <w:t xml:space="preserve">instability is neither reducible to a single tunable knob nor dismissible as mere sampling noise: the</w:t>
      </w:r>
      <w:r>
        <w:t xml:space="preserve"> </w:t>
      </w:r>
      <w:r>
        <w:t xml:space="preserve">same financial information produces meaningfully different credit assessments under multiple reasonable</w:t>
      </w:r>
      <w:r>
        <w:t xml:space="preserve"> </w:t>
      </w:r>
      <w:r>
        <w:t xml:space="preserve">specifications.</w:t>
      </w:r>
    </w:p>
    <w:p>
      <w:pPr>
        <w:pStyle w:val="BodyText"/>
      </w:pPr>
      <w:r>
        <w:t xml:space="preserve">It is useful to separate two kinds of risk this induces, because they call for different controls.</w:t>
      </w:r>
      <w:r>
        <w:t xml:space="preserve"> </w:t>
      </w:r>
      <w:r>
        <w:rPr>
          <w:i/>
        </w:rPr>
        <w:t xml:space="preserve">Build-time</w:t>
      </w:r>
      <w:r>
        <w:t xml:space="preserve"> </w:t>
      </w:r>
      <w:r>
        <w:t xml:space="preserve">risk is the one-time consequence of fixing a particular provider, model snapshot, and</w:t>
      </w:r>
      <w:r>
        <w:t xml:space="preserve"> </w:t>
      </w:r>
      <w:r>
        <w:t xml:space="preserve">prompt template when a system is designed: each design choice carries up to about 5% of variance and the</w:t>
      </w:r>
      <w:r>
        <w:t xml:space="preserve"> </w:t>
      </w:r>
      <w:r>
        <w:t xml:space="preserve">provider</w:t>
      </w:r>
      <m:oMath>
        <m:r>
          <m:t>×</m:t>
        </m:r>
      </m:oMath>
      <w:r>
        <w:t xml:space="preserve">item interaction is non-negligible, so the chosen configuration selects a point on the</w:t>
      </w:r>
      <w:r>
        <w:t xml:space="preserve"> </w:t>
      </w:r>
      <w:r>
        <w:t xml:space="preserve">specification curve that need not generalize to other defensible configurations.</w:t>
      </w:r>
      <w:r>
        <w:t xml:space="preserve"> </w:t>
      </w:r>
      <w:r>
        <w:rPr>
          <w:i/>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w:t>
      </w:r>
      <w:hyperlink w:anchor="sec:sis">
        <w:r>
          <w:rPr>
            <w:rStyle w:val="Hyperlink"/>
          </w:rPr>
          <w:t xml:space="preserve">4</w:t>
        </w:r>
      </w:hyperlink>
      <w:r>
        <w:t xml:space="preserve">), run-time risk by</w:t>
      </w:r>
      <w:r>
        <w:t xml:space="preserve"> </w:t>
      </w:r>
      <w:r>
        <w:t xml:space="preserve">aggregating repeated calls (self-consistency, Section </w:t>
      </w:r>
      <w:hyperlink w:anchor="sec:selfcons">
        <w:r>
          <w:rPr>
            <w:rStyle w:val="Hyperlink"/>
          </w:rPr>
          <w:t xml:space="preserve">3.8</w:t>
        </w:r>
      </w:hyperlink>
      <w:r>
        <w:t xml:space="preserve">),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t xml:space="preserve"> </w:t>
      </w:r>
      <w:r>
        <w:t xml:space="preserve">clean: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instability is still observed. The real and constructed estimates are not shown to be</w:t>
      </w:r>
      <w:r>
        <w:t xml:space="preserve"> </w:t>
      </w:r>
      <w:r>
        <w:t xml:space="preserve">quantitatively equivalent, and the sample is too small to support such a claim; nevertheless, the</w:t>
      </w:r>
      <w:r>
        <w:t xml:space="preserve"> </w:t>
      </w:r>
      <w:r>
        <w:t xml:space="preserve">qualitative pattern persists and suggests that the main finding is not confined to the controlled battery.</w:t>
      </w:r>
    </w:p>
    <w:p>
      <w:pPr>
        <w:pStyle w:val="Heading2"/>
      </w:pPr>
      <w:bookmarkStart w:id="57" w:name="a-reusable-decontamination-protocol"/>
      <w:r>
        <w:t xml:space="preserve">A reusable decontamination protocol</w:t>
      </w:r>
      <w:bookmarkEnd w:id="57"/>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w:t>
      </w:r>
      <w:r>
        <w:t xml:space="preserve"> </w:t>
      </w:r>
      <w:r>
        <w:t xml:space="preserve">combined with explicit identification testing is a practical way to mitigate this risk when evaluating</w:t>
      </w:r>
      <w:r>
        <w:t xml:space="preserve"> </w:t>
      </w:r>
      <w:r>
        <w:t xml:space="preserve">LLMs on public financial entities.</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p>
      <w:pPr>
        <w:pStyle w:val="Heading2"/>
      </w:pPr>
      <w:bookmarkStart w:id="58" w:name="limitations"/>
      <w:r>
        <w:t xml:space="preserve">Limitations</w:t>
      </w:r>
      <w:bookmarkEnd w:id="58"/>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w:t>
      </w:r>
      <w:hyperlink w:anchor="tab:models">
        <w:r>
          <w:rPr>
            <w:rStyle w:val="Hyperlink"/>
          </w:rPr>
          <w:t xml:space="preserve">7</w:t>
        </w:r>
      </w:hyperlink>
      <w:r>
        <w:t xml:space="preserve">);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directly tested in Section </w:t>
      </w:r>
      <w:hyperlink w:anchor="sec:tier">
        <w:r>
          <w:rPr>
            <w:rStyle w:val="Hyperlink"/>
          </w:rPr>
          <w:t xml:space="preserve">3.7</w:t>
        </w:r>
      </w:hyperlink>
      <w:r>
        <w:t xml:space="preserve"> </w:t>
      </w:r>
      <w:r>
        <w:t xml:space="preserve">above: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so the instability is not an artifact of model scale. The flagship comparison</w:t>
      </w:r>
      <w:r>
        <w:t xml:space="preserve"> </w:t>
      </w:r>
      <w:r>
        <w:t xml:space="preserve">nonetheless covers one model per provider on a reduced grid, and a fuller frontier sweep remains a useful</w:t>
      </w:r>
      <w:r>
        <w:t xml:space="preserve"> </w:t>
      </w:r>
      <w:r>
        <w:t xml:space="preserve">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issuer-clustered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decontamination design. This sample checks external validity but is much smaller than the controlled</w:t>
      </w:r>
      <w:r>
        <w:t xml:space="preserve"> </w:t>
      </w:r>
      <w:r>
        <w:t xml:space="preserve">battery at the relevant strata; in particular, the WATCH-stratum comparison lacks the power to detect the</w:t>
      </w:r>
      <w:r>
        <w:t xml:space="preserve"> </w:t>
      </w:r>
      <w:r>
        <w:t xml:space="preserve">pre-specified equivalence margin, and quantitative equivalence between the constructed and real-firm</w:t>
      </w:r>
      <w:r>
        <w:t xml:space="preserve"> </w:t>
      </w:r>
      <w:r>
        <w:t xml:space="preserve">estimates is not established.</w:t>
      </w:r>
    </w:p>
    <w:p>
      <w:pPr>
        <w:pStyle w:val="BodyText"/>
      </w:pPr>
      <w:r>
        <w:t xml:space="preserve">Fourth, the study measures stability, not absolute credit-rating capability. The Altman Z</w:t>
      </w:r>
      <m:oMath>
        <m: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partially aliased with two-factor interactions. We therefore read the decomposition main-effects-first</w:t>
      </w:r>
      <w:r>
        <w:t xml:space="preserve"> </w:t>
      </w:r>
      <w:r>
        <w:t xml:space="preserve">and report the structured portion of the residual as</w:t>
      </w:r>
      <w:r>
        <w:t xml:space="preserve"> </w:t>
      </w:r>
      <w:r>
        <w:t xml:space="preserve">“</w:t>
      </w:r>
      <w:r>
        <w:t xml:space="preserve">unmodeled interactions</w:t>
      </w:r>
      <w:r>
        <w:t xml:space="preserve">”</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Finally, the spread and regulatory-capital translations are post-hoc calibrations that express observed</w:t>
      </w:r>
      <w:r>
        <w:t xml:space="preserve"> </w:t>
      </w:r>
      <w:r>
        <w:t xml:space="preserve">rating dispersion in economically interpretable units. They are not pre-registered tests and are not</w:t>
      </w:r>
      <w:r>
        <w:t xml:space="preserve"> </w:t>
      </w:r>
      <w:r>
        <w:t xml:space="preserve">intended as simulations of a real regulatory or institutional implementation. Within these bounds, the</w:t>
      </w:r>
      <w:r>
        <w:t xml:space="preserve"> </w:t>
      </w:r>
      <w:r>
        <w:t xml:space="preserve">main stability finding is robust across the specification curve, the deterministic subgrid, the provider</w:t>
      </w:r>
      <w:r>
        <w:t xml:space="preserve"> </w:t>
      </w:r>
      <w:r>
        <w:t xml:space="preserve">comparison, the rating-resolution analysis, and the decontaminated real-firm arm.</w:t>
      </w:r>
    </w:p>
    <w:p>
      <w:pPr>
        <w:pStyle w:val="Heading2"/>
      </w:pPr>
      <w:bookmarkStart w:id="59" w:name="future-directions"/>
      <w:r>
        <w:t xml:space="preserve">Future directions</w:t>
      </w:r>
      <w:bookmarkEnd w:id="59"/>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decontamination</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p>
      <w:pPr>
        <w:pStyle w:val="Heading1"/>
      </w:pPr>
      <w:bookmarkStart w:id="60" w:name="methods"/>
      <w:r>
        <w:t xml:space="preserve">Methods</w:t>
      </w:r>
      <w:bookmarkEnd w:id="60"/>
    </w:p>
    <w:p>
      <w:pPr>
        <w:pStyle w:val="Heading2"/>
      </w:pPr>
      <w:bookmarkStart w:id="61" w:name="design-battery-and-benchmark"/>
      <w:r>
        <w:t xml:space="preserve">Design, battery, and benchmark</w:t>
      </w:r>
      <w:bookmarkEnd w:id="61"/>
    </w:p>
    <w:p>
      <w:pPr>
        <w:pStyle w:val="FirstParagraph"/>
      </w:pPr>
      <w:r>
        <w:t xml:space="preserve">The study is designed to measure</w:t>
      </w:r>
      <w:r>
        <w:t xml:space="preserve"> </w:t>
      </w:r>
      <w:r>
        <w:rPr>
          <w:i/>
        </w:rPr>
        <w:t xml:space="preserve">elicitation stability</w:t>
      </w:r>
      <w:r>
        <w:t xml:space="preserve">: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decontaminated real-firm</w:t>
      </w:r>
      <w:r>
        <w:t xml:space="preserve"> </w:t>
      </w:r>
      <w:r>
        <w:t xml:space="preserve">sample for a complementary external-validity test.</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credit-rating agreement and investment-grade/high-yield analyses use the 45</w:t>
      </w:r>
      <w:r>
        <w:t xml:space="preserve"> </w:t>
      </w:r>
      <w:r>
        <w:t xml:space="preserve">credit-health profiles; the directional profiles are used only for the portfolio-turnover translation.</w:t>
      </w:r>
    </w:p>
    <w:p>
      <w:pPr>
        <w:pStyle w:val="BodyText"/>
      </w:pPr>
      <w:r>
        <w:t xml:space="preserve">For the credit-health task, each profile is associated with a pre-specified Altman Z</w:t>
      </w:r>
      <m:oMath>
        <m:r>
          <m:t>″</m:t>
        </m:r>
      </m:oMath>
      <w:r>
        <w:t xml:space="preserve"> </w:t>
      </w:r>
      <w:r>
        <w:t xml:space="preserve">accounting-based</w:t>
      </w:r>
      <w:r>
        <w:t xml:space="preserve"> </w:t>
      </w:r>
      <w:r>
        <w:t xml:space="preserve">reference (Altman, 1968), computed with coefficients 6.56, 3.26, 6.72, and 1.05 and cutoffs 2.60 and</w:t>
      </w:r>
      <w:r>
        <w:t xml:space="preserve"> </w:t>
      </w:r>
      <w:r>
        <w:t xml:space="preserve">1.10 (Z</w:t>
      </w:r>
      <m:oMath>
        <m:r>
          <m:t>″</m:t>
        </m:r>
        <m:r>
          <m:t>≥</m:t>
        </m:r>
        <m:r>
          <m:t>2.60</m:t>
        </m:r>
      </m:oMath>
      <w:r>
        <w:t xml:space="preserve"> </w:t>
      </w:r>
      <w:r>
        <w:t xml:space="preserve">= safe,</w:t>
      </w:r>
      <w:r>
        <w:t xml:space="preserve"> </w:t>
      </w:r>
      <m:oMath>
        <m:r>
          <m:t>1.10</m:t>
        </m:r>
        <m:r>
          <m:t>&lt;</m:t>
        </m:r>
        <m:r>
          <m:t>​</m:t>
        </m:r>
      </m:oMath>
      <w:r>
        <w:t xml:space="preserve">Z</w:t>
      </w:r>
      <m:oMath>
        <m:r>
          <m:t>″</m:t>
        </m:r>
        <m:r>
          <m:t>&lt;</m:t>
        </m:r>
        <m:r>
          <m:t>2.60</m:t>
        </m:r>
      </m:oMath>
      <w:r>
        <w:t xml:space="preserve"> </w:t>
      </w:r>
      <w:r>
        <w:t xml:space="preserve">= watch, Z</w:t>
      </w:r>
      <m:oMath>
        <m:r>
          <m:t>″</m:t>
        </m:r>
        <m: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w:t>
      </w:r>
      <w:hyperlink w:anchor="tab:map">
        <w:r>
          <w:rPr>
            <w:rStyle w:val="Hyperlink"/>
          </w:rPr>
          <w:t xml:space="preserve">6</w:t>
        </w:r>
      </w:hyperlink>
      <w:r>
        <w:t xml:space="preserve">;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62" w:name="tab:map"/>
    <w:p>
      <w:pPr>
        <w:pStyle w:val="TableCaption"/>
      </w:pPr>
      <w:r>
        <w:t xml:space="preserve">Deterministic mapping from the machine letter rating to coarser resolutions, and the Altman</w:t>
      </w:r>
      <w:r>
        <w:t xml:space="preserve"> </w:t>
      </w:r>
      <w:r>
        <w:t xml:space="preserve">Z</w:t>
      </w:r>
      <m:oMath>
        <m:r>
          <m:t>″</m:t>
        </m:r>
      </m:oMath>
      <w:r>
        <w:t xml:space="preserve"> </w:t>
      </w:r>
      <w:r>
        <w:t xml:space="preserve">benchmark strata. The three-way band and the IG/HY split share the same investment-grade cut.</w:t>
      </w:r>
    </w:p>
    <w:tbl>
      <w:tblPr>
        <w:tblStyle w:val="Table"/>
        <w:tblW w:type="pct" w:w="0.0"/>
        <w:tblLook w:firstRow="1"/>
        <w:tblCaption w:val="Deterministic mapping from the machine letter rating to coarser resolutions, and the Altman Z'' benchmark strata. The three-way band and the IG/HY split share the same investment-grade cut."/>
      </w:tblPr>
      <w:tblGrid/>
      <w:tr>
        <w:trPr>
          <w:cnfStyle w:firstRow="1"/>
        </w:trPr>
        <w:tc>
          <w:tcPr>
            <w:tcBorders>
              <w:bottom w:val="single"/>
            </w:tcBorders>
            <w:vAlign w:val="bottom"/>
          </w:tcPr>
          <w:p>
            <w:pPr>
              <w:pStyle w:val="Compact"/>
              <w:jc w:val="left"/>
            </w:pPr>
            <w:r>
              <w:t xml:space="preserve">Letter grade</w:t>
            </w:r>
          </w:p>
        </w:tc>
        <w:tc>
          <w:tcPr>
            <w:tcBorders>
              <w:bottom w:val="single"/>
            </w:tcBorders>
            <w:vAlign w:val="bottom"/>
          </w:tcPr>
          <w:p>
            <w:pPr>
              <w:pStyle w:val="Compact"/>
              <w:jc w:val="left"/>
            </w:pPr>
            <w:r>
              <w:t xml:space="preserve">Notch</w:t>
            </w:r>
          </w:p>
        </w:tc>
        <w:tc>
          <w:tcPr>
            <w:tcBorders>
              <w:bottom w:val="single"/>
            </w:tcBorders>
            <w:vAlign w:val="bottom"/>
          </w:tcPr>
          <w:p>
            <w:pPr>
              <w:pStyle w:val="Compact"/>
              <w:jc w:val="left"/>
            </w:pPr>
            <w:r>
              <w:t xml:space="preserve">Three-way band</w:t>
            </w:r>
          </w:p>
        </w:tc>
        <w:tc>
          <w:tcPr>
            <w:tcBorders>
              <w:bottom w:val="single"/>
            </w:tcBorders>
            <w:vAlign w:val="bottom"/>
          </w:tcPr>
          <w:p>
            <w:pPr>
              <w:pStyle w:val="Compact"/>
              <w:jc w:val="left"/>
            </w:pPr>
            <w:r>
              <w:t xml:space="preserve">IG/HY</w:t>
            </w:r>
          </w:p>
        </w:tc>
      </w:tr>
      <w:tr>
        <w:tc>
          <w:p>
            <w:pPr>
              <w:pStyle w:val="Compact"/>
              <w:jc w:val="left"/>
            </w:pPr>
            <w:r>
              <w:t xml:space="preserve">AAA</w:t>
            </w:r>
          </w:p>
        </w:tc>
        <w:tc>
          <w:p>
            <w:pPr>
              <w:pStyle w:val="Compact"/>
              <w:jc w:val="left"/>
            </w:pPr>
            <w:r>
              <w:t xml:space="preserve">AAA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AA</w:t>
            </w:r>
            <m:oMath>
              <m:r>
                <m:t>−</m:t>
              </m:r>
            </m:oMath>
          </w:p>
        </w:tc>
        <w:tc>
          <w:p>
            <w:pPr>
              <w:pStyle w:val="Compact"/>
              <w:jc w:val="left"/>
            </w:pPr>
            <w:r>
              <w:t xml:space="preserve">AA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A</w:t>
            </w:r>
            <m:oMath>
              <m:r>
                <m:t>−</m:t>
              </m:r>
            </m:oMath>
          </w:p>
        </w:tc>
        <w:tc>
          <w:p>
            <w:pPr>
              <w:pStyle w:val="Compact"/>
              <w:jc w:val="left"/>
            </w:pPr>
            <w:r>
              <w:t xml:space="preserve">A</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BBB</w:t>
            </w:r>
            <m:oMath>
              <m:r>
                <m:t>−</m:t>
              </m:r>
            </m:oMath>
          </w:p>
        </w:tc>
        <w:tc>
          <w:p>
            <w:pPr>
              <w:pStyle w:val="Compact"/>
              <w:jc w:val="left"/>
            </w:pPr>
            <w:r>
              <w:t xml:space="preserve">BBB</w:t>
            </w:r>
          </w:p>
        </w:tc>
        <w:tc>
          <w:p>
            <w:pPr>
              <w:pStyle w:val="Compact"/>
              <w:jc w:val="left"/>
            </w:pPr>
            <w:r>
              <w:t xml:space="preserve">SAFE</w:t>
            </w:r>
          </w:p>
        </w:tc>
        <w:tc>
          <w:p>
            <w:pPr>
              <w:pStyle w:val="Compact"/>
              <w:jc w:val="left"/>
            </w:pPr>
            <w:r>
              <w:t xml:space="preserve">Investment grade</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BB</w:t>
            </w:r>
            <m:oMath>
              <m:r>
                <m:t>−</m:t>
              </m:r>
            </m:oMath>
          </w:p>
        </w:tc>
        <w:tc>
          <w:p>
            <w:pPr>
              <w:pStyle w:val="Compact"/>
              <w:jc w:val="left"/>
            </w:pPr>
            <w:r>
              <w:t xml:space="preserve">BB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B</w:t>
            </w:r>
            <m:oMath>
              <m:r>
                <m:t>−</m:t>
              </m:r>
            </m:oMath>
          </w:p>
        </w:tc>
        <w:tc>
          <w:p>
            <w:pPr>
              <w:pStyle w:val="Compact"/>
              <w:jc w:val="left"/>
            </w:pPr>
            <w:r>
              <w:t xml:space="preserve">B</w:t>
            </w:r>
          </w:p>
        </w:tc>
        <w:tc>
          <w:p>
            <w:pPr>
              <w:pStyle w:val="Compact"/>
              <w:jc w:val="left"/>
            </w:pPr>
            <w:r>
              <w:t xml:space="preserve">WATCH</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CCC</w:t>
            </w:r>
            <m:oMath>
              <m:r>
                <m:t>−</m:t>
              </m:r>
            </m:oMath>
          </w:p>
        </w:tc>
        <w:tc>
          <w:p>
            <w:pPr>
              <w:pStyle w:val="Compact"/>
              <w:jc w:val="left"/>
            </w:pPr>
            <w:r>
              <w:t xml:space="preserve">CCC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CC</w:t>
            </w:r>
          </w:p>
        </w:tc>
        <w:tc>
          <w:p>
            <w:pPr>
              <w:pStyle w:val="Compact"/>
              <w:jc w:val="left"/>
            </w:pPr>
            <w:r>
              <w:t xml:space="preserve">CC</w:t>
            </w:r>
          </w:p>
        </w:tc>
        <w:tc>
          <w:p>
            <w:pPr>
              <w:pStyle w:val="Compact"/>
              <w:jc w:val="left"/>
            </w:pPr>
            <w:r>
              <w:t xml:space="preserve">DISTRESS</w:t>
            </w:r>
          </w:p>
        </w:tc>
        <w:tc>
          <w:p>
            <w:pPr>
              <w:pStyle w:val="Compact"/>
              <w:jc w:val="left"/>
            </w:pPr>
            <w:r>
              <w:t xml:space="preserve">High yield</w:t>
            </w:r>
          </w:p>
        </w:tc>
      </w:tr>
      <w:tr>
        <w:tc>
          <w:p>
            <w:pPr>
              <w:pStyle w:val="Compact"/>
              <w:jc w:val="left"/>
            </w:pPr>
            <w:r>
              <w:t xml:space="preserve">C</w:t>
            </w:r>
          </w:p>
        </w:tc>
        <w:tc>
          <w:p>
            <w:pPr>
              <w:pStyle w:val="Compact"/>
              <w:jc w:val="left"/>
            </w:pPr>
            <w:r>
              <w:t xml:space="preserve">C</w:t>
            </w:r>
          </w:p>
        </w:tc>
        <w:tc>
          <w:p>
            <w:pPr>
              <w:pStyle w:val="Compact"/>
              <w:jc w:val="left"/>
            </w:pPr>
            <w:r>
              <w:t xml:space="preserve">DISTRESS</w:t>
            </w:r>
          </w:p>
        </w:tc>
        <w:tc>
          <w:p>
            <w:pPr>
              <w:pStyle w:val="Compact"/>
              <w:jc w:val="left"/>
            </w:pPr>
            <w:r>
              <w:t xml:space="preserve">High yield</w:t>
            </w:r>
          </w:p>
        </w:tc>
      </w:tr>
    </w:tbl>
    <w:bookmarkEnd w:id="62"/>
    <w:p>
      <w:pPr>
        <w:pStyle w:val="BodyText"/>
      </w:pPr>
      <w:r>
        <w:t xml:space="preserve">The notch resolution drops the</w:t>
      </w:r>
      <w:r>
        <w:t xml:space="preserve"> </w:t>
      </w:r>
      <m:oMath>
        <m:r>
          <m:t>+</m:t>
        </m:r>
      </m:oMath>
      <w:r>
        <w:t xml:space="preserve">/</w:t>
      </w:r>
      <m:oMath>
        <m:r>
          <m:t>−</m:t>
        </m:r>
      </m:oMath>
      <w:r>
        <w:t xml:space="preserve"> </w:t>
      </w:r>
      <w:r>
        <w:t xml:space="preserve">modifiers, collapsing</w:t>
      </w:r>
      <w:r>
        <w:t xml:space="preserve"> </w:t>
      </w:r>
      <w:r>
        <w:t xml:space="preserve">the 21 letter grades to 9 notches.</w:t>
      </w:r>
      <w:r>
        <w:t xml:space="preserve"> </w:t>
      </w:r>
      <w:r>
        <w:rPr>
          <w:i/>
        </w:rPr>
        <w:t xml:space="preserve">Altman Z</w:t>
      </w:r>
      <m:oMath>
        <m:r>
          <m:t>″</m:t>
        </m:r>
      </m:oMath>
      <w:r>
        <w:rPr>
          <w:i/>
        </w:rPr>
        <w:t xml:space="preserve"> </w:t>
      </w:r>
      <w:r>
        <w:rPr>
          <w:i/>
        </w:rPr>
        <w:t xml:space="preserve">strata:</w:t>
      </w:r>
      <w:r>
        <w:t xml:space="preserve"> </w:t>
      </w:r>
      <w:r>
        <w:t xml:space="preserve">SAFE</w:t>
      </w:r>
      <w:r>
        <w:t xml:space="preserve"> </w:t>
      </w:r>
      <m:oMath>
        <m: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t>≤</m:t>
        </m:r>
        <m:r>
          <m:t>1.10</m:t>
        </m:r>
      </m:oMath>
      <w:r>
        <w:t xml:space="preserve">.</w:t>
      </w:r>
    </w:p>
    <w:p>
      <w:pPr>
        <w:pStyle w:val="Heading2"/>
      </w:pPr>
      <w:bookmarkStart w:id="63" w:name="specification-grid-and-data-collection"/>
      <w:r>
        <w:t xml:space="preserve">Specification grid and data collection</w:t>
      </w:r>
      <w:bookmarkEnd w:id="63"/>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w:t>
      </w:r>
      <w:hyperlink w:anchor="tab:models">
        <w:r>
          <w:rPr>
            <w:rStyle w:val="Hyperlink"/>
          </w:rPr>
          <w:t xml:space="preserve">7</w:t>
        </w:r>
      </w:hyperlink>
      <w:r>
        <w:t xml:space="preserve">. A balance-constrained</w:t>
      </w:r>
      <w:r>
        <w:t xml:space="preserve"> </w:t>
      </w:r>
      <w:r>
        <w:t xml:space="preserve">D-optimal fractional grid was generated from an effect-coded main-effects model with the design seed</w:t>
      </w:r>
      <w:r>
        <w:t xml:space="preserve"> </w:t>
      </w:r>
      <w:r>
        <w:t xml:space="preserve">frozen in advance; the two-provider portion used here comprises 32 specifications, each evaluated over</w:t>
      </w:r>
      <w:r>
        <w:t xml:space="preserve"> </w:t>
      </w:r>
      <w:r>
        <w:t xml:space="preserve">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t>×</m:t>
        </m:r>
        <m:r>
          <m:t>32</m:t>
        </m:r>
        <m:r>
          <m:t>×</m:t>
        </m:r>
        <m:r>
          <m:t>3</m:t>
        </m:r>
        <m:r>
          <m:t>=</m:t>
        </m:r>
        <m:r>
          <m:t>8</m:t>
        </m:r>
        <m:r>
          <m:t>,</m:t>
        </m:r>
        <m:r>
          <m:t>640</m:t>
        </m:r>
      </m:oMath>
      <w:r>
        <w:t xml:space="preserve"> </w:t>
      </w:r>
      <w:r>
        <w:t xml:space="preserve">elicitation cells</w:t>
      </w:r>
      <w:r>
        <w:t xml:space="preserve"> </w:t>
      </w:r>
      <w:r>
        <w:t xml:space="preserve">(</w:t>
      </w:r>
      <m:oMath>
        <m:r>
          <m:t>4</m:t>
        </m:r>
        <m: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t>%</m:t>
        </m:r>
      </m:oMath>
      <w:r>
        <w:t xml:space="preserve">) are dropped 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64"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t>,</m:t>
        </m:r>
        <m:r>
          <m:t>640</m:t>
        </m:r>
      </m:oMath>
      <w:r>
        <w:t xml:space="preserve">-cell experiment; the two flagship snapshots are the separate</w:t>
      </w:r>
      <w:r>
        <w:t xml:space="preserve"> </w:t>
      </w:r>
      <w:r>
        <w:t xml:space="preserve">model-tier robustness arm (Section </w:t>
      </w:r>
      <w:hyperlink w:anchor="sec:tier">
        <w:r>
          <w:rPr>
            <w:rStyle w:val="Hyperlink"/>
          </w:rPr>
          <w:t xml:space="preserve">3.7</w:t>
        </w:r>
      </w:hyperlink>
      <w:r>
        <w:t xml:space="preserve">). Responses were collected once and frozen; all</w:t>
      </w:r>
      <w:r>
        <w:t xml:space="preserve"> </w:t>
      </w:r>
      <w:r>
        <w:t xml:space="preserve">reported results reproduce offline from the frozen corpus.</w:t>
      </w:r>
    </w:p>
    <w:tbl>
      <w:tblPr>
        <w:tblStyle w:val="Table"/>
        <w:tblW w:type="pct" w:w="0.0"/>
        <w:tblLook w:firstRow="1"/>
        <w:tblCaption w:val="Model snapshots evaluated. The four confirmatory snapshots (two providers, current and prior each) constitute the main 8{,}640-cell experiment; the two flagship snapshots are the separate model-tier robustness arm (Section 3.7). Responses were collected once and frozen; all reported results reproduce offline from the frozen corpus."/>
      </w:tblPr>
      <w:tblGrid/>
      <w:tr>
        <w:trPr>
          <w:cnfStyle w:firstRow="1"/>
        </w:trPr>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Model snapshot</w:t>
            </w:r>
          </w:p>
        </w:tc>
        <w:tc>
          <w:tcPr>
            <w:tcBorders>
              <w:bottom w:val="single"/>
            </w:tcBorders>
            <w:vAlign w:val="bottom"/>
          </w:tcPr>
          <w:p>
            <w:pPr>
              <w:pStyle w:val="Compact"/>
              <w:jc w:val="left"/>
            </w:pPr>
            <w:r>
              <w:t xml:space="preserve">Role</w:t>
            </w:r>
          </w:p>
        </w:tc>
      </w:tr>
      <w:tr>
        <w:tc>
          <w:p>
            <w:pPr>
              <w:pStyle w:val="Compact"/>
              <w:jc w:val="left"/>
            </w:pPr>
            <w:r>
              <w:t xml:space="preserve">OpenAI</w:t>
            </w:r>
          </w:p>
        </w:tc>
        <w:tc>
          <w:p>
            <w:pPr>
              <w:pStyle w:val="Compact"/>
              <w:jc w:val="left"/>
            </w:pPr>
            <w:r>
              <w:rPr>
                <w:rStyle w:val="VerbatimChar"/>
              </w:rPr>
              <w:t xml:space="preserve">gpt-5.4-nano</w:t>
            </w:r>
          </w:p>
        </w:tc>
        <w:tc>
          <w:p>
            <w:pPr>
              <w:pStyle w:val="Compact"/>
              <w:jc w:val="left"/>
            </w:pPr>
            <w:r>
              <w:t xml:space="preserve">current (confirmatory)</w:t>
            </w:r>
          </w:p>
        </w:tc>
      </w:tr>
      <w:tr>
        <w:tc>
          <w:p>
            <w:pPr>
              <w:pStyle w:val="Compact"/>
              <w:jc w:val="left"/>
            </w:pPr>
            <w:r>
              <w:t xml:space="preserve">OpenAI</w:t>
            </w:r>
          </w:p>
        </w:tc>
        <w:tc>
          <w:p>
            <w:pPr>
              <w:pStyle w:val="Compact"/>
              <w:jc w:val="left"/>
            </w:pPr>
            <w:r>
              <w:rPr>
                <w:rStyle w:val="VerbatimChar"/>
              </w:rPr>
              <w:t xml:space="preserve">gpt-5-nano-2025-08-07</w:t>
            </w:r>
          </w:p>
        </w:tc>
        <w:tc>
          <w:p>
            <w:pPr>
              <w:pStyle w:val="Compact"/>
              <w:jc w:val="left"/>
            </w:pPr>
            <w:r>
              <w:t xml:space="preserve">prior (confirmatory)</w:t>
            </w:r>
          </w:p>
        </w:tc>
      </w:tr>
      <w:tr>
        <w:tc>
          <w:p>
            <w:pPr>
              <w:pStyle w:val="Compact"/>
              <w:jc w:val="left"/>
            </w:pPr>
            <w:r>
              <w:t xml:space="preserve">Google</w:t>
            </w:r>
          </w:p>
        </w:tc>
        <w:tc>
          <w:p>
            <w:pPr>
              <w:pStyle w:val="Compact"/>
              <w:jc w:val="left"/>
            </w:pPr>
            <w:r>
              <w:rPr>
                <w:rStyle w:val="VerbatimChar"/>
              </w:rPr>
              <w:t xml:space="preserve">gemini-3.5-flash</w:t>
            </w:r>
          </w:p>
        </w:tc>
        <w:tc>
          <w:p>
            <w:pPr>
              <w:pStyle w:val="Compact"/>
              <w:jc w:val="left"/>
            </w:pPr>
            <w:r>
              <w:t xml:space="preserve">current (confirmatory)</w:t>
            </w:r>
          </w:p>
        </w:tc>
      </w:tr>
      <w:tr>
        <w:tc>
          <w:p>
            <w:pPr>
              <w:pStyle w:val="Compact"/>
              <w:jc w:val="left"/>
            </w:pPr>
            <w:r>
              <w:t xml:space="preserve">Google</w:t>
            </w:r>
          </w:p>
        </w:tc>
        <w:tc>
          <w:p>
            <w:pPr>
              <w:pStyle w:val="Compact"/>
              <w:jc w:val="left"/>
            </w:pPr>
            <w:r>
              <w:rPr>
                <w:rStyle w:val="VerbatimChar"/>
              </w:rPr>
              <w:t xml:space="preserve">gemini-2.5-flash</w:t>
            </w:r>
          </w:p>
        </w:tc>
        <w:tc>
          <w:p>
            <w:pPr>
              <w:pStyle w:val="Compact"/>
              <w:jc w:val="left"/>
            </w:pPr>
            <w:r>
              <w:t xml:space="preserve">prior (confirmatory)</w:t>
            </w:r>
          </w:p>
        </w:tc>
      </w:tr>
      <w:tr>
        <w:tc>
          <w:p>
            <w:pPr>
              <w:pStyle w:val="Compact"/>
              <w:jc w:val="left"/>
            </w:pPr>
            <w:r>
              <w:t xml:space="preserve">OpenAI</w:t>
            </w:r>
          </w:p>
        </w:tc>
        <w:tc>
          <w:p>
            <w:pPr>
              <w:pStyle w:val="Compact"/>
              <w:jc w:val="left"/>
            </w:pPr>
            <w:r>
              <w:rPr>
                <w:rStyle w:val="VerbatimChar"/>
              </w:rPr>
              <w:t xml:space="preserve">gpt-5.4</w:t>
            </w:r>
          </w:p>
        </w:tc>
        <w:tc>
          <w:p>
            <w:pPr>
              <w:pStyle w:val="Compact"/>
              <w:jc w:val="left"/>
            </w:pPr>
            <w:r>
              <w:t xml:space="preserve">flagship (robustness)</w:t>
            </w:r>
          </w:p>
        </w:tc>
      </w:tr>
      <w:tr>
        <w:tc>
          <w:p>
            <w:pPr>
              <w:pStyle w:val="Compact"/>
              <w:jc w:val="left"/>
            </w:pPr>
            <w:r>
              <w:t xml:space="preserve">Google</w:t>
            </w:r>
          </w:p>
        </w:tc>
        <w:tc>
          <w:p>
            <w:pPr>
              <w:pStyle w:val="Compact"/>
              <w:jc w:val="left"/>
            </w:pPr>
            <w:r>
              <w:rPr>
                <w:rStyle w:val="VerbatimChar"/>
              </w:rPr>
              <w:t xml:space="preserve">gemini-3.1-pro-preview</w:t>
            </w:r>
          </w:p>
        </w:tc>
        <w:tc>
          <w:p>
            <w:pPr>
              <w:pStyle w:val="Compact"/>
              <w:jc w:val="left"/>
            </w:pPr>
            <w:r>
              <w:t xml:space="preserve">flagship (robustness)</w:t>
            </w:r>
          </w:p>
        </w:tc>
      </w:tr>
    </w:tbl>
    <w:bookmarkEnd w:id="64"/>
    <w:p>
      <w:pPr>
        <w:pStyle w:val="BodyText"/>
      </w:pPr>
      <w:r>
        <w:t xml:space="preserve">The four confirmatory snapshots were queried once in the frozen run of</w:t>
      </w:r>
      <w:r>
        <w:t xml:space="preserve"> </w:t>
      </w:r>
      <w:r>
        <w:t xml:space="preserve">7 July 2026; the two flagship snapshots in the robustness run of 30 August 2026. All were used offline</w:t>
      </w:r>
      <w:r>
        <w:t xml:space="preserve"> </w:t>
      </w:r>
      <w:r>
        <w:t xml:space="preserve">thereafter; aliases without an embedded date stamp are pinned by these query dates.</w:t>
      </w:r>
    </w:p>
    <w:p>
      <w:pPr>
        <w:pStyle w:val="Heading2"/>
      </w:pPr>
      <w:bookmarkStart w:id="65" w:name="X335739e5c0faa9978e4fea8c9e114a2f4c49f66"/>
      <w:r>
        <w:t xml:space="preserve">Outcome construction and statistical analysis</w:t>
      </w:r>
      <w:bookmarkEnd w:id="65"/>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w:t>
      </w:r>
      <w:hyperlink w:anchor="tab:map">
        <w:r>
          <w:rPr>
            <w:rStyle w:val="Hyperlink"/>
          </w:rPr>
          <w:t xml:space="preserve">6</w:t>
        </w:r>
      </w:hyperlink>
      <w:r>
        <w:t xml:space="preserve">).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rPr>
        <w:t xml:space="preserve">pure within-cell seed variance</w:t>
      </w:r>
      <w:r>
        <w:t xml:space="preserve"> </w:t>
      </w:r>
      <w:r>
        <w:t xml:space="preserve">as the sum of squares across</w:t>
      </w:r>
      <w:r>
        <w:t xml:space="preserve"> </w:t>
      </w:r>
      <w:r>
        <w:t xml:space="preserve">the three seeds within each identical item</w:t>
      </w:r>
      <m:oMath>
        <m: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w:t>
      </w:r>
      <w:r>
        <w:t xml:space="preserve">other unexplained</w:t>
      </w:r>
      <w:r>
        <w:t xml:space="preserve">”</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issuer-clustered percentile bootstrap resampling over the underlying firm profiles rather than over</w:t>
      </w:r>
      <w:r>
        <w:t xml:space="preserve"> </w:t>
      </w:r>
      <w:r>
        <w:t xml:space="preserve">individual model calls, thereby preserving dependence among repeated elicitations of the same profile; we</w:t>
      </w:r>
      <w:r>
        <w:t xml:space="preserve"> </w:t>
      </w:r>
      <w:r>
        <w:t xml:space="preserve">report the variance shares (item and pure-seed), the IG/HY flip rate, and the turnover estimate with</w:t>
      </w:r>
      <w:r>
        <w:t xml:space="preserve"> </w:t>
      </w:r>
      <w:r>
        <w:t xml:space="preserve">two-sided 95% confidence intervals (2</w:t>
      </w:r>
      <w:r>
        <w:t xml:space="preserve">,</w:t>
      </w:r>
      <w:r>
        <w:t xml:space="preserve">000 replicates for the economic quantities, 1</w:t>
      </w:r>
      <w:r>
        <w:t xml:space="preserve">,</w:t>
      </w:r>
      <w:r>
        <w:t xml:space="preserve">000 for the</w:t>
      </w:r>
      <w:r>
        <w:t xml:space="preserve"> </w:t>
      </w:r>
      <w:r>
        <w:t xml:space="preserve">variance-share and specification-curve quantities). Specification invariance under deterministic</w:t>
      </w:r>
      <w:r>
        <w:t xml:space="preserve"> </w:t>
      </w:r>
      <w:r>
        <w:t xml:space="preserve">execution is tested on the provider-setting combination whose metadata confirm that temperature was</w:t>
      </w:r>
      <w:r>
        <w:t xml:space="preserve"> </w:t>
      </w:r>
      <w:r>
        <w:t xml:space="preserve">honored (Google at temperature 0): the observed between-specification spread in credit-band accuracy is</w:t>
      </w:r>
      <w:r>
        <w:t xml:space="preserve"> </w:t>
      </w:r>
      <w:r>
        <w:t xml:space="preserve">compared with the distribution generated by 999 permutations in a one-sided label-permutation test,</w:t>
      </w:r>
      <w:r>
        <w:t xml:space="preserve"> </w:t>
      </w:r>
      <m:oMath>
        <m:r>
          <m:t>p</m:t>
        </m:r>
        <m:r>
          <m:t>=</m:t>
        </m:r>
        <m:r>
          <m:t>(</m:t>
        </m:r>
        <m:r>
          <m:t>k</m:t>
        </m:r>
        <m:r>
          <m:t>+</m:t>
        </m:r>
        <m:r>
          <m:t>1</m:t>
        </m:r>
        <m:r>
          <m:t>)</m:t>
        </m:r>
        <m:r>
          <m:t>/</m:t>
        </m:r>
        <m:r>
          <m:t>(</m:t>
        </m:r>
        <m:r>
          <m:t>n</m:t>
        </m:r>
        <m:r>
          <m:t>+</m:t>
        </m:r>
        <m:r>
          <m:t>1</m:t>
        </m:r>
        <m:r>
          <m:t>)</m:t>
        </m:r>
      </m:oMath>
      <w:r>
        <w:t xml:space="preserve">, where</w:t>
      </w:r>
      <w:r>
        <w:t xml:space="preserve"> </w:t>
      </w:r>
      <m:oMath>
        <m:r>
          <m:t>k</m:t>
        </m:r>
      </m:oMath>
      <w:r>
        <w:t xml:space="preserve"> </w:t>
      </w:r>
      <w:r>
        <w:t xml:space="preserve">is the number of permuted statistics at least as extreme as the observed</w:t>
      </w:r>
      <w:r>
        <w:t xml:space="preserve"> </w:t>
      </w:r>
      <w:r>
        <w:t xml:space="preserve">statistic and</w:t>
      </w:r>
      <w:r>
        <w:t xml:space="preserve"> </w:t>
      </w:r>
      <m:oMath>
        <m:r>
          <m:t>n</m:t>
        </m:r>
        <m:r>
          <m:t>=</m:t>
        </m:r>
        <m:r>
          <m:t>999</m:t>
        </m:r>
      </m:oMath>
      <w:r>
        <w:t xml:space="preserve">. The test is one-sided because only an observed spread larger than the permutation</w:t>
      </w:r>
      <w:r>
        <w:t xml:space="preserve"> </w:t>
      </w:r>
      <w:r>
        <w:t xml:space="preserve">distribution constitutes evidence against specification invariance. For the real-firm robustness</w:t>
      </w:r>
      <w:r>
        <w:t xml:space="preserve"> </w:t>
      </w:r>
      <w:r>
        <w:t xml:space="preserve">analysis, quantitative equivalence of the real-firm and constructed-battery WATCH-stratum flip shares is</w:t>
      </w:r>
      <w:r>
        <w:t xml:space="preserve"> </w:t>
      </w:r>
      <w:r>
        <w:t xml:space="preserve">assessed with two one-sided tests (TOST) against a pre-registered margin of</w:t>
      </w:r>
      <w:r>
        <w:t xml:space="preserve"> </w:t>
      </w:r>
      <m:oMath>
        <m:r>
          <m:t>±</m:t>
        </m:r>
        <m:r>
          <m:t>0.15</m:t>
        </m:r>
      </m:oMath>
      <w:r>
        <w:t xml:space="preserve">, based on 16</w:t>
      </w:r>
      <w:r>
        <w:t xml:space="preserve"> </w:t>
      </w:r>
      <w:r>
        <w:t xml:space="preserve">real-firm and 15 constructed WATCH observations. The significance threshold is</w:t>
      </w:r>
      <w:r>
        <w:t xml:space="preserve"> </w:t>
      </w:r>
      <m:oMath>
        <m:r>
          <m:t>α</m:t>
        </m:r>
        <m: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w:t>
      </w:r>
      <w:r>
        <w:t xml:space="preserve">significant</w:t>
      </w:r>
      <w:r>
        <w:t xml:space="preserve">”</w:t>
      </w:r>
      <w:r>
        <w:t xml:space="preserve"> </w:t>
      </w:r>
      <w:r>
        <w:t xml:space="preserve">for results accompanied by a</w:t>
      </w:r>
      <w:r>
        <w:t xml:space="preserve"> </w:t>
      </w:r>
      <m:oMath>
        <m:r>
          <m:t>p</m:t>
        </m:r>
      </m:oMath>
      <w:r>
        <w:t xml:space="preserve">-value and otherwise use</w:t>
      </w:r>
      <w:r>
        <w:t xml:space="preserve"> </w:t>
      </w:r>
      <w:r>
        <w:t xml:space="preserve">“</w:t>
      </w:r>
      <w:r>
        <w:t xml:space="preserve">substantial</w:t>
      </w:r>
      <w:r>
        <w:t xml:space="preserve">”</w:t>
      </w:r>
      <w:r>
        <w:t xml:space="preserve"> </w:t>
      </w:r>
      <w:r>
        <w:t xml:space="preserve">or</w:t>
      </w:r>
      <w:r>
        <w:t xml:space="preserve"> </w:t>
      </w:r>
      <w:r>
        <w:t xml:space="preserve">“</w:t>
      </w:r>
      <w:r>
        <w:t xml:space="preserve">considerable.</w:t>
      </w:r>
      <w:r>
        <w:t xml:space="preserv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proposed in the Discussion.</w:t>
      </w:r>
    </w:p>
    <w:p>
      <w:pPr>
        <w:pStyle w:val="Heading2"/>
      </w:pPr>
      <w:bookmarkStart w:id="66" w:name="economic-translation"/>
      <w:r>
        <w:t xml:space="preserve">Economic translation</w:t>
      </w:r>
      <w:bookmarkEnd w:id="66"/>
    </w:p>
    <w:p>
      <w:pPr>
        <w:pStyle w:val="FirstParagraph"/>
      </w:pPr>
      <w:r>
        <w:t xml:space="preserve">The economic translations are post-hoc calibrations that express the magnitude of rating instability in</w:t>
      </w:r>
      <w:r>
        <w:t xml:space="preserve"> </w:t>
      </w:r>
      <w:r>
        <w:t xml:space="preserve">decision-relevant units; they are not confirmatory tests. Portfolio turnover is computed from the 45</w:t>
      </w:r>
      <w:r>
        <w:t xml:space="preserve"> </w:t>
      </w:r>
      <w:r>
        <w:t xml:space="preserve">directional profiles as the share of positions whose modal buy/hold/sell decision changes across</w:t>
      </w:r>
      <w:r>
        <w:t xml:space="preserve"> </w:t>
      </w:r>
      <w:r>
        <w:t xml:space="preserve">elicitation specifications. Rating dispersion is transformed into indicative credit-spread variation</w:t>
      </w:r>
      <w:r>
        <w:t xml:space="preserve"> </w:t>
      </w:r>
      <w:r>
        <w:t xml:space="preserve">using the rating-spread schedule of Cornaggia et al. (2018) and a cached daily option-adjusted-spread</w:t>
      </w:r>
      <w:r>
        <w:t xml:space="preserve"> </w:t>
      </w:r>
      <w:r>
        <w:t xml:space="preserve">series. For the regulatory-capital illustration, each specification’s rating is mapped through the Basel</w:t>
      </w:r>
      <w:r>
        <w:t xml:space="preserve"> </w:t>
      </w:r>
      <w:r>
        <w:t xml:space="preserve">CRE20 standardized external-ratings risk-weight schedule (Basel Committee on Banking Supervision, 2019) and applied to the same</w:t>
      </w:r>
      <w:r>
        <w:t xml:space="preserve"> </w:t>
      </w:r>
      <w:r>
        <w:t xml:space="preserve">hypothetical $45 billion equal-weight corporate portfolio, so that the capital range reflects only</w:t>
      </w:r>
      <w:r>
        <w:t xml:space="preserve"> </w:t>
      </w:r>
      <w:r>
        <w:t xml:space="preserve">differences in the elicited rating. The comparison with the Basel Regulatory Consistency Assessment</w:t>
      </w:r>
      <w:r>
        <w:t xml:space="preserve"> </w:t>
      </w:r>
      <w:r>
        <w:t xml:space="preserve">Programme (Basel Committee on Banking Supervision, 2013) is used only as a magnitude calibration, not as an identity between the two</w:t>
      </w:r>
      <w:r>
        <w:t xml:space="preserve"> </w:t>
      </w:r>
      <w:r>
        <w:t xml:space="preserve">settings.</w:t>
      </w:r>
    </w:p>
    <w:p>
      <w:pPr>
        <w:pStyle w:val="Heading2"/>
      </w:pPr>
      <w:bookmarkStart w:id="67" w:name="real-firm-arm"/>
      <w:r>
        <w:t xml:space="preserve">Real-firm arm</w:t>
      </w:r>
      <w:bookmarkEnd w:id="67"/>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t>[</m:t>
        </m:r>
        <m:r>
          <m:t>0.6</m:t>
        </m:r>
        <m:r>
          <m:t>,</m:t>
        </m:r>
        <m:r>
          <m:t>1.7</m:t>
        </m:r>
        <m: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decontamination threshold.</w:t>
      </w:r>
    </w:p>
    <w:p>
      <w:pPr>
        <w:pStyle w:val="BodyText"/>
      </w:pPr>
      <w:r>
        <w:t xml:space="preserve">Each decontaminated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p>
      <w:pPr>
        <w:pStyle w:val="Heading2"/>
      </w:pPr>
      <w:bookmarkStart w:id="68" w:name="reproducibility"/>
      <w:r>
        <w:t xml:space="preserve">Reproducibility</w:t>
      </w:r>
      <w:bookmarkEnd w:id="68"/>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p>
      <w:pPr>
        <w:pStyle w:val="Heading1"/>
      </w:pPr>
      <w:bookmarkStart w:id="69" w:name="X1f74eb43af444059c7518034463b6c89b1cacf4"/>
      <w:r>
        <w:t xml:space="preserve">Declaration of generative AI and AI-assisted technologies in the manuscript preparation process</w:t>
      </w:r>
      <w:bookmarkEnd w:id="69"/>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p>
      <w:pPr>
        <w:pStyle w:val="Heading1"/>
      </w:pPr>
      <w:bookmarkStart w:id="70" w:name="declaration-of-competing-interest"/>
      <w:r>
        <w:t xml:space="preserve">Declaration of competing interest</w:t>
      </w:r>
      <w:bookmarkEnd w:id="70"/>
    </w:p>
    <w:p>
      <w:pPr>
        <w:pStyle w:val="FirstParagraph"/>
      </w:pPr>
      <w:r>
        <w:t xml:space="preserve">The authors declare no competing interests.</w:t>
      </w:r>
    </w:p>
    <w:p>
      <w:pPr>
        <w:pStyle w:val="Heading1"/>
      </w:pPr>
      <w:bookmarkStart w:id="71" w:name="funding"/>
      <w:r>
        <w:t xml:space="preserve">Funding</w:t>
      </w:r>
      <w:bookmarkEnd w:id="71"/>
    </w:p>
    <w:p>
      <w:pPr>
        <w:pStyle w:val="FirstParagraph"/>
      </w:pPr>
      <w:r>
        <w:t xml:space="preserve">This research received no external funding.</w:t>
      </w:r>
    </w:p>
    <w:p>
      <w:pPr>
        <w:pStyle w:val="Heading1"/>
      </w:pPr>
      <w:bookmarkStart w:id="72" w:name="ethics"/>
      <w:r>
        <w:t xml:space="preserve">Ethics</w:t>
      </w:r>
      <w:bookmarkEnd w:id="72"/>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p>
      <w:pPr>
        <w:pStyle w:val="Heading1"/>
      </w:pPr>
      <w:bookmarkStart w:id="73" w:name="data-availability"/>
      <w:r>
        <w:t xml:space="preserve">Data availability</w:t>
      </w:r>
      <w:bookmarkEnd w:id="73"/>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t>+</m:t>
        </m:r>
      </m:oMath>
      <w:r>
        <w:t xml:space="preserve"> </w:t>
      </w:r>
      <w:r>
        <w:t xml:space="preserve">45 directional items), the specification grid, the prompt</w:t>
      </w:r>
      <w:r>
        <w:t xml:space="preserve"> </w:t>
      </w:r>
      <w:r>
        <w:t xml:space="preserve">paraphrases, the rating scale, and the Basel capital map;</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decontaminated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 document (</w:t>
      </w:r>
      <w:r>
        <w:rPr>
          <w:rStyle w:val="VerbatimChar"/>
        </w:rPr>
        <w:t xml:space="preserve">REPRODUCIBILITY_DOCUMENTATION.pdf</w:t>
      </w:r>
      <w:r>
        <w:t xml:space="preserve">, provided with this</w:t>
      </w:r>
      <w:r>
        <w:t xml:space="preserve"> </w:t>
      </w:r>
      <w:r>
        <w:t xml:space="preserve">submission) describes the complete archive—data inputs and provenance, every analysis script and its</w:t>
      </w:r>
      <w:r>
        <w:t xml:space="preserve"> </w:t>
      </w:r>
      <w:r>
        <w:t xml:space="preserve">outputs, the one-command reproduction, the verification and determinism procedure, and the pinned</w:t>
      </w:r>
      <w:r>
        <w:t xml:space="preserve"> </w:t>
      </w:r>
      <w:r>
        <w:t xml:space="preserve">environment—so that the study can be understood and re-run from that single file. The underlying SEC filings (Form 10-K and</w:t>
      </w:r>
      <w:r>
        <w:t xml:space="preserve"> </w:t>
      </w:r>
      <w:r>
        <w:t xml:space="preserve">company-facts XBRL) are publicly available through the SEC EDGAR system.</w:t>
      </w:r>
    </w:p>
    <w:p>
      <w:pPr>
        <w:pStyle w:val="Heading1"/>
      </w:pPr>
      <w:bookmarkStart w:id="74" w:name="references"/>
      <w:r>
        <w:t xml:space="preserve">References</w:t>
      </w:r>
      <w:bookmarkEnd w:id="74"/>
    </w:p>
    <w:p>
      <w:pPr>
        <w:pStyle w:val="FirstParagraph"/>
      </w:pPr>
      <w:r>
        <w:t xml:space="preserve">Altman (1968). Financial ratios, discriminant analysis and the prediction of corporate bankruptcy. The Journal of Finance.</w:t>
      </w:r>
    </w:p>
    <w:p>
      <w:pPr>
        <w:pStyle w:val="BodyText"/>
      </w:pPr>
      <w:r>
        <w:t xml:space="preserve">Atil, Aykent, Chittams, Fu, Passonneau, Radcliffe, Rajagopal, Sloan, Tudrej, Ture, Wu, Xu, Baldwin (2024). Non-determinism of</w:t>
      </w:r>
      <w:r>
        <w:t xml:space="preserve"> </w:t>
      </w:r>
      <w:r>
        <w:t xml:space="preserve">“</w:t>
      </w:r>
      <w:r>
        <w:t xml:space="preserve">deterministic</w:t>
      </w:r>
      <w:r>
        <w:t xml:space="preserve">”</w:t>
      </w:r>
      <w:r>
        <w:t xml:space="preserve"> </w:t>
      </w:r>
      <w:r>
        <w:t xml:space="preserve">LLM settings. arXiv:2408.04667.</w:t>
      </w:r>
    </w:p>
    <w:p>
      <w:pPr>
        <w:pStyle w:val="BodyText"/>
      </w:pPr>
      <w:r>
        <w:t xml:space="preserve">Basel Committee on Banking Supervision (2013). Regulatory Consistency Assessment Programme (RCAP): Analysis of risk-weighted assets for credit risk in the banking book. Bank for International Settlements.</w:t>
      </w:r>
    </w:p>
    <w:p>
      <w:pPr>
        <w:pStyle w:val="BodyText"/>
      </w:pPr>
      <w:r>
        <w:t xml:space="preserve">Basel Committee on Banking Supervision (2019). CRE20: Standardised approach: individual exposures. Basel Framework, Bank for International Settlements.</w:t>
      </w:r>
    </w:p>
    <w:p>
      <w:pPr>
        <w:pStyle w:val="BodyText"/>
      </w:pPr>
      <w:r>
        <w:t xml:space="preserve">Board of Governors of the Federal Reserve System, Currency (2011). Supervisory guidance on model risk management. SR Letter 11-7 / OCC Bulletin 2011-12.</w:t>
      </w:r>
    </w:p>
    <w:p>
      <w:pPr>
        <w:pStyle w:val="BodyText"/>
      </w:pPr>
      <w:r>
        <w:t xml:space="preserve">Bommasani, others (2021). On the opportunities and risks of foundation models. arXiv preprint arXiv:2108.07258.</w:t>
      </w:r>
    </w:p>
    <w:p>
      <w:pPr>
        <w:pStyle w:val="BodyText"/>
      </w:pPr>
      <w:r>
        <w:t xml:space="preserve">Brown, others (2020). Language models are few-shot learners. Advances in Neural Information Processing Systems (NeurIPS).</w:t>
      </w:r>
    </w:p>
    <w:p>
      <w:pPr>
        <w:pStyle w:val="BodyText"/>
      </w:pPr>
      <w:r>
        <w:t xml:space="preserve">Camuffo, Gambardella, Kazemi, Malachowski, Pandey (2026). Variance-aware LLM annotation for strategy research: Sources, diagnostics, and a protocol for reliable measurement. arXiv:2601.02370.</w:t>
      </w:r>
    </w:p>
    <w:p>
      <w:pPr>
        <w:pStyle w:val="BodyText"/>
      </w:pPr>
      <w:r>
        <w:t xml:space="preserve">Cantor, Packer (1997). Differences of opinion and selection bias in the credit rating industry. Journal of Banking</w:t>
      </w:r>
      <w:r>
        <w:br/>
      </w:r>
      <w:r>
        <w:t xml:space="preserve">&amp; Finance.</w:t>
      </w:r>
    </w:p>
    <w:p>
      <w:pPr>
        <w:pStyle w:val="BodyText"/>
      </w:pPr>
      <w:r>
        <w:t xml:space="preserve">Chon, Kim, Kim (2025). Multifaceted variability in LLM-driven stock recommendations. Finance Research Letters.</w:t>
      </w:r>
    </w:p>
    <w:p>
      <w:pPr>
        <w:pStyle w:val="BodyText"/>
      </w:pPr>
      <w:r>
        <w:t xml:space="preserve">Cornaggia, Cornaggia, Israelsen (2018). Credit ratings and the cost of municipal financing. Review of Financial Studies.</w:t>
      </w:r>
    </w:p>
    <w:p>
      <w:pPr>
        <w:pStyle w:val="BodyText"/>
      </w:pPr>
      <w:r>
        <w:t xml:space="preserve">Devlin, Chang, Lee, Toutanova (2019). BERT: Pre-training of deep bidirectional transformers for language understanding. Proceedings of NAACL-HLT.</w:t>
      </w:r>
    </w:p>
    <w:p>
      <w:pPr>
        <w:pStyle w:val="BodyText"/>
      </w:pPr>
      <w:r>
        <w:t xml:space="preserve">Drinkall, Pierrehumbert, Zohren (2025). Forecasting credit ratings: A case study where traditional methods outperform generative LLMs. Proceedings of the Joint Workshop of FinNLP, FNP, and LLMFinLegal (COLING 2025).</w:t>
      </w:r>
    </w:p>
    <w:p>
      <w:pPr>
        <w:pStyle w:val="BodyText"/>
      </w:pPr>
      <w:r>
        <w:t xml:space="preserve">García-Llorente, Olmeda (2026). Large language models for banking supervision: Reliability evidence from European systemic banks. Finance Research Letters.</w:t>
      </w:r>
    </w:p>
    <w:p>
      <w:pPr>
        <w:pStyle w:val="BodyText"/>
      </w:pPr>
      <w:r>
        <w:t xml:space="preserve">Gelman, Loken (2014). The statistical crisis in science. American Scientist.</w:t>
      </w:r>
    </w:p>
    <w:p>
      <w:pPr>
        <w:pStyle w:val="BodyText"/>
      </w:pPr>
      <w:r>
        <w:t xml:space="preserve">Hansen, Kazinnik (2024). Can ChatGPT decipher Fedspeak?. SSRN Electronic Journal.</w:t>
      </w:r>
    </w:p>
    <w:p>
      <w:pPr>
        <w:pStyle w:val="BodyText"/>
      </w:pPr>
      <w:r>
        <w:t xml:space="preserve">Hens, Nordlie (2025). How good are LLMs in risk profiling?. Finance Research Letters.</w:t>
      </w:r>
    </w:p>
    <w:p>
      <w:pPr>
        <w:pStyle w:val="BodyText"/>
      </w:pPr>
      <w:r>
        <w:t xml:space="preserve">Kadavath, Conerly, Askell, Henighan, others (2022). Language Models (Mostly) Know What They Know. arXiv preprint arXiv:2207.05221.</w:t>
      </w:r>
    </w:p>
    <w:p>
      <w:pPr>
        <w:pStyle w:val="BodyText"/>
      </w:pPr>
      <w:r>
        <w:t xml:space="preserve">Kaplan, McCandlish, Henighan, Brown, Chess, Child, Gray, Radford, Wu, Amodei (2020). Scaling laws for neural language models. arXiv preprint arXiv:2001.08361.</w:t>
      </w:r>
    </w:p>
    <w:p>
      <w:pPr>
        <w:pStyle w:val="BodyText"/>
      </w:pPr>
      <w:r>
        <w:t xml:space="preserve">Kliger, Sarig (2000). The information value of bond ratings. Journal of Finance.</w:t>
      </w:r>
    </w:p>
    <w:p>
      <w:pPr>
        <w:pStyle w:val="BodyText"/>
      </w:pPr>
      <w:r>
        <w:t xml:space="preserve">Kuhn, Gal, Farquhar (2023). Semantic Uncertainty: Linguistic Invariances for Uncertainty Estimation in Natural Language Generation. International Conference on Learning Representations (ICLR).</w:t>
      </w:r>
    </w:p>
    <w:p>
      <w:pPr>
        <w:pStyle w:val="BodyText"/>
      </w:pPr>
      <w:r>
        <w:t xml:space="preserve">Lin, Hilton, Evans (2022). Teaching Models to Express Their Uncertainty in Words. Transactions on Machine Learning Research (TMLR).</w:t>
      </w:r>
    </w:p>
    <w:p>
      <w:pPr>
        <w:pStyle w:val="BodyText"/>
      </w:pPr>
      <w:r>
        <w:t xml:space="preserve">Lopez-Lira, Tang (2023). Can ChatGPT forecast stock price movements? Return predictability and large language models. arXiv preprint arXiv:2304.07619.</w:t>
      </w:r>
    </w:p>
    <w:p>
      <w:pPr>
        <w:pStyle w:val="BodyText"/>
      </w:pPr>
      <w:r>
        <w:t xml:space="preserve">Mizrahi, Kaplan, Malkin, Dror, Shahaf, Stanovsky (2024). State of what art? A call for multi-prompt LLM evaluation. Transactions of the Association for Computational Linguistics.</w:t>
      </w:r>
    </w:p>
    <w:p>
      <w:pPr>
        <w:pStyle w:val="BodyText"/>
      </w:pPr>
      <w:r>
        <w:t xml:space="preserve">Ohlson (1980). Financial ratios and the probabilistic prediction of bankruptcy. Journal of Accounting Research.</w:t>
      </w:r>
    </w:p>
    <w:p>
      <w:pPr>
        <w:pStyle w:val="BodyText"/>
      </w:pPr>
      <w:r>
        <w:t xml:space="preserve">OpenAI (2023). GPT-4 technical report. arXiv preprint arXiv:2303.08774.</w:t>
      </w:r>
    </w:p>
    <w:p>
      <w:pPr>
        <w:pStyle w:val="BodyText"/>
      </w:pPr>
      <w:r>
        <w:t xml:space="preserve">Ouyang, others (2022). Training language models to follow instructions with human feedback. Advances in Neural Information Processing Systems (NeurIPS).</w:t>
      </w:r>
    </w:p>
    <w:p>
      <w:pPr>
        <w:pStyle w:val="BodyText"/>
      </w:pPr>
      <w:r>
        <w:t xml:space="preserve">Sclar, Choi, Tsvetkov, Suhr (2024). Quantifying language models’ sensitivity to spurious features in prompt design. International Conference on Learning Representations (ICLR).</w:t>
      </w:r>
    </w:p>
    <w:p>
      <w:pPr>
        <w:pStyle w:val="BodyText"/>
      </w:pPr>
      <w:r>
        <w:t xml:space="preserve">Simmons, Nelson, Simonsohn (2011). False-positive psychology: Undisclosed flexibility in data collection and analysis allows presenting anything as significant. Psychological Science.</w:t>
      </w:r>
    </w:p>
    <w:p>
      <w:pPr>
        <w:pStyle w:val="BodyText"/>
      </w:pPr>
      <w:r>
        <w:t xml:space="preserve">Simonsohn, Simmons, Nelson (2020). Specification curve analysis. Nature Human Behaviour.</w:t>
      </w:r>
    </w:p>
    <w:p>
      <w:pPr>
        <w:pStyle w:val="BodyText"/>
      </w:pPr>
      <w:r>
        <w:t xml:space="preserve">Steegen, Tuerlinckx, Gelman, Vanpaemel (2016). Increasing transparency through a multiverse analysis. Perspectives on Psychological Science.</w:t>
      </w:r>
    </w:p>
    <w:p>
      <w:pPr>
        <w:pStyle w:val="BodyText"/>
      </w:pPr>
      <w:r>
        <w:t xml:space="preserve">Tang (2009). Information asymmetry and firms’ credit market access: Evidence from Moody’s credit rating format refinement. Journal of Financial Economics.</w:t>
      </w:r>
    </w:p>
    <w:p>
      <w:pPr>
        <w:pStyle w:val="BodyText"/>
      </w:pPr>
      <w:r>
        <w:t xml:space="preserve">Vaswani, Shazeer, Parmar, Uszkoreit, Jones, Gomez, Kaiser, Polosukhin (2017). Attention is all you need. Advances in Neural Information Processing Systems (NeurIPS).</w:t>
      </w:r>
    </w:p>
    <w:p>
      <w:pPr>
        <w:pStyle w:val="BodyText"/>
      </w:pPr>
      <w:r>
        <w:t xml:space="preserve">Wang, Wei, Schuurmans, Le, Chi, Narang, Chowdhery, Zhou (2023). Self-Consistency Improves Chain of Thought Reasoning in Language Models. International Conference on Learning Representations (ICLR).</w:t>
      </w:r>
    </w:p>
    <w:p>
      <w:pPr>
        <w:pStyle w:val="BodyText"/>
      </w:pPr>
      <w:r>
        <w:t xml:space="preserve">Wu, Irsoy, Lu, Dabravolski, Dredze, Gehrmann, Kambadur, Rosenberg, Mann (2023). BloombergGPT: A large language model for finance. arXiv preprint arXiv:2303.17564.</w:t>
      </w:r>
    </w:p>
    <w:p>
      <w:pPr>
        <w:pStyle w:val="BodyText"/>
      </w:pPr>
      <w:r>
        <w:t xml:space="preserve">Xie, Han, Zhang, Lai, Peng, Lopez-Lira, Huang (2023). PIXIU: A large language model, instruction data and evaluation benchmark for finance. Advances in Neural Information Processing Systems (NeurIPS).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7" Target="media/rId37.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LLM-Based Credit Rating Systems: A Pre-Registered Specification-Curve Analysis</dc:title>
  <dc:creator>Anonymous</dc:creator>
  <cp:keywords/>
  <dcterms:created xsi:type="dcterms:W3CDTF">2026-08-31T02:52:00Z</dcterms:created>
  <dcterms:modified xsi:type="dcterms:W3CDTF">2026-08-31T02:52:00Z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(LLMs) are increasingly used to support credit assessments, but it is unclear whether elicitation choices merely reveal a stable credit view or shape the rating. Using a pre-registered specification-curve design that holds fundamentals fixed while varying how the assessment is elicited, we evaluate a fixed 90-item battery across a balanced grid of model version, temperature, prompt paraphrase, output format, few-shot exemplars, and presentation over two providers (four snapshots; 8,640 elicitations, 4,320 on credit-health profiles benchmarked to Altman Z''). Our estimand is stability, not accuracy. No controllable axis explains more than about 5% of rating variance, and pure run-to-run variation contributes about 8%; instability persists under deterministic execution (one provider, temperature 0; permutation p=0.001). Cross-specification agreement stays limited at every resolution: unweighted Fleiss’ \kappa reaches at most 0.49 at the investment-grade/high-yield split, where 25.2% of matched pairs disagree, and switching or pooling providers does not remove it. Modal calls imply 53.5% portfolio turnover, and a post-hoc recast swings a $45 billion book between $2.0 and $4.1 billion of Pillar-1 capital. Substantial instability persists on 31 decontaminated real issuers, and a post-hoc check finds no evidence that it attenuates on flagship models. We frame the elicitation specification as a model-risk parameter and develop a specification-instability score that predicts held-out instability (ROC-AUC 0.94; 0.70 on real issuers), a lightweight, ground-truth-free control.</vt:lpwstr>
  </property>
</Properties>
</file>