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df" ContentType="application/pdf"/>
  <Override PartName="/word/media/rId29.png" ContentType="image/png"/>
  <Override PartName="/word/media/rId36.pdf" ContentType="application/pdf"/>
  <Override PartName="/word/media/rId38.pdf" ContentType="application/pdf"/>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w:t>
      </w:r>
      <w:r>
        <w:t xml:space="preserve"> </w:t>
      </w:r>
      <w:r>
        <w:t xml:space="preserve">LLM-Based</w:t>
      </w:r>
      <w:r>
        <w:t xml:space="preserve"> </w:t>
      </w:r>
      <w:r>
        <w:t xml:space="preserve">Credit</w:t>
      </w:r>
      <w:r>
        <w:t xml:space="preserve"> </w:t>
      </w:r>
      <w:r>
        <w:t xml:space="preserve">Rating</w:t>
      </w:r>
      <w:r>
        <w:t xml:space="preserve"> </w:t>
      </w:r>
      <w:r>
        <w:t xml:space="preserve">Systems:</w:t>
      </w:r>
      <w:r>
        <w:t xml:space="preserve"> </w:t>
      </w:r>
      <w:r>
        <w:t xml:space="preserve">A</w:t>
      </w:r>
      <w:r>
        <w:t xml:space="preserve"> </w:t>
      </w:r>
      <w:r>
        <w:t xml:space="preserve">Pre-Registered</w:t>
      </w:r>
      <w:r>
        <w:t xml:space="preserve"> </w:t>
      </w:r>
      <w:r>
        <w:t xml:space="preserve">Specification-Curve</w:t>
      </w:r>
      <w:r>
        <w:t xml:space="preserve"> </w:t>
      </w:r>
      <w:r>
        <w:t xml:space="preserve">Analysis</w:t>
      </w:r>
    </w:p>
    <w:p>
      <w:pPr>
        <w:pStyle w:val="Author"/>
      </w:pPr>
      <w:r>
        <w:t xml:space="preserve">Anonymous</w:t>
      </w:r>
    </w:p>
    <w:p>
      <w:pPr>
        <w:pStyle w:val="Abstract"/>
      </w:pPr>
      <w:r>
        <w:t xml:space="preserve">Large</w:t>
      </w:r>
      <w:r>
        <w:t xml:space="preserve"> </w:t>
      </w:r>
      <w:r>
        <w:t xml:space="preserve">language</w:t>
      </w:r>
      <w:r>
        <w:t xml:space="preserve"> </w:t>
      </w:r>
      <w:r>
        <w:t xml:space="preserve">models</w:t>
      </w:r>
      <w:r>
        <w:t xml:space="preserve"> </w:t>
      </w:r>
      <w:r>
        <w:t xml:space="preserve">(LLMs)</w:t>
      </w:r>
      <w:r>
        <w:t xml:space="preserve"> </w:t>
      </w:r>
      <w:r>
        <w:t xml:space="preserve">are</w:t>
      </w:r>
      <w:r>
        <w:t xml:space="preserve"> </w:t>
      </w:r>
      <w:r>
        <w:t xml:space="preserve">increasingly</w:t>
      </w:r>
      <w:r>
        <w:t xml:space="preserve"> </w:t>
      </w:r>
      <w:r>
        <w:t xml:space="preserve">used</w:t>
      </w:r>
      <w:r>
        <w:t xml:space="preserve"> </w:t>
      </w:r>
      <w:r>
        <w:t xml:space="preserve">to</w:t>
      </w:r>
      <w:r>
        <w:t xml:space="preserve"> </w:t>
      </w:r>
      <w:r>
        <w:t xml:space="preserve">support</w:t>
      </w:r>
      <w:r>
        <w:t xml:space="preserve"> </w:t>
      </w:r>
      <w:r>
        <w:t xml:space="preserve">credit</w:t>
      </w:r>
      <w:r>
        <w:t xml:space="preserve"> </w:t>
      </w:r>
      <w:r>
        <w:t xml:space="preserve">assessments,</w:t>
      </w:r>
      <w:r>
        <w:t xml:space="preserve"> </w:t>
      </w:r>
      <w:r>
        <w:t xml:space="preserve">but</w:t>
      </w:r>
      <w:r>
        <w:t xml:space="preserve"> </w:t>
      </w:r>
      <w:r>
        <w:t xml:space="preserve">it</w:t>
      </w:r>
      <w:r>
        <w:t xml:space="preserve"> </w:t>
      </w:r>
      <w:r>
        <w:t xml:space="preserve">is</w:t>
      </w:r>
      <w:r>
        <w:t xml:space="preserve"> </w:t>
      </w:r>
      <w:r>
        <w:t xml:space="preserve">unclear</w:t>
      </w:r>
      <w:r>
        <w:t xml:space="preserve"> </w:t>
      </w:r>
      <w:r>
        <w:t xml:space="preserve">whether</w:t>
      </w:r>
      <w:r>
        <w:t xml:space="preserve"> </w:t>
      </w:r>
      <w:r>
        <w:t xml:space="preserve">elicitation</w:t>
      </w:r>
      <w:r>
        <w:t xml:space="preserve"> </w:t>
      </w:r>
      <w:r>
        <w:t xml:space="preserve">choices</w:t>
      </w:r>
      <w:r>
        <w:t xml:space="preserve"> </w:t>
      </w:r>
      <w:r>
        <w:t xml:space="preserve">merely</w:t>
      </w:r>
      <w:r>
        <w:t xml:space="preserve"> </w:t>
      </w:r>
      <w:r>
        <w:t xml:space="preserve">reveal</w:t>
      </w:r>
      <w:r>
        <w:t xml:space="preserve"> </w:t>
      </w:r>
      <w:r>
        <w:t xml:space="preserve">a</w:t>
      </w:r>
      <w:r>
        <w:t xml:space="preserve"> </w:t>
      </w:r>
      <w:r>
        <w:t xml:space="preserve">stable</w:t>
      </w:r>
      <w:r>
        <w:t xml:space="preserve"> </w:t>
      </w:r>
      <w:r>
        <w:t xml:space="preserve">credit</w:t>
      </w:r>
      <w:r>
        <w:t xml:space="preserve"> </w:t>
      </w:r>
      <w:r>
        <w:t xml:space="preserve">view</w:t>
      </w:r>
      <w:r>
        <w:t xml:space="preserve"> </w:t>
      </w:r>
      <w:r>
        <w:t xml:space="preserve">or</w:t>
      </w:r>
      <w:r>
        <w:t xml:space="preserve"> </w:t>
      </w:r>
      <w:r>
        <w:t xml:space="preserve">shape</w:t>
      </w:r>
      <w:r>
        <w:t xml:space="preserve"> </w:t>
      </w:r>
      <w:r>
        <w:t xml:space="preserve">the</w:t>
      </w:r>
      <w:r>
        <w:t xml:space="preserve"> </w:t>
      </w:r>
      <w:r>
        <w:t xml:space="preserve">rating.</w:t>
      </w:r>
      <w:r>
        <w:t xml:space="preserve"> </w:t>
      </w:r>
      <w:r>
        <w:t xml:space="preserve">Using</w:t>
      </w:r>
      <w:r>
        <w:t xml:space="preserve"> </w:t>
      </w:r>
      <w:r>
        <w:t xml:space="preserve">a</w:t>
      </w:r>
      <w:r>
        <w:t xml:space="preserve"> </w:t>
      </w:r>
      <w:r>
        <w:t xml:space="preserve">pre-registered</w:t>
      </w:r>
      <w:r>
        <w:t xml:space="preserve"> </w:t>
      </w:r>
      <w:r>
        <w:t xml:space="preserve">specification-curve</w:t>
      </w:r>
      <w:r>
        <w:t xml:space="preserve"> </w:t>
      </w:r>
      <w:r>
        <w:t xml:space="preserve">design</w:t>
      </w:r>
      <w:r>
        <w:t xml:space="preserve"> </w:t>
      </w:r>
      <w:r>
        <w:t xml:space="preserve">that</w:t>
      </w:r>
      <w:r>
        <w:t xml:space="preserve"> </w:t>
      </w:r>
      <w:r>
        <w:t xml:space="preserve">holds</w:t>
      </w:r>
      <w:r>
        <w:t xml:space="preserve"> </w:t>
      </w:r>
      <w:r>
        <w:t xml:space="preserve">fundamentals</w:t>
      </w:r>
      <w:r>
        <w:t xml:space="preserve"> </w:t>
      </w:r>
      <w:r>
        <w:t xml:space="preserve">fixed</w:t>
      </w:r>
      <w:r>
        <w:t xml:space="preserve"> </w:t>
      </w:r>
      <w:r>
        <w:t xml:space="preserve">while</w:t>
      </w:r>
      <w:r>
        <w:t xml:space="preserve"> </w:t>
      </w:r>
      <w:r>
        <w:t xml:space="preserve">varying</w:t>
      </w:r>
      <w:r>
        <w:t xml:space="preserve"> </w:t>
      </w:r>
      <w:r>
        <w:t xml:space="preserve">how</w:t>
      </w:r>
      <w:r>
        <w:t xml:space="preserve"> </w:t>
      </w:r>
      <w:r>
        <w:t xml:space="preserve">the</w:t>
      </w:r>
      <w:r>
        <w:t xml:space="preserve"> </w:t>
      </w:r>
      <w:r>
        <w:t xml:space="preserve">assessment</w:t>
      </w:r>
      <w:r>
        <w:t xml:space="preserve"> </w:t>
      </w:r>
      <w:r>
        <w:t xml:space="preserve">is</w:t>
      </w:r>
      <w:r>
        <w:t xml:space="preserve"> </w:t>
      </w:r>
      <w:r>
        <w:t xml:space="preserve">elicited,</w:t>
      </w:r>
      <w:r>
        <w:t xml:space="preserve"> </w:t>
      </w:r>
      <w:r>
        <w:t xml:space="preserve">we</w:t>
      </w:r>
      <w:r>
        <w:t xml:space="preserve"> </w:t>
      </w:r>
      <w:r>
        <w:t xml:space="preserve">evaluate</w:t>
      </w:r>
      <w:r>
        <w:t xml:space="preserve"> </w:t>
      </w:r>
      <w:r>
        <w:t xml:space="preserve">45</w:t>
      </w:r>
      <w:r>
        <w:t xml:space="preserve"> </w:t>
      </w:r>
      <w:r>
        <w:t xml:space="preserve">credit-health</w:t>
      </w:r>
      <w:r>
        <w:t xml:space="preserve"> </w:t>
      </w:r>
      <w:r>
        <w:t xml:space="preserve">profiles</w:t>
      </w:r>
      <w:r>
        <w:t xml:space="preserve"> </w:t>
      </w:r>
      <w:r>
        <w:t xml:space="preserve">across</w:t>
      </w:r>
      <w:r>
        <w:t xml:space="preserve"> </w:t>
      </w:r>
      <w:r>
        <w:t xml:space="preserve">32</w:t>
      </w:r>
      <w:r>
        <w:t xml:space="preserve"> </w:t>
      </w:r>
      <w:r>
        <w:t xml:space="preserve">specifications</w:t>
      </w:r>
      <w:r>
        <w:t xml:space="preserve"> </w:t>
      </w:r>
      <w:r>
        <w:t xml:space="preserve">and</w:t>
      </w:r>
      <w:r>
        <w:t xml:space="preserve"> </w:t>
      </w:r>
      <w:r>
        <w:t xml:space="preserve">three</w:t>
      </w:r>
      <w:r>
        <w:t xml:space="preserve"> </w:t>
      </w:r>
      <w:r>
        <w:t xml:space="preserve">seeds</w:t>
      </w:r>
      <w:r>
        <w:t xml:space="preserve"> </w:t>
      </w:r>
      <w:r>
        <w:t xml:space="preserve">(4</w:t>
      </w:r>
      <w:r>
        <w:t xml:space="preserve">,</w:t>
      </w:r>
      <w:r>
        <w:t xml:space="preserve">320</w:t>
      </w:r>
      <w:r>
        <w:t xml:space="preserve"> </w:t>
      </w:r>
      <w:r>
        <w:t xml:space="preserve">credit-rating</w:t>
      </w:r>
      <w:r>
        <w:t xml:space="preserve"> </w:t>
      </w:r>
      <w:r>
        <w:t xml:space="preserve">elicitations),</w:t>
      </w:r>
      <w:r>
        <w:t xml:space="preserve"> </w:t>
      </w:r>
      <w:r>
        <w:t xml:space="preserve">drawn</w:t>
      </w:r>
      <w:r>
        <w:t xml:space="preserve"> </w:t>
      </w:r>
      <w:r>
        <w:t xml:space="preserve">from</w:t>
      </w:r>
      <w:r>
        <w:t xml:space="preserve"> </w:t>
      </w:r>
      <w:r>
        <w:t xml:space="preserve">a</w:t>
      </w:r>
      <w:r>
        <w:t xml:space="preserve"> </w:t>
      </w:r>
      <w:r>
        <w:t xml:space="preserve">pre-registered</w:t>
      </w:r>
      <w:r>
        <w:t xml:space="preserve"> </w:t>
      </w:r>
      <w:r>
        <w:t xml:space="preserve">90-item</w:t>
      </w:r>
      <w:r>
        <w:t xml:space="preserve"> </w:t>
      </w:r>
      <w:r>
        <w:t xml:space="preserve">battery</w:t>
      </w:r>
      <w:r>
        <w:t xml:space="preserve"> </w:t>
      </w:r>
      <w:r>
        <w:t xml:space="preserve">and</w:t>
      </w:r>
      <w:r>
        <w:t xml:space="preserve"> </w:t>
      </w:r>
      <w:r>
        <w:t xml:space="preserve">a</w:t>
      </w:r>
      <w:r>
        <w:t xml:space="preserve"> </w:t>
      </w:r>
      <w:r>
        <w:t xml:space="preserve">balanced</w:t>
      </w:r>
      <w:r>
        <w:t xml:space="preserve"> </w:t>
      </w:r>
      <w:r>
        <w:t xml:space="preserve">grid</w:t>
      </w:r>
      <w:r>
        <w:t xml:space="preserve"> </w:t>
      </w:r>
      <w:r>
        <w:t xml:space="preserve">of</w:t>
      </w:r>
      <w:r>
        <w:t xml:space="preserve"> </w:t>
      </w:r>
      <w:r>
        <w:t xml:space="preserve">model</w:t>
      </w:r>
      <w:r>
        <w:t xml:space="preserve"> </w:t>
      </w:r>
      <w:r>
        <w:t xml:space="preserve">version,</w:t>
      </w:r>
      <w:r>
        <w:t xml:space="preserve"> </w:t>
      </w:r>
      <w:r>
        <w:t xml:space="preserve">temperature,</w:t>
      </w:r>
      <w:r>
        <w:t xml:space="preserve"> </w:t>
      </w:r>
      <w:r>
        <w:t xml:space="preserve">prompt</w:t>
      </w:r>
      <w:r>
        <w:t xml:space="preserve"> </w:t>
      </w:r>
      <w:r>
        <w:t xml:space="preserve">paraphrase,</w:t>
      </w:r>
      <w:r>
        <w:t xml:space="preserve"> </w:t>
      </w:r>
      <w:r>
        <w:t xml:space="preserve">output</w:t>
      </w:r>
      <w:r>
        <w:t xml:space="preserve"> </w:t>
      </w:r>
      <w:r>
        <w:t xml:space="preserve">format,</w:t>
      </w:r>
      <w:r>
        <w:t xml:space="preserve"> </w:t>
      </w:r>
      <w:r>
        <w:t xml:space="preserve">few-shot</w:t>
      </w:r>
      <w:r>
        <w:t xml:space="preserve"> </w:t>
      </w:r>
      <w:r>
        <w:t xml:space="preserve">exemplars,</w:t>
      </w:r>
      <w:r>
        <w:t xml:space="preserve"> </w:t>
      </w:r>
      <w:r>
        <w:t xml:space="preserve">and</w:t>
      </w:r>
      <w:r>
        <w:t xml:space="preserve"> </w:t>
      </w:r>
      <w:r>
        <w:t xml:space="preserve">presentation</w:t>
      </w:r>
      <w:r>
        <w:t xml:space="preserve"> </w:t>
      </w:r>
      <w:r>
        <w:t xml:space="preserve">over</w:t>
      </w:r>
      <w:r>
        <w:t xml:space="preserve"> </w:t>
      </w:r>
      <w:r>
        <w:t xml:space="preserve">two</w:t>
      </w:r>
      <w:r>
        <w:t xml:space="preserve"> </w:t>
      </w:r>
      <w:r>
        <w:t xml:space="preserve">providers,</w:t>
      </w:r>
      <w:r>
        <w:t xml:space="preserve"> </w:t>
      </w:r>
      <w:r>
        <w:t xml:space="preserve">benchmarked</w:t>
      </w:r>
      <w:r>
        <w:t xml:space="preserve"> </w:t>
      </w:r>
      <w:r>
        <w:t xml:space="preserve">to</w:t>
      </w:r>
      <w:r>
        <w:t xml:space="preserve"> </w:t>
      </w:r>
      <w:r>
        <w:t xml:space="preserve">Altman</w:t>
      </w:r>
      <w:r>
        <w:t xml:space="preserve"> </w:t>
      </w:r>
      <w:r>
        <w:t xml:space="preserve">Z</w:t>
      </w:r>
      <m:oMath>
        <m:r>
          <m:t>″</m:t>
        </m:r>
      </m:oMath>
      <w:r>
        <w:t xml:space="preserve">.</w:t>
      </w:r>
      <w:r>
        <w:t xml:space="preserve"> </w:t>
      </w:r>
      <w:r>
        <w:t xml:space="preserve">Our</w:t>
      </w:r>
      <w:r>
        <w:t xml:space="preserve"> </w:t>
      </w:r>
      <w:r>
        <w:t xml:space="preserve">estimand</w:t>
      </w:r>
      <w:r>
        <w:t xml:space="preserve"> </w:t>
      </w:r>
      <w:r>
        <w:t xml:space="preserve">is</w:t>
      </w:r>
      <w:r>
        <w:t xml:space="preserve"> </w:t>
      </w:r>
      <w:r>
        <w:t xml:space="preserve">stability,</w:t>
      </w:r>
      <w:r>
        <w:t xml:space="preserve"> </w:t>
      </w:r>
      <w:r>
        <w:t xml:space="preserve">not</w:t>
      </w:r>
      <w:r>
        <w:t xml:space="preserve"> </w:t>
      </w:r>
      <w:r>
        <w:t xml:space="preserve">accuracy.</w:t>
      </w:r>
      <w:r>
        <w:t xml:space="preserve"> </w:t>
      </w:r>
      <w:r>
        <w:t xml:space="preserve">Under</w:t>
      </w:r>
      <w:r>
        <w:t xml:space="preserve"> </w:t>
      </w:r>
      <w:r>
        <w:t xml:space="preserve">a</w:t>
      </w:r>
      <w:r>
        <w:t xml:space="preserve"> </w:t>
      </w:r>
      <w:r>
        <w:t xml:space="preserve">descriptive</w:t>
      </w:r>
      <w:r>
        <w:t xml:space="preserve"> </w:t>
      </w:r>
      <w:r>
        <w:t xml:space="preserve">main</w:t>
      </w:r>
      <w:r>
        <w:t xml:space="preserve"> </w:t>
      </w:r>
      <w:r>
        <w:t xml:space="preserve">effects</w:t>
      </w:r>
      <w:r>
        <w:t xml:space="preserve"> </w:t>
      </w:r>
      <w:r>
        <w:t xml:space="preserve">decomposition,</w:t>
      </w:r>
      <w:r>
        <w:t xml:space="preserve"> </w:t>
      </w:r>
      <w:r>
        <w:t xml:space="preserve">no</w:t>
      </w:r>
      <w:r>
        <w:t xml:space="preserve"> </w:t>
      </w:r>
      <w:r>
        <w:t xml:space="preserve">controllable</w:t>
      </w:r>
      <w:r>
        <w:t xml:space="preserve"> </w:t>
      </w:r>
      <w:r>
        <w:t xml:space="preserve">axis</w:t>
      </w:r>
      <w:r>
        <w:t xml:space="preserve"> </w:t>
      </w:r>
      <w:r>
        <w:t xml:space="preserve">exceeds</w:t>
      </w:r>
      <w:r>
        <w:t xml:space="preserve"> </w:t>
      </w:r>
      <w:r>
        <w:t xml:space="preserve">about</w:t>
      </w:r>
      <w:r>
        <w:t xml:space="preserve"> </w:t>
      </w:r>
      <w:r>
        <w:t xml:space="preserve">5%</w:t>
      </w:r>
      <w:r>
        <w:t xml:space="preserve"> </w:t>
      </w:r>
      <w:r>
        <w:t xml:space="preserve">of</w:t>
      </w:r>
      <w:r>
        <w:t xml:space="preserve"> </w:t>
      </w:r>
      <w:r>
        <w:t xml:space="preserve">rating</w:t>
      </w:r>
      <w:r>
        <w:t xml:space="preserve"> </w:t>
      </w:r>
      <w:r>
        <w:t xml:space="preserve">variance,</w:t>
      </w:r>
      <w:r>
        <w:t xml:space="preserve"> </w:t>
      </w:r>
      <w:r>
        <w:t xml:space="preserve">and</w:t>
      </w:r>
      <w:r>
        <w:t xml:space="preserve"> </w:t>
      </w:r>
      <w:r>
        <w:t xml:space="preserve">pure</w:t>
      </w:r>
      <w:r>
        <w:t xml:space="preserve"> </w:t>
      </w:r>
      <w:r>
        <w:t xml:space="preserve">run-to-run</w:t>
      </w:r>
      <w:r>
        <w:t xml:space="preserve"> </w:t>
      </w:r>
      <w:r>
        <w:t xml:space="preserve">variation</w:t>
      </w:r>
      <w:r>
        <w:t xml:space="preserve"> </w:t>
      </w:r>
      <w:r>
        <w:t xml:space="preserve">accounts</w:t>
      </w:r>
      <w:r>
        <w:t xml:space="preserve"> </w:t>
      </w:r>
      <w:r>
        <w:t xml:space="preserve">for</w:t>
      </w:r>
      <w:r>
        <w:t xml:space="preserve"> </w:t>
      </w:r>
      <w:r>
        <w:t xml:space="preserve">about</w:t>
      </w:r>
      <w:r>
        <w:t xml:space="preserve"> </w:t>
      </w:r>
      <w:r>
        <w:t xml:space="preserve">8%;</w:t>
      </w:r>
      <w:r>
        <w:t xml:space="preserve"> </w:t>
      </w:r>
      <w:r>
        <w:t xml:space="preserve">instability</w:t>
      </w:r>
      <w:r>
        <w:t xml:space="preserve"> </w:t>
      </w:r>
      <w:r>
        <w:t xml:space="preserve">persists</w:t>
      </w:r>
      <w:r>
        <w:t xml:space="preserve"> </w:t>
      </w:r>
      <w:r>
        <w:t xml:space="preserve">on</w:t>
      </w:r>
      <w:r>
        <w:t xml:space="preserve"> </w:t>
      </w:r>
      <w:r>
        <w:t xml:space="preserve">the</w:t>
      </w:r>
      <w:r>
        <w:t xml:space="preserve"> </w:t>
      </w:r>
      <w:r>
        <w:t xml:space="preserve">temperature-0-honored</w:t>
      </w:r>
      <w:r>
        <w:t xml:space="preserve"> </w:t>
      </w:r>
      <w:r>
        <w:t xml:space="preserve">subgrid</w:t>
      </w:r>
      <w:r>
        <w:t xml:space="preserve"> </w:t>
      </w:r>
      <w:r>
        <w:t xml:space="preserve">(single</w:t>
      </w:r>
      <w:r>
        <w:t xml:space="preserve"> </w:t>
      </w:r>
      <w:r>
        <w:t xml:space="preserve">provider,</w:t>
      </w:r>
      <w:r>
        <w:t xml:space="preserve"> </w:t>
      </w:r>
      <w:r>
        <w:t xml:space="preserve">temperature</w:t>
      </w:r>
      <w:r>
        <w:t xml:space="preserve"> </w:t>
      </w:r>
      <w:r>
        <w:t xml:space="preserve">0;</w:t>
      </w:r>
      <w:r>
        <w:t xml:space="preserve"> </w:t>
      </w:r>
      <w:r>
        <w:t xml:space="preserve">permutation</w:t>
      </w:r>
      <w:r>
        <w:t xml:space="preserve"> </w:t>
      </w:r>
      <m:oMath>
        <m:r>
          <m:t>p</m:t>
        </m:r>
        <m:r>
          <m:t>=</m:t>
        </m:r>
        <m:r>
          <m:t>0.0005</m:t>
        </m:r>
      </m:oMath>
      <w:r>
        <w:t xml:space="preserve">).</w:t>
      </w:r>
      <w:r>
        <w:t xml:space="preserve"> </w:t>
      </w:r>
      <w:r>
        <w:t xml:space="preserve">Cross-specification</w:t>
      </w:r>
      <w:r>
        <w:t xml:space="preserve"> </w:t>
      </w:r>
      <w:r>
        <w:t xml:space="preserve">agreement</w:t>
      </w:r>
      <w:r>
        <w:t xml:space="preserve"> </w:t>
      </w:r>
      <w:r>
        <w:t xml:space="preserve">remains</w:t>
      </w:r>
      <w:r>
        <w:t xml:space="preserve"> </w:t>
      </w:r>
      <w:r>
        <w:t xml:space="preserve">low</w:t>
      </w:r>
      <w:r>
        <w:t xml:space="preserve"> </w:t>
      </w:r>
      <w:r>
        <w:t xml:space="preserve">at</w:t>
      </w:r>
      <w:r>
        <w:t xml:space="preserve"> </w:t>
      </w:r>
      <w:r>
        <w:t xml:space="preserve">all</w:t>
      </w:r>
      <w:r>
        <w:t xml:space="preserve"> </w:t>
      </w:r>
      <w:r>
        <w:t xml:space="preserve">resolutions:</w:t>
      </w:r>
      <w:r>
        <w:t xml:space="preserve"> </w:t>
      </w:r>
      <w:r>
        <w:t xml:space="preserve">unweighted</w:t>
      </w:r>
      <w:r>
        <w:t xml:space="preserve"> </w:t>
      </w:r>
      <w:r>
        <w:t xml:space="preserve">Fleiss’</w:t>
      </w:r>
      <w:r>
        <w:t xml:space="preserve"> </w:t>
      </w:r>
      <m:oMath>
        <m:r>
          <m:t>κ</m:t>
        </m:r>
      </m:oMath>
      <w:r>
        <w:t xml:space="preserve"> </w:t>
      </w:r>
      <w:r>
        <w:t xml:space="preserve">reaches</w:t>
      </w:r>
      <w:r>
        <w:t xml:space="preserve"> </w:t>
      </w:r>
      <w:r>
        <w:t xml:space="preserve">at</w:t>
      </w:r>
      <w:r>
        <w:t xml:space="preserve"> </w:t>
      </w:r>
      <w:r>
        <w:t xml:space="preserve">most</w:t>
      </w:r>
      <w:r>
        <w:t xml:space="preserve"> </w:t>
      </w:r>
      <w:r>
        <w:t xml:space="preserve">0.49</w:t>
      </w:r>
      <w:r>
        <w:t xml:space="preserve"> </w:t>
      </w:r>
      <w:r>
        <w:t xml:space="preserve">at</w:t>
      </w:r>
      <w:r>
        <w:t xml:space="preserve"> </w:t>
      </w:r>
      <w:r>
        <w:t xml:space="preserve">the</w:t>
      </w:r>
      <w:r>
        <w:t xml:space="preserve"> </w:t>
      </w:r>
      <w:r>
        <w:t xml:space="preserve">investment-grade/high-yield</w:t>
      </w:r>
      <w:r>
        <w:t xml:space="preserve"> </w:t>
      </w:r>
      <w:r>
        <w:t xml:space="preserve">split,</w:t>
      </w:r>
      <w:r>
        <w:t xml:space="preserve"> </w:t>
      </w:r>
      <w:r>
        <w:t xml:space="preserve">where</w:t>
      </w:r>
      <w:r>
        <w:t xml:space="preserve"> </w:t>
      </w:r>
      <w:r>
        <w:t xml:space="preserve">25.2%</w:t>
      </w:r>
      <w:r>
        <w:t xml:space="preserve"> </w:t>
      </w:r>
      <w:r>
        <w:t xml:space="preserve">of</w:t>
      </w:r>
      <w:r>
        <w:t xml:space="preserve"> </w:t>
      </w:r>
      <w:r>
        <w:t xml:space="preserve">matched</w:t>
      </w:r>
      <w:r>
        <w:t xml:space="preserve"> </w:t>
      </w:r>
      <w:r>
        <w:t xml:space="preserve">pairs</w:t>
      </w:r>
      <w:r>
        <w:t xml:space="preserve"> </w:t>
      </w:r>
      <w:r>
        <w:t xml:space="preserve">disagree,</w:t>
      </w:r>
      <w:r>
        <w:t xml:space="preserve"> </w:t>
      </w:r>
      <w:r>
        <w:t xml:space="preserve">and</w:t>
      </w:r>
      <w:r>
        <w:t xml:space="preserve"> </w:t>
      </w:r>
      <w:r>
        <w:t xml:space="preserve">switching</w:t>
      </w:r>
      <w:r>
        <w:t xml:space="preserve"> </w:t>
      </w:r>
      <w:r>
        <w:t xml:space="preserve">or</w:t>
      </w:r>
      <w:r>
        <w:t xml:space="preserve"> </w:t>
      </w:r>
      <w:r>
        <w:t xml:space="preserve">pooling</w:t>
      </w:r>
      <w:r>
        <w:t xml:space="preserve"> </w:t>
      </w:r>
      <w:r>
        <w:t xml:space="preserve">providers</w:t>
      </w:r>
      <w:r>
        <w:t xml:space="preserve"> </w:t>
      </w:r>
      <w:r>
        <w:t xml:space="preserve">does</w:t>
      </w:r>
      <w:r>
        <w:t xml:space="preserve"> </w:t>
      </w:r>
      <w:r>
        <w:t xml:space="preserve">not</w:t>
      </w:r>
      <w:r>
        <w:t xml:space="preserve"> </w:t>
      </w:r>
      <w:r>
        <w:t xml:space="preserve">remove</w:t>
      </w:r>
      <w:r>
        <w:t xml:space="preserve"> </w:t>
      </w:r>
      <w:r>
        <w:t xml:space="preserve">it.</w:t>
      </w:r>
      <w:r>
        <w:t xml:space="preserve"> </w:t>
      </w:r>
      <w:r>
        <w:t xml:space="preserve">Specification</w:t>
      </w:r>
      <w:r>
        <w:t xml:space="preserve"> </w:t>
      </w:r>
      <w:r>
        <w:t xml:space="preserve">variation</w:t>
      </w:r>
      <w:r>
        <w:t xml:space="preserve"> </w:t>
      </w:r>
      <w:r>
        <w:t xml:space="preserve">is</w:t>
      </w:r>
      <w:r>
        <w:t xml:space="preserve"> </w:t>
      </w:r>
      <w:r>
        <w:t xml:space="preserve">also</w:t>
      </w:r>
      <w:r>
        <w:t xml:space="preserve"> </w:t>
      </w:r>
      <w:r>
        <w:t xml:space="preserve">observed</w:t>
      </w:r>
      <w:r>
        <w:t xml:space="preserve"> </w:t>
      </w:r>
      <w:r>
        <w:t xml:space="preserve">in</w:t>
      </w:r>
      <w:r>
        <w:t xml:space="preserve"> </w:t>
      </w:r>
      <w:r>
        <w:t xml:space="preserve">31</w:t>
      </w:r>
      <w:r>
        <w:t xml:space="preserve"> </w:t>
      </w:r>
      <w:r>
        <w:t xml:space="preserve">perturbed</w:t>
      </w:r>
      <w:r>
        <w:t xml:space="preserve"> </w:t>
      </w:r>
      <w:r>
        <w:t xml:space="preserve">and</w:t>
      </w:r>
      <w:r>
        <w:t xml:space="preserve"> </w:t>
      </w:r>
      <w:r>
        <w:t xml:space="preserve">fingerprint-screened</w:t>
      </w:r>
      <w:r>
        <w:t xml:space="preserve"> </w:t>
      </w:r>
      <w:r>
        <w:t xml:space="preserve">real</w:t>
      </w:r>
      <w:r>
        <w:t xml:space="preserve"> </w:t>
      </w:r>
      <w:r>
        <w:t xml:space="preserve">issuers.</w:t>
      </w:r>
      <w:r>
        <w:t xml:space="preserve"> </w:t>
      </w:r>
      <w:r>
        <w:t xml:space="preserve">A</w:t>
      </w:r>
      <w:r>
        <w:t xml:space="preserve"> </w:t>
      </w:r>
      <w:r>
        <w:t xml:space="preserve">post-hoc</w:t>
      </w:r>
      <w:r>
        <w:t xml:space="preserve"> </w:t>
      </w:r>
      <w:r>
        <w:t xml:space="preserve">check</w:t>
      </w:r>
      <w:r>
        <w:t xml:space="preserve"> </w:t>
      </w:r>
      <w:r>
        <w:t xml:space="preserve">does</w:t>
      </w:r>
      <w:r>
        <w:t xml:space="preserve"> </w:t>
      </w:r>
      <w:r>
        <w:t xml:space="preserve">not</w:t>
      </w:r>
      <w:r>
        <w:t xml:space="preserve"> </w:t>
      </w:r>
      <w:r>
        <w:t xml:space="preserve">detect</w:t>
      </w:r>
      <w:r>
        <w:t xml:space="preserve"> </w:t>
      </w:r>
      <w:r>
        <w:t xml:space="preserve">attenuation</w:t>
      </w:r>
      <w:r>
        <w:t xml:space="preserve"> </w:t>
      </w:r>
      <w:r>
        <w:t xml:space="preserve">on</w:t>
      </w:r>
      <w:r>
        <w:t xml:space="preserve"> </w:t>
      </w:r>
      <w:r>
        <w:t xml:space="preserve">flagship</w:t>
      </w:r>
      <w:r>
        <w:t xml:space="preserve"> </w:t>
      </w:r>
      <w:r>
        <w:t xml:space="preserve">models,</w:t>
      </w:r>
      <w:r>
        <w:t xml:space="preserve"> </w:t>
      </w:r>
      <w:r>
        <w:t xml:space="preserve">and</w:t>
      </w:r>
      <w:r>
        <w:t xml:space="preserve"> </w:t>
      </w:r>
      <w:r>
        <w:t xml:space="preserve">specification</w:t>
      </w:r>
      <w:r>
        <w:t xml:space="preserve"> </w:t>
      </w:r>
      <w:r>
        <w:t xml:space="preserve">sensitivity</w:t>
      </w:r>
      <w:r>
        <w:t xml:space="preserve"> </w:t>
      </w:r>
      <w:r>
        <w:t xml:space="preserve">is</w:t>
      </w:r>
      <w:r>
        <w:t xml:space="preserve"> </w:t>
      </w:r>
      <w:r>
        <w:t xml:space="preserve">also</w:t>
      </w:r>
      <w:r>
        <w:t xml:space="preserve"> </w:t>
      </w:r>
      <w:r>
        <w:t xml:space="preserve">observed</w:t>
      </w:r>
      <w:r>
        <w:t xml:space="preserve"> </w:t>
      </w:r>
      <w:r>
        <w:t xml:space="preserve">in</w:t>
      </w:r>
      <w:r>
        <w:t xml:space="preserve"> </w:t>
      </w:r>
      <w:r>
        <w:t xml:space="preserve">an</w:t>
      </w:r>
      <w:r>
        <w:t xml:space="preserve"> </w:t>
      </w:r>
      <w:r>
        <w:t xml:space="preserve">open-weight</w:t>
      </w:r>
      <w:r>
        <w:t xml:space="preserve"> </w:t>
      </w:r>
      <w:r>
        <w:t xml:space="preserve">reasoning</w:t>
      </w:r>
      <w:r>
        <w:t xml:space="preserve"> </w:t>
      </w:r>
      <w:r>
        <w:t xml:space="preserve">model.</w:t>
      </w:r>
      <w:r>
        <w:t xml:space="preserve"> </w:t>
      </w:r>
      <w:r>
        <w:t xml:space="preserve">We</w:t>
      </w:r>
      <w:r>
        <w:t xml:space="preserve"> </w:t>
      </w:r>
      <w:r>
        <w:t xml:space="preserve">frame</w:t>
      </w:r>
      <w:r>
        <w:t xml:space="preserve"> </w:t>
      </w:r>
      <w:r>
        <w:t xml:space="preserve">the</w:t>
      </w:r>
      <w:r>
        <w:t xml:space="preserve"> </w:t>
      </w:r>
      <w:r>
        <w:t xml:space="preserve">elicitation</w:t>
      </w:r>
      <w:r>
        <w:t xml:space="preserve"> </w:t>
      </w:r>
      <w:r>
        <w:t xml:space="preserve">specification</w:t>
      </w:r>
      <w:r>
        <w:t xml:space="preserve"> </w:t>
      </w:r>
      <w:r>
        <w:t xml:space="preserve">as</w:t>
      </w:r>
      <w:r>
        <w:t xml:space="preserve"> </w:t>
      </w:r>
      <w:r>
        <w:t xml:space="preserve">a</w:t>
      </w:r>
      <w:r>
        <w:t xml:space="preserve"> </w:t>
      </w:r>
      <w:r>
        <w:t xml:space="preserve">model-risk</w:t>
      </w:r>
      <w:r>
        <w:t xml:space="preserve"> </w:t>
      </w:r>
      <w:r>
        <w:t xml:space="preserve">parameter</w:t>
      </w:r>
      <w:r>
        <w:t xml:space="preserve"> </w:t>
      </w:r>
      <w:r>
        <w:t xml:space="preserve">and</w:t>
      </w:r>
      <w:r>
        <w:t xml:space="preserve"> </w:t>
      </w:r>
      <w:r>
        <w:t xml:space="preserve">develop</w:t>
      </w:r>
      <w:r>
        <w:t xml:space="preserve"> </w:t>
      </w:r>
      <w:r>
        <w:t xml:space="preserve">a</w:t>
      </w:r>
      <w:r>
        <w:t xml:space="preserve"> </w:t>
      </w:r>
      <w:r>
        <w:t xml:space="preserve">specification-instability</w:t>
      </w:r>
      <w:r>
        <w:t xml:space="preserve"> </w:t>
      </w:r>
      <w:r>
        <w:t xml:space="preserve">score</w:t>
      </w:r>
      <w:r>
        <w:t xml:space="preserve"> </w:t>
      </w:r>
      <w:r>
        <w:t xml:space="preserve">that</w:t>
      </w:r>
      <w:r>
        <w:t xml:space="preserve"> </w:t>
      </w:r>
      <w:r>
        <w:t xml:space="preserve">predicts</w:t>
      </w:r>
      <w:r>
        <w:t xml:space="preserve"> </w:t>
      </w:r>
      <w:r>
        <w:t xml:space="preserve">held-out</w:t>
      </w:r>
      <w:r>
        <w:t xml:space="preserve"> </w:t>
      </w:r>
      <w:r>
        <w:t xml:space="preserve">instability</w:t>
      </w:r>
      <w:r>
        <w:t xml:space="preserve"> </w:t>
      </w:r>
      <w:r>
        <w:t xml:space="preserve">(ROC-AUC</w:t>
      </w:r>
      <w:r>
        <w:t xml:space="preserve"> </w:t>
      </w:r>
      <w:r>
        <w:t xml:space="preserve">0.94;</w:t>
      </w:r>
      <w:r>
        <w:t xml:space="preserve"> </w:t>
      </w:r>
      <w:r>
        <w:t xml:space="preserve">0.70</w:t>
      </w:r>
      <w:r>
        <w:t xml:space="preserve"> </w:t>
      </w:r>
      <w:r>
        <w:t xml:space="preserve">on</w:t>
      </w:r>
      <w:r>
        <w:t xml:space="preserve"> </w:t>
      </w:r>
      <w:r>
        <w:t xml:space="preserve">real</w:t>
      </w:r>
      <w:r>
        <w:t xml:space="preserve"> </w:t>
      </w:r>
      <w:r>
        <w:t xml:space="preserve">issuers),</w:t>
      </w:r>
      <w:r>
        <w:t xml:space="preserve"> </w:t>
      </w:r>
      <w:r>
        <w:t xml:space="preserve">a</w:t>
      </w:r>
      <w:r>
        <w:t xml:space="preserve"> </w:t>
      </w:r>
      <w:r>
        <w:t xml:space="preserve">lightweight,</w:t>
      </w:r>
      <w:r>
        <w:t xml:space="preserve"> </w:t>
      </w:r>
      <w:r>
        <w:t xml:space="preserve">ground-truth-free</w:t>
      </w:r>
      <w:r>
        <w:t xml:space="preserve"> </w:t>
      </w:r>
      <w:r>
        <w:t xml:space="preserve">control.</w:t>
      </w:r>
    </w:p>
    <w:p>
      <w:pPr>
        <w:pStyle w:val="FirstParagraph"/>
      </w:pPr>
      <w:r>
        <w:t xml:space="preserve">In the evaluated systems, prompt and model choices move</w:t>
      </w:r>
      <w:r>
        <w:t xml:space="preserve"> </w:t>
      </w:r>
      <m:oMath>
        <m:r>
          <m:t>∼</m:t>
        </m:r>
      </m:oMath>
      <w:r>
        <w:t xml:space="preserve">25% of AI credit ratings across the IG/HY line.</w:t>
      </w:r>
    </w:p>
    <w:p>
      <w:pPr>
        <w:pStyle w:val="BodyText"/>
      </w:pPr>
      <w:r>
        <w:t xml:space="preserve">Descriptive main-effects decomposition: no single elicitation axis accounts for &gt;</w:t>
      </w:r>
      <w:r>
        <w:t xml:space="preserve"> </w:t>
      </w:r>
      <m:oMath>
        <m:r>
          <m:t>∼</m:t>
        </m:r>
      </m:oMath>
      <w:r>
        <w:t xml:space="preserve">5% variance. Pure seed noise is</w:t>
      </w:r>
      <w:r>
        <w:t xml:space="preserve"> </w:t>
      </w:r>
      <m:oMath>
        <m:r>
          <m:t>∼</m:t>
        </m:r>
      </m:oMath>
      <w:r>
        <w:t xml:space="preserve">8%.</w:t>
      </w:r>
    </w:p>
    <w:p>
      <w:pPr>
        <w:pStyle w:val="BodyText"/>
      </w:pPr>
      <w:r>
        <w:t xml:space="preserve">Instability persists on the temperature-0-honored subgrid (one provider, temperature 0).</w:t>
      </w:r>
    </w:p>
    <w:p>
      <w:pPr>
        <w:pStyle w:val="BodyText"/>
      </w:pPr>
      <w:r>
        <w:t xml:space="preserve">Unweighted cross-specification agreement stays modest (Fleiss</w:t>
      </w:r>
      <w:r>
        <w:t xml:space="preserve"> </w:t>
      </w:r>
      <m:oMath>
        <m:r>
          <m:t>κ</m:t>
        </m:r>
        <m:r>
          <m:t>≤</m:t>
        </m:r>
        <m:r>
          <m:t>0.49</m:t>
        </m:r>
      </m:oMath>
      <w:r>
        <w:t xml:space="preserve">).</w:t>
      </w:r>
    </w:p>
    <w:p>
      <w:pPr>
        <w:pStyle w:val="BodyText"/>
      </w:pPr>
      <w:r>
        <w:t xml:space="preserve">Score validated on held-out specs (ROC-AUC 0.94) gives a candidate operational model-risk control.</w:t>
      </w:r>
    </w:p>
    <w:p>
      <w:pPr>
        <w:pStyle w:val="BodyText"/>
      </w:pPr>
      <w:r>
        <w:t xml:space="preserve">large language models ,credit ratings ,specification-curve analysis ,model risk ,reproducibility ,investment grade</w:t>
      </w:r>
    </w:p>
    <w:p>
      <w:pPr>
        <w:pStyle w:val="Heading1"/>
      </w:pPr>
      <w:bookmarkStart w:id="20" w:name="introduction"/>
      <w:r>
        <w:t xml:space="preserve">Introduction</w:t>
      </w:r>
      <w:bookmarkEnd w:id="20"/>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 and recent work has shown related variability in</w:t>
      </w:r>
      <w:r>
        <w:t xml:space="preserve"> </w:t>
      </w:r>
      <w:r>
        <w:t xml:space="preserve">LLM-generated financial recommendations</w:t>
      </w:r>
      <w:r>
        <w:t xml:space="preserve"> </w:t>
      </w:r>
      <w:r>
        <w:t xml:space="preserve">.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 Third,</w:t>
      </w:r>
      <w:r>
        <w:t xml:space="preserve"> </w:t>
      </w:r>
      <w:r>
        <w:t xml:space="preserve">evaluation using real firms poses a further challenge: general-purpose 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w:t>
      </w:r>
      <w:r>
        <w:t xml:space="preserve"> </w:t>
      </w:r>
      <w:r>
        <w:t xml:space="preserve">.</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w:t>
      </w:r>
      <w:r>
        <w:t xml:space="preserve"> </w:t>
      </w:r>
      <w:r>
        <w:t xml:space="preserve">.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 has two co-equal contributions: an</w:t>
      </w:r>
      <w:r>
        <w:t xml:space="preserve"> </w:t>
      </w:r>
      <w:r>
        <w:rPr>
          <w:i/>
        </w:rPr>
        <w:t xml:space="preserve">elicitation-reliability evaluation framework</w:t>
      </w:r>
      <w:r>
        <w:t xml:space="preserve"> </w:t>
      </w:r>
      <w:r>
        <w:t xml:space="preserve">that</w:t>
      </w:r>
      <w:r>
        <w:t xml:space="preserve"> </w:t>
      </w:r>
      <w:r>
        <w:t xml:space="preserve">measures how LLM-based credit ratings depend on the linguistic and procedural specification, and a</w:t>
      </w:r>
      <w:r>
        <w:t xml:space="preserve"> </w:t>
      </w:r>
      <w:r>
        <w:rPr>
          <w:i/>
        </w:rPr>
        <w:t xml:space="preserve">candidate operational model-risk control</w:t>
      </w:r>
      <w:r>
        <w:t xml:space="preserve"> </w:t>
      </w:r>
      <w:r>
        <w:t xml:space="preserve">derived from it. In particular we (i) quantify the</w:t>
      </w:r>
      <w:r>
        <w:t xml:space="preserve"> </w:t>
      </w:r>
      <w:r>
        <w:t xml:space="preserve">sensitivity of machine-generated credit ratings to the elicitation specification and decompose the</w:t>
      </w:r>
      <w:r>
        <w:t xml:space="preserve"> </w:t>
      </w:r>
      <w:r>
        <w:t xml:space="preserve">rating variation into firm, elicitation-axis, provider-by-item, pure seed, and other unexplained</w:t>
      </w:r>
      <w:r>
        <w:t xml:space="preserve"> </w:t>
      </w:r>
      <w:r>
        <w:t xml:space="preserve">components; (ii) test the persistence of the instability under two natural remedies, the temperature-0-honored</w:t>
      </w:r>
      <w:r>
        <w:t xml:space="preserve"> </w:t>
      </w:r>
      <w:r>
        <w:t xml:space="preserve">setting and provider selection, and across rating resolutions from the full letter scale to the</w:t>
      </w:r>
      <w:r>
        <w:t xml:space="preserve"> </w:t>
      </w:r>
      <w:r>
        <w:t xml:space="preserve">investment-grade/high-yield split; (iii) translate the instability into the decision-relevant unit of</w:t>
      </w:r>
      <w:r>
        <w:t xml:space="preserve"> </w:t>
      </w:r>
      <w:r>
        <w:t xml:space="preserve">investment-grade/high-yield boundary migration;</w:t>
      </w:r>
      <w:r>
        <w:t xml:space="preserve"> </w:t>
      </w:r>
      <w:r>
        <w:t xml:space="preserve">(iv) explore external validity descriptively on a perturbed real-issuer arm that first demonstrates</w:t>
      </w:r>
      <w:r>
        <w:t xml:space="preserve"> </w:t>
      </w:r>
      <w:r>
        <w:t xml:space="preserve">issuer-recognition risk and then mitigates exact-figure recognition through scaling and fingerprint</w:t>
      </w:r>
      <w:r>
        <w:t xml:space="preserve"> </w:t>
      </w:r>
      <w:r>
        <w:t xml:space="preserve">screening; and (v) develop a candidate operational model-risk control, a</w:t>
      </w:r>
      <w:r>
        <w:t xml:space="preserve"> </w:t>
      </w:r>
      <w:r>
        <w:rPr>
          <w:i/>
        </w:rPr>
        <w:t xml:space="preserve">specification-instability score</w:t>
      </w:r>
      <w:r>
        <w:t xml:space="preserve"> </w:t>
      </w:r>
      <w:r>
        <w:t xml:space="preserve">with pseudocode, a governance workflow, and a per-issuer cost</w:t>
      </w:r>
      <w:r>
        <w:t xml:space="preserve"> </w:t>
      </w:r>
      <w:r>
        <w:t xml:space="preserve">model, and validate that it predicts held-out instability (ROC-AUC 0.94). The diagnosis and the control</w:t>
      </w:r>
      <w:r>
        <w:t xml:space="preserve"> </w:t>
      </w:r>
      <w:r>
        <w:t xml:space="preserve">are co-equal contributions: the first quantifies the problem, the second gives practitioners a</w:t>
      </w:r>
      <w:r>
        <w:t xml:space="preserve"> </w:t>
      </w:r>
      <w:r>
        <w:t xml:space="preserve">ground-truth-free instrument to manage it.</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 credit-health profiles rest on</w:t>
      </w:r>
      <w:r>
        <w:t xml:space="preserve"> </w:t>
      </w:r>
      <w:r>
        <w:t xml:space="preserve">a pre-specified Altman Z</w:t>
      </w:r>
      <m:oMath>
        <m:r>
          <m:t>″</m:t>
        </m:r>
      </m:oMath>
      <w:r>
        <w:t xml:space="preserve"> </w:t>
      </w:r>
      <w:r>
        <w:t xml:space="preserve">accounting-based benchmark</w:t>
      </w:r>
      <w:r>
        <w:t xml:space="preserve"> </w:t>
      </w:r>
      <w:r>
        <w:t xml:space="preserve">, which provides a fixed,</w:t>
      </w:r>
      <w:r>
        <w:t xml:space="preserve"> </w:t>
      </w:r>
      <w:r>
        <w:t xml:space="preserve">independently computable reference while the elicitation specification varies; our estimand is therefore</w:t>
      </w:r>
      <w:r>
        <w:t xml:space="preserve"> </w:t>
      </w:r>
      <w:r>
        <w:t xml:space="preserve">not rating accuracy but</w:t>
      </w:r>
      <w:r>
        <w:t xml:space="preserve"> </w:t>
      </w:r>
      <w:r>
        <w:rPr>
          <w:i/>
        </w:rPr>
        <w:t xml:space="preserve">stability across specifications</w:t>
      </w:r>
      <w:r>
        <w:t xml:space="preserve">.</w:t>
      </w:r>
    </w:p>
    <w:p>
      <w:pPr>
        <w:pStyle w:val="Heading1"/>
      </w:pPr>
      <w:bookmarkStart w:id="21" w:name="related-work"/>
      <w:r>
        <w:t xml:space="preserve">Related work</w:t>
      </w:r>
      <w:bookmarkEnd w:id="21"/>
    </w:p>
    <w:p>
      <w:pPr>
        <w:pStyle w:val="Heading2"/>
      </w:pPr>
      <w:bookmarkStart w:id="22" w:name="X0dba5ecfc7746c0d26bbfb187565964f2058f86"/>
      <w:r>
        <w:t xml:space="preserve">Prompt sensitivity and non-determinism in large language models</w:t>
      </w:r>
      <w:bookmarkEnd w:id="22"/>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w:t>
      </w:r>
      <w:r>
        <w:t xml:space="preserve"> </w:t>
      </w:r>
      <w:r>
        <w:t xml:space="preserve">.</w:t>
      </w:r>
      <w:r>
        <w:t xml:space="preserve"> </w:t>
      </w:r>
      <w:r>
        <w:t xml:space="preserve">Non-determinism can also be observed in settings intended to produce deterministic responses</w:t>
      </w:r>
      <w:r>
        <w:t xml:space="preserve"> </w:t>
      </w:r>
      <w:r>
        <w:t xml:space="preserve">.</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w:t>
      </w:r>
      <w:r>
        <w:t xml:space="preserve"> </w:t>
      </w:r>
      <w:r>
        <w:t xml:space="preserve"> </w:t>
      </w:r>
      <w:r>
        <w:t xml:space="preserve">demonstrate how single-prompt evaluation can produce fragile conclusions and argue for evaluation across</w:t>
      </w:r>
      <w:r>
        <w:t xml:space="preserve"> </w:t>
      </w:r>
      <w:r>
        <w:t xml:space="preserve">multiple prompt formulations. In finance,</w:t>
      </w:r>
      <w:r>
        <w:t xml:space="preserve"> </w:t>
      </w:r>
      <w:r>
        <w:t xml:space="preserve"> </w:t>
      </w:r>
      <w:r>
        <w:t xml:space="preserve">likewise find large variation in</w:t>
      </w:r>
      <w:r>
        <w:t xml:space="preserve"> </w:t>
      </w:r>
      <w:r>
        <w:t xml:space="preserve">stock recommendations produced by LLMs depending on the prompting and model choice.</w:t>
      </w:r>
    </w:p>
    <w:p>
      <w:pPr>
        <w:pStyle w:val="Heading2"/>
      </w:pPr>
      <w:bookmarkStart w:id="23" w:name="X99d2309975b6bf7ae5cad3e79bc26027f8502df"/>
      <w:r>
        <w:t xml:space="preserve">Uncertainty quantification for LLM outputs</w:t>
      </w:r>
      <w:bookmarkEnd w:id="23"/>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 Semantic-entropy methods cluster semantically equivalent generations and</w:t>
      </w:r>
      <w:r>
        <w:t xml:space="preserve"> </w:t>
      </w:r>
      <w:r>
        <w:t xml:space="preserve">measure entropy over meanings to detect unreliable answers</w:t>
      </w:r>
      <w:r>
        <w:t xml:space="preserve"> </w:t>
      </w:r>
      <w:r>
        <w:t xml:space="preserve">. Others elicit</w:t>
      </w:r>
      <w:r>
        <w:t xml:space="preserve"> </w:t>
      </w:r>
      <w:r>
        <w:t xml:space="preserve">confidence directly, teaching models to verbalize calibrated uncertainty</w:t>
      </w:r>
      <w:r>
        <w:t xml:space="preserve"> </w:t>
      </w:r>
      <w:r>
        <w:t xml:space="preserve"> </w:t>
      </w:r>
      <w:r>
        <w:t xml:space="preserve">or</w:t>
      </w:r>
      <w:r>
        <w:t xml:space="preserve"> </w:t>
      </w:r>
      <w:r>
        <w:t xml:space="preserve">probing whether models</w:t>
      </w:r>
      <w:r>
        <w:t xml:space="preserve"> </w:t>
      </w:r>
      <w:r>
        <w:t xml:space="preserve">“</w:t>
      </w:r>
      <w:r>
        <w:t xml:space="preserve">know what they know</w:t>
      </w:r>
      <w:r>
        <w:t xml:space="preserve">”</w:t>
      </w:r>
      <w:r>
        <w:t xml:space="preserve"> </w:t>
      </w:r>
      <w:r>
        <w:t xml:space="preserve">.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rPr>
        <w:t xml:space="preserve">categorical decision</w:t>
      </w:r>
      <w:r>
        <w:t xml:space="preserve">: rather 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p>
      <w:pPr>
        <w:pStyle w:val="Heading2"/>
      </w:pPr>
      <w:bookmarkStart w:id="24" w:name="Xc762aa355966b1fd4892cde6748a9809de69570"/>
      <w:r>
        <w:t xml:space="preserve">Multiverse analysis and specification curves</w:t>
      </w:r>
      <w:bookmarkEnd w:id="24"/>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w:t>
      </w:r>
      <w:r>
        <w:t xml:space="preserve">garden of forking paths,</w:t>
      </w:r>
      <w:r>
        <w:t xml:space="preserve">”</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w:t>
      </w:r>
      <w:r>
        <w:t xml:space="preserve"> </w:t>
      </w:r>
      <w:r>
        <w:t xml:space="preserve">.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w:t>
      </w:r>
      <w:r>
        <w:t xml:space="preserve"> </w:t>
      </w:r>
      <w:r>
        <w:t xml:space="preserve"> </w:t>
      </w:r>
      <w:r>
        <w:t xml:space="preserve">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p>
      <w:pPr>
        <w:pStyle w:val="Heading2"/>
      </w:pPr>
      <w:bookmarkStart w:id="25" w:name="Xb2e0c57c99f402f4e936f6826ba1a3899b92637"/>
      <w:r>
        <w:t xml:space="preserve">Large language models for finance, credit, and supervision</w:t>
      </w:r>
      <w:bookmarkEnd w:id="25"/>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 </w:t>
      </w:r>
      <w:r>
        <w:t xml:space="preserve">and finance-specific</w:t>
      </w:r>
      <w:r>
        <w:t xml:space="preserve"> </w:t>
      </w:r>
      <w:r>
        <w:t xml:space="preserve"> </w:t>
      </w:r>
      <w:r>
        <w:t xml:space="preserve">language models have been evaluated for</w:t>
      </w:r>
      <w:r>
        <w:t xml:space="preserve"> </w:t>
      </w:r>
      <w:r>
        <w:t xml:space="preserve">return prediction</w:t>
      </w:r>
      <w:r>
        <w:t xml:space="preserve"> </w:t>
      </w:r>
      <w:r>
        <w:t xml:space="preserve">, analysis of central-bank</w:t>
      </w:r>
      <w:r>
        <w:t xml:space="preserve"> </w:t>
      </w:r>
      <w:r>
        <w:t xml:space="preserve">communication</w:t>
      </w:r>
      <w:r>
        <w:t xml:space="preserve"> </w:t>
      </w:r>
      <w:r>
        <w:t xml:space="preserve">, risk profiling</w:t>
      </w:r>
      <w:r>
        <w:t xml:space="preserve"> </w:t>
      </w:r>
      <w:r>
        <w:t xml:space="preserve">, banking supervision</w:t>
      </w:r>
      <w:r>
        <w:t xml:space="preserve"> </w:t>
      </w:r>
      <w:r>
        <w:t xml:space="preserve">, and credit-rating prediction</w:t>
      </w:r>
      <w:r>
        <w:t xml:space="preserve"> </w:t>
      </w:r>
      <w:r>
        <w:t xml:space="preserve">.</w:t>
      </w:r>
    </w:p>
    <w:p>
      <w:pPr>
        <w:pStyle w:val="BodyText"/>
      </w:pPr>
      <w:r>
        <w:t xml:space="preserve">Much of this literature evaluates</w:t>
      </w:r>
      <w:r>
        <w:t xml:space="preserve"> </w:t>
      </w:r>
      <w:r>
        <w:rPr>
          <w:i/>
        </w:rPr>
        <w:t xml:space="preserve">capability</w:t>
      </w:r>
      <w:r>
        <w:t xml:space="preserve">: 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w:t>
      </w:r>
      <w:r>
        <w:t xml:space="preserve"> </w:t>
      </w:r>
      <w:r>
        <w:t xml:space="preserve">.</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rPr>
        <w:t xml:space="preserve">stability versus capability</w:t>
      </w:r>
      <w:r>
        <w:t xml:space="preserve">: whether the credit opinion</w:t>
      </w:r>
      <w:r>
        <w:t xml:space="preserve"> </w:t>
      </w:r>
      <w:r>
        <w:t xml:space="preserve">itself is unchanged when the information being evaluated is unchanged but the elicitation specification</w:t>
      </w:r>
      <w:r>
        <w:t xml:space="preserve"> </w:t>
      </w:r>
      <w:r>
        <w:t xml:space="preserve">differs.</w:t>
      </w:r>
    </w:p>
    <w:p>
      <w:pPr>
        <w:pStyle w:val="Heading2"/>
      </w:pPr>
      <w:bookmarkStart w:id="26" w:name="X46dbbd77e0e69055eeab036521de68d083ce3fe"/>
      <w:r>
        <w:t xml:space="preserve">Credit ratings, economic consequences, and model risk</w:t>
      </w:r>
      <w:bookmarkEnd w:id="26"/>
    </w:p>
    <w:p>
      <w:pPr>
        <w:pStyle w:val="FirstParagraph"/>
      </w:pPr>
      <w:r>
        <w:t xml:space="preserve">Quantitative credit-risk assessment has a long history. Altman’s bankruptcy-prediction framework</w:t>
      </w:r>
      <w:r>
        <w:t xml:space="preserve"> </w:t>
      </w:r>
      <w:r>
        <w:t xml:space="preserve"> </w:t>
      </w:r>
      <w:r>
        <w:t xml:space="preserve">and later probabilistic approaches such as Ohlson’s model</w:t>
      </w:r>
      <w:r>
        <w:t xml:space="preserve"> </w:t>
      </w:r>
      <w:r>
        <w:t xml:space="preserve"> </w:t>
      </w:r>
      <w:r>
        <w:t xml:space="preserve">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w:t>
      </w:r>
      <w:r>
        <w:t xml:space="preserve"> </w:t>
      </w:r>
      <w:r>
        <w:t xml:space="preserve">,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 and supervisory exercises have documented considerable dispersion in risk-weighted</w:t>
      </w:r>
      <w:r>
        <w:t xml:space="preserve"> </w:t>
      </w:r>
      <w:r>
        <w:t xml:space="preserve">assets even for common portfolios</w:t>
      </w:r>
      <w:r>
        <w:t xml:space="preserve"> </w:t>
      </w:r>
      <w:r>
        <w:t xml:space="preserve">.</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w:t>
      </w:r>
      <w:r>
        <w:t xml:space="preserve"> </w:t>
      </w:r>
      <w:r>
        <w:t xml:space="preserve">.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both through statistical disagreement and through investment-grade/high-yield rating</w:t>
      </w:r>
      <w:r>
        <w:t xml:space="preserve"> </w:t>
      </w:r>
      <w:r>
        <w:t xml:space="preserve">migration, the decision-relevant unit of the categorical credit limit.</w:t>
      </w:r>
    </w:p>
    <w:p>
      <w:pPr>
        <w:pStyle w:val="Heading1"/>
      </w:pPr>
      <w:bookmarkStart w:id="27" w:name="results"/>
      <w:r>
        <w:t xml:space="preserve">Results</w:t>
      </w:r>
      <w:bookmarkEnd w:id="27"/>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w:t>
      </w:r>
      <w:hyperlink w:anchor="tab:models">
        <w:r>
          <w:rPr>
            <w:rStyle w:val="Hyperlink"/>
          </w:rPr>
          <w:t xml:space="preserve">9</w:t>
        </w:r>
      </w:hyperlink>
      <w:r>
        <w:t xml:space="preserve">).</w:t>
      </w:r>
    </w:p>
    <w:p>
      <w:pPr>
        <w:pStyle w:val="Heading2"/>
      </w:pPr>
      <w:bookmarkStart w:id="28" w:name="sources-of-rating-variation"/>
      <w:r>
        <w:t xml:space="preserve">Sources of rating variation</w:t>
      </w:r>
      <w:bookmarkEnd w:id="28"/>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w:t>
      </w:r>
      <w:hyperlink w:anchor="tab:var">
        <w:r>
          <w:rPr>
            <w:rStyle w:val="Hyperlink"/>
          </w:rPr>
          <w:t xml:space="preserve">1</w:t>
        </w:r>
      </w:hyperlink>
      <w:r>
        <w:t xml:space="preserve">).</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 No</w:t>
      </w:r>
      <w:r>
        <w:t xml:space="preserve"> </w:t>
      </w:r>
      <w:r>
        <w:t xml:space="preserve">individual controllable elicitation choice explains more than about 5% of rating variance; the largest</w:t>
      </w:r>
      <w:r>
        <w:t xml:space="preserve"> </w:t>
      </w:r>
      <w:r>
        <w:t xml:space="preserve">measured design-axis contribution is answer presentation (</w:t>
      </w:r>
      <m:oMath>
        <m:r>
          <m:t>∼</m:t>
        </m:r>
      </m:oMath>
      <w:r>
        <w:t xml:space="preserve">4.6%, descriptive, under the assumed</w:t>
      </w:r>
      <w:r>
        <w:t xml:space="preserve"> </w:t>
      </w:r>
      <w:r>
        <w:t xml:space="preserve">main-effects model), and the model-provider main effect contributes only</w:t>
      </w:r>
      <w:r>
        <w:t xml:space="preserve"> </w:t>
      </w:r>
      <m:oMath>
        <m:r>
          <m:t>∼</m:t>
        </m:r>
      </m:oMath>
      <w:r>
        <w:t xml:space="preserve">0.3%, with a</w:t>
      </w:r>
      <w:r>
        <w:t xml:space="preserve"> </w:t>
      </w:r>
      <w:r>
        <w:t xml:space="preserve">provider-by-item interaction of</w:t>
      </w:r>
      <w:r>
        <w:t xml:space="preserve"> </w:t>
      </w:r>
      <m:oMath>
        <m:r>
          <m:t>∼</m:t>
        </m:r>
      </m:oMath>
      <w:r>
        <w:t xml:space="preserve">1.4%. The OLS residual</w:t>
      </w:r>
      <w:r>
        <w:t xml:space="preserve"> </w:t>
      </w:r>
      <w:r>
        <w:t xml:space="preserve">is</w:t>
      </w:r>
      <w:r>
        <w:t xml:space="preserve"> </w:t>
      </w:r>
      <m:oMath>
        <m:r>
          <m:t>∼</m:t>
        </m:r>
      </m:oMath>
      <w:r>
        <w:t xml:space="preserve">25%. Because a raw residual can conflate genuine run-to-run randomness with structure the model</w:t>
      </w:r>
      <w:r>
        <w:t xml:space="preserve"> </w:t>
      </w:r>
      <w:r>
        <w:t xml:space="preserve">omits, we separate the two:</w:t>
      </w:r>
      <w:r>
        <w:t xml:space="preserve"> </w:t>
      </w:r>
      <w:r>
        <w:rPr>
          <w:i/>
        </w:rPr>
        <w:t xml:space="preserve">pure within-cell seed variation</w:t>
      </w:r>
      <w:r>
        <w:t xml:space="preserve">, the variance across the three seeds</w:t>
      </w:r>
      <w:r>
        <w:t xml:space="preserve"> </w:t>
      </w:r>
      <w:r>
        <w:t xml:space="preserve">of each identical item</w:t>
      </w:r>
      <m:oMath>
        <m:r>
          <m:t>×</m:t>
        </m:r>
      </m:oMath>
      <w:r>
        <w:t xml:space="preserve">specification cell, accounts for only 8.1% of total variance (95% CI</w:t>
      </w:r>
      <w:r>
        <w:t xml:space="preserve"> </w:t>
      </w:r>
      <w:r>
        <w:t xml:space="preserve">6.4–10.8%), leaving the remaining</w:t>
      </w:r>
      <w:r>
        <w:t xml:space="preserve"> </w:t>
      </w:r>
      <m:oMath>
        <m:r>
          <m:t>∼</m:t>
        </m:r>
      </m:oMath>
      <w:r>
        <w:t xml:space="preserve">17% as variation not explained by the main-effects model.</w:t>
      </w:r>
      <w:r>
        <w:t xml:space="preserve"> </w:t>
      </w:r>
      <w:r>
        <w:t xml:space="preserve">That part of the residual is not identified as to source under this resolution-limited D-optimal design</w:t>
      </w:r>
      <w:r>
        <w:t xml:space="preserve"> </w:t>
      </w:r>
      <w:r>
        <w:t xml:space="preserve">(see Limitations): it may combine real unmodeled interactions with main effects aliased into two-factor</w:t>
      </w:r>
      <w:r>
        <w:t xml:space="preserve"> </w:t>
      </w:r>
      <w:r>
        <w:t xml:space="preserve">interactions—so we interpret it descriptively instead of attributing it to structured sensitivity.</w:t>
      </w:r>
      <w:r>
        <w:t xml:space="preserve"> </w:t>
      </w:r>
      <w:r>
        <w:t xml:space="preserve">Run-to-run sampling noise is a real but minor part of the residual.</w:t>
      </w:r>
    </w:p>
    <w:p>
      <w:pPr>
        <w:pStyle w:val="BodyText"/>
      </w:pPr>
      <w:r>
        <w:t xml:space="preserve">We report the variance the</w:t>
      </w:r>
      <w:r>
        <w:t xml:space="preserve"> </w:t>
      </w:r>
      <w:r>
        <w:t xml:space="preserve">elicitation axes explain under three alternatives (Table </w:t>
      </w:r>
      <w:hyperlink w:anchor="tab:varrange">
        <w:r>
          <w:rPr>
            <w:rStyle w:val="Hyperlink"/>
          </w:rPr>
          <w:t xml:space="preserve">2</w:t>
        </w:r>
      </w:hyperlink>
      <w:r>
        <w:t xml:space="preserve">): a main-effects-only model,</w:t>
      </w:r>
      <w:r>
        <w:t xml:space="preserve"> </w:t>
      </w:r>
      <w:r>
        <w:t xml:space="preserve">a model adding all two-way interactions, and an issuer-out-of-sample regularized version of the latter.</w:t>
      </w:r>
      <w:r>
        <w:t xml:space="preserve"> </w:t>
      </w:r>
      <w:r>
        <w:t xml:space="preserve">The apparent explained variance is dependent on the modeling choice, but is low for all three</w:t>
      </w:r>
      <w:r>
        <w:t xml:space="preserve"> </w:t>
      </w:r>
      <w:r>
        <w:t xml:space="preserve">(</w:t>
      </w:r>
      <m:oMath>
        <m:sSup>
          <m:e>
            <m:r>
              <m:t>R</m:t>
            </m:r>
          </m:e>
          <m:sup>
            <m:r>
              <m:t>2</m:t>
            </m:r>
          </m:sup>
        </m:sSup>
      </m:oMath>
      <w:r>
        <w:t xml:space="preserve"> </w:t>
      </w:r>
      <w:r>
        <w:t xml:space="preserve">between</w:t>
      </w:r>
      <w:r>
        <w:t xml:space="preserve"> </w:t>
      </w:r>
      <m:oMath>
        <m:r>
          <m:t>0.08</m:t>
        </m:r>
      </m:oMath>
      <w:r>
        <w:t xml:space="preserve"> </w:t>
      </w:r>
      <w:r>
        <w:t xml:space="preserve">and</w:t>
      </w:r>
      <w:r>
        <w:t xml:space="preserve"> </w:t>
      </w:r>
      <m:oMath>
        <m:r>
          <m:t>0.12</m:t>
        </m:r>
      </m:oMath>
      <w:r>
        <w:t xml:space="preserve">), and the in-sample gain from interactions does not fully generalize out</w:t>
      </w:r>
      <w:r>
        <w:t xml:space="preserve"> </w:t>
      </w:r>
      <w:r>
        <w:t xml:space="preserve">of sample, confirming that individual-axis attribution is not identified and that the decomposition should</w:t>
      </w:r>
      <w:r>
        <w:t xml:space="preserve"> </w:t>
      </w:r>
      <w:r>
        <w:t xml:space="preserve">be read in a descriptive way.</w:t>
      </w:r>
    </w:p>
    <w:p>
      <w:pPr>
        <w:pStyle w:val="BodyText"/>
      </w:pPr>
      <w:r>
        <w:t xml:space="preserve">These results indicate that specification sensitivity is not concentrated in a single elicitation choice</w:t>
      </w:r>
      <w:r>
        <w:t xml:space="preserve"> </w:t>
      </w:r>
      <w:r>
        <w:t xml:space="preserve">that could be avoided by simply selecting a preferred prompt, format, or provider. Instead, the observed</w:t>
      </w:r>
      <w:r>
        <w:t xml:space="preserve"> </w:t>
      </w:r>
      <w:r>
        <w:t xml:space="preserve">instability is spread across the elicitation process.</w:t>
      </w:r>
    </w:p>
    <w:p>
      <w:pPr>
        <w:pStyle w:val="BodyText"/>
      </w:pPr>
      <w:r>
        <w:t xml:space="preserve">The same pattern appears in the specification curve (Fig. </w:t>
      </w:r>
      <w:hyperlink w:anchor="fig:speccurve">
        <w:r>
          <w:rPr>
            <w:rStyle w:val="Hyperlink"/>
          </w:rPr>
          <w:t xml:space="preserve">1</w:t>
        </w:r>
      </w:hyperlink>
      <w:r>
        <w:t xml:space="preserve">). The three seeds are</w:t>
      </w:r>
      <w:r>
        <w:t xml:space="preserve"> </w:t>
      </w:r>
      <w:r>
        <w:t xml:space="preserve">pooled, and each point is a pre-registered specification, sorted by how consistently it recovers the</w:t>
      </w:r>
      <w:r>
        <w:t xml:space="preserve"> </w:t>
      </w:r>
      <w:r>
        <w:t xml:space="preserve">constructed Altman Z</w:t>
      </w:r>
      <m:oMath>
        <m:r>
          <m:t>″</m:t>
        </m:r>
      </m:oMath>
      <w:r>
        <w:t xml:space="preserve"> </w:t>
      </w:r>
      <w:r>
        <w:t xml:space="preserve">design labels. Because the profiles were constructed to satisfy those strata,</w:t>
      </w:r>
      <w:r>
        <w:t xml:space="preserve"> </w:t>
      </w:r>
      <w:r>
        <w:t xml:space="preserve">we interpret this panel as a diagnostic of design-label recovery, not external credit-rating accuracy.</w:t>
      </w:r>
      <w:r>
        <w:t xml:space="preserve"> </w:t>
      </w:r>
      <w:r>
        <w:t xml:space="preserve">Even when the basic firm profiles are the same, label recovery varies quite a bit across</w:t>
      </w:r>
      <w:r>
        <w:t xml:space="preserve"> </w:t>
      </w:r>
      <w:r>
        <w:t xml:space="preserve">defensible specs: specs split approximately 56/44 around the pre-registered majority</w:t>
      </w:r>
      <w:r>
        <w:t xml:space="preserve"> </w:t>
      </w:r>
      <w:r>
        <w:t xml:space="preserve">threshold. Thus, the specification curve shows that conclusions drawn from a single</w:t>
      </w:r>
      <w:r>
        <w:t xml:space="preserve"> </w:t>
      </w:r>
      <w:r>
        <w:t xml:space="preserve">elicitation configuration do not necessarily generalize to other plausible configurations.</w:t>
      </w:r>
    </w:p>
    <w:p>
      <w:pPr>
        <w:pStyle w:val="CaptionedFigure"/>
      </w:pPr>
      <w:bookmarkStart w:id="30" w:name="fig:speccurve"/>
      <w:r>
        <w:drawing>
          <wp:inline>
            <wp:extent cx="5334000" cy="2378675"/>
            <wp:effectExtent b="0" l="0" r="0" t="0"/>
            <wp:docPr descr="Specification curves of the machine credit rating; each point is one pre-registered specification (three seeds pooled), specifications sorted independently in each panel. (a) Design-label recovery: agreement with the constructed Altman Z'' strata (the profiles were built to satisfy these strata, so this is label recovery, not external accuracy) the specs split about 56/44 around the majority line. (b) Benchmark-free: the share of a specification’s credit elicitations rated investment grade, which needs no ground truth and ranges widely across specifications, direct evidence that the verdict, not merely its accuracy, moves with the elicitation. This is the multiverse the method is named for." title="" id="1" name="Picture"/>
            <a:graphic>
              <a:graphicData uri="http://schemas.openxmlformats.org/drawingml/2006/picture">
                <pic:pic>
                  <pic:nvPicPr>
                    <pic:cNvPr descr="fig_spec_curve.png" id="0" name="Picture"/>
                    <pic:cNvPicPr>
                      <a:picLocks noChangeArrowheads="1" noChangeAspect="1"/>
                    </pic:cNvPicPr>
                  </pic:nvPicPr>
                  <pic:blipFill>
                    <a:blip r:embed="rId29"/>
                    <a:stretch>
                      <a:fillRect/>
                    </a:stretch>
                  </pic:blipFill>
                  <pic:spPr bwMode="auto">
                    <a:xfrm>
                      <a:off x="0" y="0"/>
                      <a:ext cx="5334000" cy="2378675"/>
                    </a:xfrm>
                    <a:prstGeom prst="rect">
                      <a:avLst/>
                    </a:prstGeom>
                    <a:noFill/>
                    <a:ln w="9525">
                      <a:noFill/>
                      <a:headEnd/>
                      <a:tailEnd/>
                    </a:ln>
                  </pic:spPr>
                </pic:pic>
              </a:graphicData>
            </a:graphic>
          </wp:inline>
        </w:drawing>
      </w:r>
      <w:bookmarkEnd w:id="30"/>
    </w:p>
    <w:p>
      <w:pPr>
        <w:pStyle w:val="ImageCaption"/>
      </w:pPr>
      <w:r>
        <w:t xml:space="preserve">Specification curves of the machine credit rating; each point is one pre-registered</w:t>
      </w:r>
      <w:r>
        <w:t xml:space="preserve"> </w:t>
      </w:r>
      <w:r>
        <w:t xml:space="preserve">specification (three seeds pooled), specifications sorted independently in each panel.</w:t>
      </w:r>
      <w:r>
        <w:t xml:space="preserve"> </w:t>
      </w:r>
      <w:r>
        <w:rPr>
          <w:b/>
        </w:rPr>
        <w:t xml:space="preserve">(a)</w:t>
      </w:r>
      <w:r>
        <w:t xml:space="preserve"> </w:t>
      </w:r>
      <w:r>
        <w:t xml:space="preserve">Design-label recovery: agreement with the constructed Altman Z</w:t>
      </w:r>
      <m:oMath>
        <m:r>
          <m:t>″</m:t>
        </m:r>
      </m:oMath>
      <w:r>
        <w:t xml:space="preserve"> </w:t>
      </w:r>
      <w:r>
        <w:t xml:space="preserve">strata (the profiles were built to</w:t>
      </w:r>
      <w:r>
        <w:t xml:space="preserve"> </w:t>
      </w:r>
      <w:r>
        <w:t xml:space="preserve">satisfy these strata, so this is label recovery, not external accuracy) the specs split about</w:t>
      </w:r>
      <w:r>
        <w:t xml:space="preserve"> </w:t>
      </w:r>
      <w:r>
        <w:t xml:space="preserve">56/44 around the majority line.</w:t>
      </w:r>
      <w:r>
        <w:t xml:space="preserve"> </w:t>
      </w:r>
      <w:r>
        <w:rPr>
          <w:b/>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Start w:id="31" w:name="tab:var"/>
    <w:p>
      <w:pPr>
        <w:pStyle w:val="TableCaption"/>
      </w:pPr>
      <w:r>
        <w:t xml:space="preserve">Variance shares of the machine credit letter-rank (OLS decomposition with Type-II ANOVA;</w:t>
      </w:r>
      <w:r>
        <w:t xml:space="preserve"> </w:t>
      </w:r>
      <m:oMath>
        <m:r>
          <m:t>n</m:t>
        </m:r>
        <m:r>
          <m:t>=</m:t>
        </m:r>
        <m:r>
          <m:t>45</m:t>
        </m:r>
      </m:oMath>
      <w:r>
        <w:t xml:space="preserve"> </w:t>
      </w:r>
      <w:r>
        <w:t xml:space="preserve">items). The residual is split into pure within-cell seed variance and other unexplained variance.</w:t>
      </w:r>
      <w:r>
        <w:t xml:space="preserve"> </w:t>
      </w:r>
      <w:r>
        <w:t xml:space="preserve">Confidence intervals (profile-clustered bootstrap, 95%) are reported only for the item and pure-seed components; the per-axis shares are descriptive and carry no intervals.</w:t>
      </w:r>
    </w:p>
    <w:tbl>
      <w:tblPr>
        <w:tblStyle w:val="Table"/>
        <w:tblW w:type="pct" w:w="0.0"/>
        <w:tblLook w:firstRow="1"/>
        <w:tblCaption w:val="Variance shares of the machine credit letter-rank (OLS decomposition with Type-II ANOVA; n=45 items). The residual is split into pure within-cell seed variance and other unexplained variance. Confidence intervals (profile-clustered bootstrap, 95%) are reported only for the item and pure-seed components; the per-axis shares are descriptive and carry no intervals."/>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right"/>
            </w:pPr>
            <w:r>
              <w:t xml:space="preserve">Variance share</w:t>
            </w:r>
          </w:p>
        </w:tc>
      </w:tr>
      <w:tr>
        <w:tc>
          <w:p>
            <w:pPr>
              <w:pStyle w:val="Compact"/>
              <w:jc w:val="left"/>
            </w:pPr>
            <w:r>
              <w:t xml:space="preserve">Item (firm profile)</w:t>
            </w:r>
          </w:p>
        </w:tc>
        <w:tc>
          <w:p>
            <w:pPr>
              <w:pStyle w:val="Compact"/>
              <w:jc w:val="right"/>
            </w:pPr>
            <w:r>
              <w:t xml:space="preserve">64.9% (53.9–72.3%)</w:t>
            </w:r>
          </w:p>
        </w:tc>
      </w:tr>
      <w:tr>
        <w:tc>
          <w:p>
            <w:pPr>
              <w:pStyle w:val="Compact"/>
              <w:jc w:val="left"/>
            </w:pPr>
            <w:r>
              <w:t xml:space="preserve">Residual (total)</w:t>
            </w:r>
          </w:p>
        </w:tc>
        <w:tc>
          <w:p>
            <w:pPr>
              <w:pStyle w:val="Compact"/>
              <w:jc w:val="right"/>
            </w:pPr>
            <w:r>
              <w:t xml:space="preserve">25.2%</w:t>
            </w:r>
          </w:p>
        </w:tc>
      </w:tr>
      <w:tr>
        <w:tc>
          <w:p>
            <w:pPr>
              <w:pStyle w:val="Compact"/>
              <w:jc w:val="left"/>
            </w:pPr>
            <w:r>
              <w:t xml:space="preserve">— pure within-cell seed variation</w:t>
            </w:r>
          </w:p>
        </w:tc>
        <w:tc>
          <w:p>
            <w:pPr>
              <w:pStyle w:val="Compact"/>
              <w:jc w:val="right"/>
            </w:pPr>
            <w:r>
              <w:t xml:space="preserve">8.1% (6.4–10.8%)</w:t>
            </w:r>
          </w:p>
        </w:tc>
      </w:tr>
      <w:tr>
        <w:tc>
          <w:p>
            <w:pPr>
              <w:pStyle w:val="Compact"/>
              <w:jc w:val="left"/>
            </w:pPr>
            <w:r>
              <w:t xml:space="preserve">— other unexplained (unmodeled interactions)</w:t>
            </w:r>
          </w:p>
        </w:tc>
        <w:tc>
          <w:p>
            <w:pPr>
              <w:pStyle w:val="Compact"/>
              <w:jc w:val="right"/>
            </w:pPr>
            <m:oMath>
              <m:r>
                <m:t>∼</m:t>
              </m:r>
            </m:oMath>
            <w:r>
              <w:t xml:space="preserve">17%</w:t>
            </w:r>
          </w:p>
        </w:tc>
      </w:tr>
      <w:tr>
        <w:tc>
          <w:p>
            <w:pPr>
              <w:pStyle w:val="Compact"/>
              <w:jc w:val="left"/>
            </w:pPr>
            <w:r>
              <w:t xml:space="preserve">Answer presentation (</w:t>
            </w:r>
            <m:oMath>
              <m:sSub>
                <m:e>
                  <m:r>
                    <m:t>A</m:t>
                  </m:r>
                </m:e>
                <m:sub>
                  <m:r>
                    <m:t>7</m:t>
                  </m:r>
                </m:sub>
              </m:sSub>
            </m:oMath>
            <w:r>
              <w:t xml:space="preserve">, largest design axis)</w:t>
            </w:r>
          </w:p>
        </w:tc>
        <w:tc>
          <w:p>
            <w:pPr>
              <w:pStyle w:val="Compact"/>
              <w:jc w:val="right"/>
            </w:pPr>
            <w:r>
              <w:t xml:space="preserve">4.6%</w:t>
            </w:r>
          </w:p>
        </w:tc>
      </w:tr>
      <w:tr>
        <w:tc>
          <w:p>
            <w:pPr>
              <w:pStyle w:val="Compact"/>
              <w:jc w:val="left"/>
            </w:pPr>
            <w:r>
              <w:t xml:space="preserve">Provider</w:t>
            </w:r>
            <w:r>
              <w:t xml:space="preserve"> </w:t>
            </w:r>
            <m:oMath>
              <m:r>
                <m:t>×</m:t>
              </m:r>
            </m:oMath>
            <w:r>
              <w:t xml:space="preserve"> </w:t>
            </w:r>
            <w:r>
              <w:t xml:space="preserve">item interaction</w:t>
            </w:r>
          </w:p>
        </w:tc>
        <w:tc>
          <w:p>
            <w:pPr>
              <w:pStyle w:val="Compact"/>
              <w:jc w:val="right"/>
            </w:pPr>
            <w:r>
              <w:t xml:space="preserve">1.4%</w:t>
            </w:r>
          </w:p>
        </w:tc>
      </w:tr>
      <w:tr>
        <w:tc>
          <w:p>
            <w:pPr>
              <w:pStyle w:val="Compact"/>
              <w:jc w:val="left"/>
            </w:pPr>
            <w:r>
              <w:t xml:space="preserve">Temperature / prompt paraphrase / few-shot / format / version</w:t>
            </w:r>
          </w:p>
        </w:tc>
        <w:tc>
          <w:p>
            <w:pPr>
              <w:pStyle w:val="Compact"/>
              <w:jc w:val="right"/>
            </w:pPr>
            <m:oMath>
              <m:r>
                <m:t>≤</m:t>
              </m:r>
            </m:oMath>
            <w:r>
              <w:t xml:space="preserve">1.0% each</w:t>
            </w:r>
          </w:p>
        </w:tc>
      </w:tr>
      <w:tr>
        <w:tc>
          <w:p>
            <w:pPr>
              <w:pStyle w:val="Compact"/>
              <w:jc w:val="left"/>
            </w:pPr>
            <w:r>
              <w:t xml:space="preserve">Model provider (main effect)</w:t>
            </w:r>
          </w:p>
        </w:tc>
        <w:tc>
          <w:p>
            <w:pPr>
              <w:pStyle w:val="Compact"/>
              <w:jc w:val="right"/>
            </w:pPr>
            <w:r>
              <w:t xml:space="preserve">0.3%</w:t>
            </w:r>
          </w:p>
        </w:tc>
      </w:tr>
    </w:tbl>
    <w:bookmarkEnd w:id="31"/>
    <w:p>
      <w:pPr>
        <w:pStyle w:val="BodyText"/>
      </w:pPr>
      <w:r>
        <w:t xml:space="preserve">The item, design-axis, provider</w:t>
      </w:r>
      <m:oMath>
        <m:r>
          <m:t>×</m:t>
        </m:r>
      </m:oMath>
      <w:r>
        <w:t xml:space="preserve">item interaction, and residual shares</w:t>
      </w:r>
      <w:r>
        <w:t xml:space="preserve"> </w:t>
      </w:r>
      <w:r>
        <w:t xml:space="preserve">partition the total variance and sum to 100% up to rounding; the two indented rows are a decomposition</w:t>
      </w:r>
      <w:r>
        <w:t xml:space="preserve"> </w:t>
      </w:r>
      <w:r>
        <w:t xml:space="preserve">of the residual, not additional components. Design diagnostics: main-effect columns are near-orthogonal</w:t>
      </w:r>
      <w:r>
        <w:t xml:space="preserve"> </w:t>
      </w:r>
      <w:r>
        <w:t xml:space="preserve">(maximum off-diagonal correlation</w:t>
      </w:r>
      <w:r>
        <w:t xml:space="preserve"> </w:t>
      </w:r>
      <m:oMath>
        <m:r>
          <m:t>0.062</m:t>
        </m:r>
      </m:oMath>
      <w:r>
        <w:t xml:space="preserve">), while the maximum absolute correlation between main-effect and</w:t>
      </w:r>
      <w:r>
        <w:t xml:space="preserve"> </w:t>
      </w:r>
      <w:r>
        <w:t xml:space="preserve">two-factor-interaction columns is</w:t>
      </w:r>
      <w:r>
        <w:t xml:space="preserve"> </w:t>
      </w:r>
      <m:oMath>
        <m:r>
          <m:t>0.333</m:t>
        </m:r>
      </m:oMath>
      <w:r>
        <w:t xml:space="preserve">; non-negligible aliasing remains, so per-axis shares are</w:t>
      </w:r>
      <w:r>
        <w:t xml:space="preserve"> </w:t>
      </w:r>
      <w:r>
        <w:t xml:space="preserve">descriptive, not identified.</w:t>
      </w:r>
    </w:p>
    <w:bookmarkStart w:id="32" w:name="tab:varrange"/>
    <w:p>
      <w:pPr>
        <w:pStyle w:val="TableCaption"/>
      </w:pPr>
      <w:r>
        <w:t xml:space="preserve">Variance in the machine letter rating explained by the elicitation axes under different model</w:t>
      </w:r>
      <w:r>
        <w:t xml:space="preserve"> </w:t>
      </w:r>
      <w:r>
        <w:t xml:space="preserve">specifications (credit-health task; issuer identity removed to isolate the axes). The estimate is changing</w:t>
      </w:r>
      <w:r>
        <w:t xml:space="preserve"> </w:t>
      </w:r>
      <w:r>
        <w:t xml:space="preserve">with the model and remains small throughout. This illustrates that per-axis attribution is not identified under the design.</w:t>
      </w:r>
    </w:p>
    <w:tbl>
      <w:tblPr>
        <w:tblStyle w:val="Table"/>
        <w:tblW w:type="pct" w:w="0.0"/>
        <w:tblLook w:firstRow="1"/>
        <w:tblCaption w:val="Variance in the machine letter rating explained by the elicitation axes under different model specifications (credit-health task; issuer identity removed to isolate the axes). The estimate is changing with the model and remains small throughout. This illustrates that per-axis attribution is not identified under the design."/>
      </w:tblPr>
      <w:tblGrid/>
      <w:tr>
        <w:trPr>
          <w:cnfStyle w:firstRow="1"/>
        </w:trPr>
        <w:tc>
          <w:tcPr>
            <w:tcBorders>
              <w:bottom w:val="single"/>
            </w:tcBorders>
            <w:vAlign w:val="bottom"/>
          </w:tcPr>
          <w:p>
            <w:pPr>
              <w:pStyle w:val="Compact"/>
              <w:jc w:val="left"/>
            </w:pPr>
            <w:r>
              <w:t xml:space="preserve">Model specification</w:t>
            </w:r>
          </w:p>
        </w:tc>
        <w:tc>
          <w:tcPr>
            <w:tcBorders>
              <w:bottom w:val="single"/>
            </w:tcBorders>
            <w:vAlign w:val="bottom"/>
          </w:tcPr>
          <w:p>
            <w:pPr>
              <w:pStyle w:val="Compact"/>
              <w:jc w:val="center"/>
            </w:pPr>
            <m:oMath>
              <m:sSup>
                <m:e>
                  <m:r>
                    <m:t>R</m:t>
                  </m:r>
                </m:e>
                <m:sup>
                  <m:r>
                    <m:t>2</m:t>
                  </m:r>
                </m:sup>
              </m:sSup>
            </m:oMath>
          </w:p>
        </w:tc>
      </w:tr>
      <w:tr>
        <w:tc>
          <w:p>
            <w:pPr>
              <w:pStyle w:val="Compact"/>
              <w:jc w:val="left"/>
            </w:pPr>
            <w:r>
              <w:t xml:space="preserve">Main effects only</w:t>
            </w:r>
          </w:p>
        </w:tc>
        <w:tc>
          <w:p>
            <w:pPr>
              <w:pStyle w:val="Compact"/>
              <w:jc w:val="center"/>
            </w:pPr>
            <w:r>
              <w:t xml:space="preserve">0.083 (in-sample)</w:t>
            </w:r>
          </w:p>
        </w:tc>
      </w:tr>
      <w:tr>
        <w:tc>
          <w:p>
            <w:pPr>
              <w:pStyle w:val="Compact"/>
              <w:jc w:val="left"/>
            </w:pPr>
            <w:r>
              <w:t xml:space="preserve">Main effects</w:t>
            </w:r>
            <w:r>
              <w:t xml:space="preserve"> </w:t>
            </w:r>
            <m:oMath>
              <m:r>
                <m:t>+</m:t>
              </m:r>
            </m:oMath>
            <w:r>
              <w:t xml:space="preserve"> </w:t>
            </w:r>
            <w:r>
              <w:t xml:space="preserve">all two-way interactions</w:t>
            </w:r>
          </w:p>
        </w:tc>
        <w:tc>
          <w:p>
            <w:pPr>
              <w:pStyle w:val="Compact"/>
              <w:jc w:val="center"/>
            </w:pPr>
            <w:r>
              <w:t xml:space="preserve">0.119 (in-sample)</w:t>
            </w:r>
          </w:p>
        </w:tc>
      </w:tr>
      <w:tr>
        <w:tc>
          <w:p>
            <w:pPr>
              <w:pStyle w:val="Compact"/>
              <w:jc w:val="left"/>
            </w:pPr>
            <w:r>
              <w:t xml:space="preserve">Regularized two-way (ridge), issuer out-of-sample</w:t>
            </w:r>
          </w:p>
        </w:tc>
        <w:tc>
          <w:p>
            <w:pPr>
              <w:pStyle w:val="Compact"/>
              <w:jc w:val="center"/>
            </w:pPr>
            <w:r>
              <w:t xml:space="preserve">0.101 (5-fold, issuer group)</w:t>
            </w:r>
          </w:p>
        </w:tc>
      </w:tr>
    </w:tbl>
    <w:bookmarkEnd w:id="32"/>
    <w:p>
      <w:pPr>
        <w:pStyle w:val="Heading2"/>
      </w:pPr>
      <w:bookmarkStart w:id="33" w:name="X5c5a1aefcf1087b89aefa7fefbdfbf58adf9ad6"/>
      <w:r>
        <w:t xml:space="preserve">Specification fragility on the temperature-0-honored subgrid</w:t>
      </w:r>
      <w:bookmarkEnd w:id="33"/>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that temperature was honored: Google</w:t>
      </w:r>
      <w:r>
        <w:t xml:space="preserve"> </w:t>
      </w:r>
      <w:r>
        <w:t xml:space="preserve">at temperature 0. This temperature-0-honored subgrid sharply reduces repeated-call sampling variation but</w:t>
      </w:r>
      <w:r>
        <w:t xml:space="preserve"> </w:t>
      </w:r>
      <w:r>
        <w:t xml:space="preserve">retains substantial specification dependence. In it, 62.5% of specifications are on opposite side of the majority</w:t>
      </w:r>
      <w:r>
        <w:t xml:space="preserve"> </w:t>
      </w:r>
      <w:r>
        <w:t xml:space="preserve">label-recovery threshold, and consistency with the constructed credit-band design labels ranges from 0.36 to</w:t>
      </w:r>
      <w:r>
        <w:t xml:space="preserve"> </w:t>
      </w:r>
      <w:r>
        <w:t xml:space="preserve">0.69 across temperature-0 prompt configurations.</w:t>
      </w:r>
    </w:p>
    <w:p>
      <w:pPr>
        <w:pStyle w:val="BodyText"/>
      </w:pPr>
      <w:r>
        <w:t xml:space="preserve">A one-sided permutation test rejects the null of specification invariance of the</w:t>
      </w:r>
      <w:r>
        <w:t xml:space="preserve"> </w:t>
      </w:r>
      <w:r>
        <w:rPr>
          <w:i/>
        </w:rPr>
        <w:t xml:space="preserve">rating</w:t>
      </w:r>
      <w:r>
        <w:t xml:space="preserve"> </w:t>
      </w:r>
      <w:r>
        <w:t xml:space="preserve">itself.</w:t>
      </w:r>
      <w:r>
        <w:t xml:space="preserve"> </w:t>
      </w:r>
      <w:r>
        <w:t xml:space="preserve">The test permutes specification-condition assignments across profiles (a null of rating invariance, rather</w:t>
      </w:r>
      <w:r>
        <w:t xml:space="preserve"> </w:t>
      </w:r>
      <w:r>
        <w:t xml:space="preserve">than permuting accuracy labels), with the statistic the between-specification spread of the item-centred</w:t>
      </w:r>
      <w:r>
        <w:t xml:space="preserve"> </w:t>
      </w:r>
      <w:r>
        <w:t xml:space="preserve">letter grade. On the temperature-0-honored Google subgrid, the observed spread is</w:t>
      </w:r>
      <w:r>
        <w:t xml:space="preserve"> </w:t>
      </w:r>
      <m:oMath>
        <m:r>
          <m:t>1.59</m:t>
        </m:r>
      </m:oMath>
      <w:r>
        <w:t xml:space="preserve"> </w:t>
      </w:r>
      <w:r>
        <w:t xml:space="preserve">notches, versus</w:t>
      </w:r>
      <w:r>
        <w:t xml:space="preserve"> </w:t>
      </w:r>
      <w:r>
        <w:t xml:space="preserve">a permutation-null mean of</w:t>
      </w:r>
      <w:r>
        <w:t xml:space="preserve"> </w:t>
      </w:r>
      <m:oMath>
        <m:r>
          <m:t>0.18</m:t>
        </m:r>
      </m:oMath>
      <w:r>
        <w:t xml:space="preserve"> </w:t>
      </w:r>
      <w:r>
        <w:t xml:space="preserve">notches and standard deviation</w:t>
      </w:r>
      <w:r>
        <w:t xml:space="preserve"> </w:t>
      </w:r>
      <m:oMath>
        <m:r>
          <m:t>0.050</m:t>
        </m:r>
      </m:oMath>
      <w:r>
        <w:t xml:space="preserve"> </w:t>
      </w:r>
      <w:r>
        <w:t xml:space="preserve">notches; across</w:t>
      </w:r>
      <w:r>
        <w:t xml:space="preserve"> </w:t>
      </w:r>
      <m:oMath>
        <m:r>
          <m:t>2</m:t>
        </m:r>
        <m:r>
          <m:t>,</m:t>
        </m:r>
        <m:r>
          <m:t>000</m:t>
        </m:r>
      </m:oMath>
      <w:r>
        <w:t xml:space="preserve"> </w:t>
      </w:r>
      <w:r>
        <w:t xml:space="preserve">permutations</w:t>
      </w:r>
      <w:r>
        <w:t xml:space="preserve"> </w:t>
      </w:r>
      <w:r>
        <w:t xml:space="preserve">none achieved the value observed, giving</w:t>
      </w:r>
      <w:r>
        <w:t xml:space="preserve"> </w:t>
      </w:r>
      <m:oMath>
        <m:r>
          <m:t>p</m:t>
        </m:r>
        <m:r>
          <m:t>=</m:t>
        </m:r>
        <m:r>
          <m:t>0.0005</m:t>
        </m:r>
      </m:oMath>
      <w:r>
        <w:t xml:space="preserve"> </w:t>
      </w:r>
      <w:r>
        <w:t xml:space="preserve">(specification</w:t>
      </w:r>
      <w:r>
        <w:t xml:space="preserve"> </w:t>
      </w:r>
      <m:oMath>
        <m:sSup>
          <m:e>
            <m:r>
              <m:t>η</m:t>
            </m:r>
          </m:e>
          <m:sup>
            <m:r>
              <m:t>2</m:t>
            </m:r>
          </m:sup>
        </m:sSup>
        <m:r>
          <m:t>=</m:t>
        </m:r>
        <m:r>
          <m:t>0.46</m:t>
        </m:r>
      </m:oMath>
      <w:r>
        <w:t xml:space="preserve"> </w:t>
      </w:r>
      <w:r>
        <w:t xml:space="preserve">on the item-centred</w:t>
      </w:r>
      <w:r>
        <w:t xml:space="preserve"> </w:t>
      </w:r>
      <w:r>
        <w:t xml:space="preserve">rating, a specification-level aggregate not comparable to the individual-rating partition of</w:t>
      </w:r>
      <w:r>
        <w:t xml:space="preserve"> </w:t>
      </w:r>
      <w:r>
        <w:t xml:space="preserve">Table </w:t>
      </w:r>
      <w:hyperlink w:anchor="tab:var">
        <w:r>
          <w:rPr>
            <w:rStyle w:val="Hyperlink"/>
          </w:rPr>
          <w:t xml:space="preserve">1</w:t>
        </w:r>
      </w:hyperlink>
      <w:r>
        <w:t xml:space="preserve">). Holding temperature at 0 thus removes much of the run-to-run jitter but does not eliminate</w:t>
      </w:r>
      <w:r>
        <w:t xml:space="preserve"> </w:t>
      </w:r>
      <w:r>
        <w:t xml:space="preserve">sensitivity to prompt and presentation choices; indeed, the specification-curve flip share within the</w:t>
      </w:r>
      <w:r>
        <w:t xml:space="preserve"> </w:t>
      </w:r>
      <w:r>
        <w:t xml:space="preserve">temperature-0-honored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p>
      <w:pPr>
        <w:pStyle w:val="Heading2"/>
      </w:pPr>
      <w:bookmarkStart w:id="34" w:name="sec:agreement"/>
      <w:r>
        <w:t xml:space="preserve">Agreement within and between providers</w:t>
      </w:r>
      <w:bookmarkEnd w:id="34"/>
    </w:p>
    <w:p>
      <w:pPr>
        <w:pStyle w:val="FirstParagraph"/>
      </w:pPr>
      <w:r>
        <w:t xml:space="preserve">The small provider main effect might suggest that provider choice does not matter much. 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 ratings; a 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p>
      <w:pPr>
        <w:pStyle w:val="Heading2"/>
      </w:pPr>
      <w:bookmarkStart w:id="35" w:name="stability-across-rating-resolutions"/>
      <w:r>
        <w:t xml:space="preserve">Stability across rating resolutions</w:t>
      </w:r>
      <w:bookmarkEnd w:id="35"/>
    </w:p>
    <w:p>
      <w:pPr>
        <w:pStyle w:val="FirstParagraph"/>
      </w:pPr>
      <w:r>
        <w:t xml:space="preserve">Credit ratings are inherently hierarchical. A model may not reproduce an exact letter grade yet still</w:t>
      </w:r>
      <w:r>
        <w:t xml:space="preserve"> </w:t>
      </w:r>
      <w:r>
        <w:t xml:space="preserve">express a stable broader assessment. We therefore assess cross-specification agreement as we move from</w:t>
      </w:r>
      <w:r>
        <w:t xml:space="preserve"> </w:t>
      </w:r>
      <w:r>
        <w:t xml:space="preserve">the full 21-grade letter-rating scale to notch categories, three broad credit bands, and the binary</w:t>
      </w:r>
      <w:r>
        <w:t xml:space="preserve"> </w:t>
      </w:r>
      <w:r>
        <w:t xml:space="preserve">investment-grade/high-yield distinction (the deterministic mappings are given in Table </w:t>
      </w:r>
      <w:hyperlink w:anchor="tab:map">
        <w:r>
          <w:rPr>
            <w:rStyle w:val="Hyperlink"/>
          </w:rPr>
          <w:t xml:space="preserve">8</w:t>
        </w:r>
      </w:hyperlink>
      <w:r>
        <w:t xml:space="preserve">).</w:t>
      </w:r>
    </w:p>
    <w:p>
      <w:pPr>
        <w:pStyle w:val="BodyText"/>
      </w:pPr>
      <w:r>
        <w:t xml:space="preserve">Agreement improves as the scale is coarsened but does not become fully stable. Raw cross-specification</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w:t>
      </w:r>
      <w:hyperlink w:anchor="fig:ighy">
        <w:r>
          <w:rPr>
            <w:rStyle w:val="Hyperlink"/>
          </w:rPr>
          <w:t xml:space="preserve">2</w:t>
        </w:r>
      </w:hyperlink>
      <w:r>
        <w:t xml:space="preserve">).</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w:t>
      </w:r>
      <w:hyperlink w:anchor="fig:kappa">
        <w:r>
          <w:rPr>
            <w:rStyle w:val="Hyperlink"/>
          </w:rPr>
          <w:t xml:space="preserve">3</w:t>
        </w:r>
      </w:hyperlink>
      <w:r>
        <w:t xml:space="preserve">). No evaluated rating resolution meets the</w:t>
      </w:r>
      <w:r>
        <w:t xml:space="preserve"> </w:t>
      </w:r>
      <w:r>
        <w:t xml:space="preserve">conventional threshold for substantial agreement (</w:t>
      </w:r>
      <m:oMath>
        <m:r>
          <m:t>κ</m:t>
        </m:r>
        <m: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t>+</m:t>
        </m:r>
      </m:oMath>
      <w:r>
        <w:t xml:space="preserve"> </w:t>
      </w:r>
      <w:r>
        <w:t xml:space="preserve">disagreement as heavily</w:t>
      </w:r>
      <w:r>
        <w:t xml:space="preserve"> </w:t>
      </w:r>
      <w:r>
        <w:t xml:space="preserve">as AAA-versus-C, we also report ordinal-weighted agreement on the letter-rank scale: 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 boundary; the 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 firms: the mean</w:t>
      </w:r>
      <w:r>
        <w:t xml:space="preserve"> </w:t>
      </w:r>
      <w:r>
        <w:rPr>
          <w:i/>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r>
        <w:t xml:space="preserve"> </w:t>
      </w:r>
      <w:r>
        <w:t xml:space="preserve">The flip is elevated in the near-boundary WATCH stratum, but when we treat distance from the boundary</w:t>
      </w:r>
      <w:r>
        <w:t xml:space="preserve"> </w:t>
      </w:r>
      <w:r>
        <w:t xml:space="preserve">continuously it does not decline monotonically with that distance (Spearman between per-item flip and</w:t>
      </w:r>
      <w:r>
        <w:t xml:space="preserve"> </w:t>
      </w:r>
      <m:oMath>
        <m:r>
          <m:t>|</m:t>
        </m:r>
      </m:oMath>
      <w:r>
        <w:t xml:space="preserve">Z</w:t>
      </w:r>
      <m:oMath>
        <m:r>
          <m:t>″</m:t>
        </m:r>
        <m:r>
          <m:t>−</m:t>
        </m:r>
        <m:r>
          <m:t>2.60</m:t>
        </m:r>
        <m:r>
          <m:t>|</m:t>
        </m:r>
      </m:oMath>
      <w:r>
        <w:t xml:space="preserve"> </w:t>
      </w:r>
      <w:r>
        <w:t xml:space="preserve">is</w:t>
      </w:r>
      <w:r>
        <w:t xml:space="preserve"> </w:t>
      </w:r>
      <m:oMath>
        <m:r>
          <m:t>−</m:t>
        </m:r>
        <m:r>
          <m:t>0.05</m:t>
        </m:r>
      </m:oMath>
      <w:r>
        <w:t xml:space="preserve">), so the instability is broadly distributed across the credit spectrum rather</w:t>
      </w:r>
      <w:r>
        <w:t xml:space="preserve"> </w:t>
      </w:r>
      <w:r>
        <w:t xml:space="preserve">than confined to a narrow near-boundary band.</w:t>
      </w:r>
    </w:p>
    <w:p>
      <w:pPr>
        <w:pStyle w:val="CaptionedFigure"/>
      </w:pPr>
      <w:bookmarkStart w:id="37" w:name="fig:ighy"/>
      <w:r>
        <w:drawing>
          <wp:inline>
            <wp:extent cx="5118100" cy="3098800"/>
            <wp:effectExtent b="0" l="0" r="0" t="0"/>
            <wp:docPr descr="Share of matched elicitation pairs whose credit verdicts differ, by rating granularity, where the two elicitations of a firm may differ on any grid axis (provider, model version, temperature, paraphrase, format, few-shot, presentation) and seed. Even at the coarse investment-grade/high-yield split, the most consequential line in credit, about 25% of matched pairs disagree." title="" id="1" name="Picture"/>
            <a:graphic>
              <a:graphicData uri="http://schemas.openxmlformats.org/drawingml/2006/picture">
                <pic:pic>
                  <pic:nvPicPr>
                    <pic:cNvPr descr="figure1_ighy.pdf" id="0" name="Picture"/>
                    <pic:cNvPicPr>
                      <a:picLocks noChangeArrowheads="1" noChangeAspect="1"/>
                    </pic:cNvPicPr>
                  </pic:nvPicPr>
                  <pic:blipFill>
                    <a:blip r:embed="rId36"/>
                    <a:stretch>
                      <a:fillRect/>
                    </a:stretch>
                  </pic:blipFill>
                  <pic:spPr bwMode="auto">
                    <a:xfrm>
                      <a:off x="0" y="0"/>
                      <a:ext cx="5118100" cy="3098800"/>
                    </a:xfrm>
                    <a:prstGeom prst="rect">
                      <a:avLst/>
                    </a:prstGeom>
                    <a:noFill/>
                    <a:ln w="9525">
                      <a:noFill/>
                      <a:headEnd/>
                      <a:tailEnd/>
                    </a:ln>
                  </pic:spPr>
                </pic:pic>
              </a:graphicData>
            </a:graphic>
          </wp:inline>
        </w:drawing>
      </w:r>
      <w:bookmarkEnd w:id="37"/>
    </w:p>
    <w:p>
      <w:pPr>
        <w:pStyle w:val="ImageCaption"/>
      </w:pPr>
      <w:r>
        <w:t xml:space="preserve">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w:t>
      </w:r>
    </w:p>
    <w:p>
      <w:pPr>
        <w:pStyle w:val="CaptionedFigure"/>
      </w:pPr>
      <w:bookmarkStart w:id="39" w:name="fig:kappa"/>
      <w:r>
        <w:drawing>
          <wp:inline>
            <wp:extent cx="5118100" cy="3098800"/>
            <wp:effectExtent b="0" l="0" r="0" t="0"/>
            <wp:docPr descr="Chance-corrected cross-specification agreement (unweighted Fleiss \kappa) by granularity; agreement peaks at 0.49 on the IG/HY split and no resolution reaches the \kappa=0.6 substantial threshold under unweighted scoring. Ordinal weighting raises letter-scale agreement (Krippendorff’s \alpha=0.65 quadratic), but the binary IG/HY flip is unaffected by weighting." title="" id="1" name="Picture"/>
            <a:graphic>
              <a:graphicData uri="http://schemas.openxmlformats.org/drawingml/2006/picture">
                <pic:pic>
                  <pic:nvPicPr>
                    <pic:cNvPr descr="figureA_kappa.pdf" id="0" name="Picture"/>
                    <pic:cNvPicPr>
                      <a:picLocks noChangeArrowheads="1" noChangeAspect="1"/>
                    </pic:cNvPicPr>
                  </pic:nvPicPr>
                  <pic:blipFill>
                    <a:blip r:embed="rId38"/>
                    <a:stretch>
                      <a:fillRect/>
                    </a:stretch>
                  </pic:blipFill>
                  <pic:spPr bwMode="auto">
                    <a:xfrm>
                      <a:off x="0" y="0"/>
                      <a:ext cx="5118100" cy="3098800"/>
                    </a:xfrm>
                    <a:prstGeom prst="rect">
                      <a:avLst/>
                    </a:prstGeom>
                    <a:noFill/>
                    <a:ln w="9525">
                      <a:noFill/>
                      <a:headEnd/>
                      <a:tailEnd/>
                    </a:ln>
                  </pic:spPr>
                </pic:pic>
              </a:graphicData>
            </a:graphic>
          </wp:inline>
        </w:drawing>
      </w:r>
      <w:bookmarkEnd w:id="39"/>
    </w:p>
    <w:p>
      <w:pPr>
        <w:pStyle w:val="ImageCaption"/>
      </w:pPr>
      <w:r>
        <w:t xml:space="preserve">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t>=</m:t>
        </m:r>
        <m:r>
          <m:t>0.65</m:t>
        </m:r>
      </m:oMath>
      <w:r>
        <w:t xml:space="preserve"> </w:t>
      </w:r>
      <w:r>
        <w:t xml:space="preserve">quadratic), but the binary IG/HY flip is unaffected by weighting.</w:t>
      </w:r>
    </w:p>
    <w:p>
      <w:pPr>
        <w:pStyle w:val="Heading2"/>
      </w:pPr>
      <w:bookmarkStart w:id="40" w:name="X03bd0237bfbf0239e1d22cff0fbcb8743ebdc41"/>
      <w:r>
        <w:t xml:space="preserve">Migration from investment-grade to high-yield</w:t>
      </w:r>
      <w:bookmarkEnd w:id="40"/>
    </w:p>
    <w:p>
      <w:pPr>
        <w:pStyle w:val="FirstParagraph"/>
      </w:pPr>
      <w:r>
        <w:t xml:space="preserve">Statistical disagreement is economically important when alternative specifications produce decisions on</w:t>
      </w:r>
      <w:r>
        <w:t xml:space="preserve"> </w:t>
      </w:r>
      <w:r>
        <w:t xml:space="preserve">opposite sides of material credit boundaries. The observed rating instability is understood as the</w:t>
      </w:r>
      <w:r>
        <w:t xml:space="preserve"> </w:t>
      </w:r>
      <w:r>
        <w:t xml:space="preserve">decision-relevant unit of investment-grade/high-yield migration.</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 an investment-grade/high-yield flip rate of 25.2% (95% CI 19.7–31.2%): about a quarter of</w:t>
      </w:r>
      <w:r>
        <w:t xml:space="preserve"> </w:t>
      </w:r>
      <w:r>
        <w:t xml:space="preserve">matched ratings for the same underlying credit profile disagree on which side of the investment-grade</w:t>
      </w:r>
      <w:r>
        <w:t xml:space="preserve"> </w:t>
      </w:r>
      <w:r>
        <w:t xml:space="preserve">boundary the profile falls (Table </w:t>
      </w:r>
      <w:hyperlink w:anchor="tab:frag">
        <w:r>
          <w:rPr>
            <w:rStyle w:val="Hyperlink"/>
          </w:rPr>
          <w:t xml:space="preserve">3</w:t>
        </w:r>
      </w:hyperlink>
      <w:r>
        <w:t xml:space="preserve">). Because the boundary governs index eligibility,</w:t>
      </w:r>
      <w:r>
        <w:t xml:space="preserve"> </w:t>
      </w:r>
      <w:r>
        <w:t xml:space="preserve">mandate constraints, collateral treatment, and cost of financing, migration of this magnitude driven</w:t>
      </w:r>
      <w:r>
        <w:t xml:space="preserve"> </w:t>
      </w:r>
      <w:r>
        <w:t xml:space="preserve">solely by the elicitation specification is economically consequential.</w:t>
      </w:r>
    </w:p>
    <w:bookmarkStart w:id="41" w:name="tab:frag"/>
    <w:p>
      <w:pPr>
        <w:pStyle w:val="TableCaption"/>
      </w:pPr>
      <w:r>
        <w:t xml:space="preserve">Fragility in decision and rating units. Parenthetical values are 95% confidence intervals</w:t>
      </w:r>
      <w:r>
        <w:t xml:space="preserve"> </w:t>
      </w:r>
      <w:r>
        <w:t xml:space="preserve">(profile-clustered percentile bootstrapping)</w:t>
      </w:r>
    </w:p>
    <w:tbl>
      <w:tblPr>
        <w:tblStyle w:val="Table"/>
        <w:tblW w:type="pct" w:w="0.0"/>
        <w:tblLook w:firstRow="1"/>
        <w:tblCaption w:val="Fragility in decision and rating units. Parenthetical values are 95% confidence intervals (profile-clustered percentile bootstrapping)"/>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right"/>
            </w:pPr>
            <w:r>
              <w:t xml:space="preserve">Result</w:t>
            </w:r>
          </w:p>
        </w:tc>
      </w:tr>
      <w:tr>
        <w:tc>
          <w:p>
            <w:pPr>
              <w:pStyle w:val="Compact"/>
              <w:jc w:val="left"/>
            </w:pPr>
            <w:r>
              <w:t xml:space="preserve">Specifications flipping majority credit</w:t>
            </w:r>
            <w:r>
              <w:t xml:space="preserve"> </w:t>
            </w:r>
            <w:r>
              <w:rPr>
                <w:i/>
              </w:rPr>
              <w:t xml:space="preserve">band</w:t>
            </w:r>
            <w:r>
              <w:t xml:space="preserve"> </w:t>
            </w:r>
            <w:r>
              <w:t xml:space="preserve">verdict (pooled / determ.)</w:t>
            </w:r>
          </w:p>
        </w:tc>
        <w:tc>
          <w:p>
            <w:pPr>
              <w:pStyle w:val="Compact"/>
              <w:jc w:val="right"/>
            </w:pPr>
            <m:oMath>
              <m:r>
                <m:t>∼</m:t>
              </m:r>
            </m:oMath>
            <w:r>
              <w:t xml:space="preserve">56% / 62.5%</w:t>
            </w:r>
          </w:p>
        </w:tc>
      </w:tr>
      <w:tr>
        <w:tc>
          <w:p>
            <w:pPr>
              <w:pStyle w:val="Compact"/>
              <w:jc w:val="left"/>
            </w:pPr>
            <w:r>
              <w:t xml:space="preserve">Design-label recovery range, temperature-0-honored subgrid</w:t>
            </w:r>
          </w:p>
        </w:tc>
        <w:tc>
          <w:p>
            <w:pPr>
              <w:pStyle w:val="Compact"/>
              <w:jc w:val="right"/>
            </w:pPr>
            <w:r>
              <w:t xml:space="preserve">0.36–0.69</w:t>
            </w:r>
          </w:p>
        </w:tc>
      </w:tr>
      <w:tr>
        <w:tc>
          <w:p>
            <w:pPr>
              <w:pStyle w:val="Compact"/>
              <w:jc w:val="left"/>
            </w:pPr>
            <w:r>
              <w:t xml:space="preserve">Permutation test, temperature-0-honored subgrid (rating-invariance null)</w:t>
            </w:r>
          </w:p>
        </w:tc>
        <w:tc>
          <w:p>
            <w:pPr>
              <w:pStyle w:val="Compact"/>
              <w:jc w:val="right"/>
            </w:pPr>
            <m:oMath>
              <m:r>
                <m:t>p</m:t>
              </m:r>
              <m:r>
                <m:t>=</m:t>
              </m:r>
              <m:r>
                <m:t>0.0005</m:t>
              </m:r>
            </m:oMath>
            <w:r>
              <w:t xml:space="preserve"> </w:t>
            </w:r>
            <w:r>
              <w:t xml:space="preserve">(2</w:t>
            </w:r>
            <w:r>
              <w:t xml:space="preserve">,</w:t>
            </w:r>
            <w:r>
              <w:t xml:space="preserve">000 perms)</w:t>
            </w:r>
          </w:p>
        </w:tc>
      </w:tr>
      <w:tr>
        <w:tc>
          <w:p>
            <w:pPr>
              <w:pStyle w:val="Compact"/>
              <w:jc w:val="left"/>
            </w:pPr>
            <w:r>
              <w:t xml:space="preserve">Within- vs cross-provider agreement (band / letter)</w:t>
            </w:r>
          </w:p>
        </w:tc>
        <w:tc>
          <w:p>
            <w:pPr>
              <w:pStyle w:val="Compact"/>
              <w:jc w:val="right"/>
            </w:pPr>
            <w:r>
              <w:t xml:space="preserve">82.5/64.4</w:t>
            </w:r>
            <w:r>
              <w:t xml:space="preserve"> </w:t>
            </w:r>
            <m:oMath>
              <m:r>
                <m:t>⋅</m:t>
              </m:r>
            </m:oMath>
            <w:r>
              <w:t xml:space="preserve"> </w:t>
            </w:r>
            <w:r>
              <w:t xml:space="preserve">30.4/11.1</w:t>
            </w:r>
          </w:p>
        </w:tc>
      </w:tr>
      <w:tr>
        <w:tc>
          <w:p>
            <w:pPr>
              <w:pStyle w:val="Compact"/>
              <w:jc w:val="left"/>
            </w:pPr>
            <w:r>
              <w:t xml:space="preserve">Max chance-corrected agreement (Fleiss</w:t>
            </w:r>
            <w:r>
              <w:t xml:space="preserve"> </w:t>
            </w:r>
            <m:oMath>
              <m:r>
                <m:t>κ</m:t>
              </m:r>
            </m:oMath>
            <w:r>
              <w:t xml:space="preserve">, IG/HY)</w:t>
            </w:r>
          </w:p>
        </w:tc>
        <w:tc>
          <w:p>
            <w:pPr>
              <w:pStyle w:val="Compact"/>
              <w:jc w:val="right"/>
            </w:pPr>
            <w:r>
              <w:t xml:space="preserve">0.49 (no scale</w:t>
            </w:r>
            <w:r>
              <w:t xml:space="preserve"> </w:t>
            </w:r>
            <m:oMath>
              <m:r>
                <m:t>≥</m:t>
              </m:r>
              <m:r>
                <m:t>0.6</m:t>
              </m:r>
            </m:oMath>
            <w:r>
              <w:t xml:space="preserve">)</w:t>
            </w:r>
          </w:p>
        </w:tc>
      </w:tr>
      <w:tr>
        <w:tc>
          <w:p>
            <w:pPr>
              <w:pStyle w:val="Compact"/>
              <w:jc w:val="left"/>
            </w:pPr>
            <w:r>
              <w:t xml:space="preserve">Per-comparison IG/HY boundary flip</w:t>
            </w:r>
          </w:p>
        </w:tc>
        <w:tc>
          <w:p>
            <w:pPr>
              <w:pStyle w:val="Compact"/>
              <w:jc w:val="right"/>
            </w:pPr>
            <w:r>
              <w:t xml:space="preserve">25.2% (95% CI 19.7–31.2%)</w:t>
            </w:r>
          </w:p>
        </w:tc>
      </w:tr>
    </w:tbl>
    <w:bookmarkEnd w:id="41"/>
    <w:p>
      <w:pPr>
        <w:pStyle w:val="Heading2"/>
      </w:pPr>
      <w:bookmarkStart w:id="42" w:name="sec:realarm"/>
      <w:r>
        <w:t xml:space="preserve">Illustrative check on perturbed and fingerprint-screened real issuers</w:t>
      </w:r>
      <w:bookmarkEnd w:id="42"/>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 problem: an LLM may recognize a company from publicly</w:t>
      </w:r>
      <w:r>
        <w:t xml:space="preserve"> </w:t>
      </w:r>
      <w:r>
        <w:t xml:space="preserve">available financial figures even when the company name is removed.</w:t>
      </w:r>
    </w:p>
    <w:p>
      <w:pPr>
        <w:pStyle w:val="BodyText"/>
      </w:pPr>
      <w:r>
        <w:t xml:space="preserve">We test this possibility, and then use the real issuers as a descriptive external check. 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retained perturbed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t>−</m:t>
        </m:r>
        <m:r>
          <m:t>0.091</m:t>
        </m:r>
      </m:oMath>
      <w:r>
        <w:t xml:space="preserve"> </w:t>
      </w:r>
      <w:r>
        <w:t xml:space="preserve">(95% CI</w:t>
      </w:r>
      <w:r>
        <w:t xml:space="preserve"> </w:t>
      </w:r>
      <m:oMath>
        <m:r>
          <m:t>−</m:t>
        </m:r>
        <m:r>
          <m:t>0.213</m:t>
        </m:r>
      </m:oMath>
      <w:r>
        <w:t xml:space="preserve"> </w:t>
      </w:r>
      <w:r>
        <w:t xml:space="preserve">to</w:t>
      </w:r>
      <w:r>
        <w:t xml:space="preserve"> </w:t>
      </w:r>
      <m:oMath>
        <m:r>
          <m:t>0.032</m:t>
        </m:r>
      </m:oMath>
      <w:r>
        <w:t xml:space="preserve">; Table </w:t>
      </w:r>
      <w:hyperlink w:anchor="tab:realarm">
        <w:r>
          <w:rPr>
            <w:rStyle w:val="Hyperlink"/>
          </w:rPr>
          <w:t xml:space="preserve">4</w:t>
        </w:r>
      </w:hyperlink>
      <w:r>
        <w:t xml:space="preserve">), not statistically distinguishable from zero. We treat this arm as an</w:t>
      </w:r>
      <w:r>
        <w:t xml:space="preserve"> </w:t>
      </w:r>
      <w:r>
        <w:t xml:space="preserve">illustrative external-validity check, presented descriptively: specification variation is also observed</w:t>
      </w:r>
      <w:r>
        <w:t xml:space="preserve"> </w:t>
      </w:r>
      <w:r>
        <w:t xml:space="preserve">in the perturbed and fingerprint-screened real issuers under the same elicitation conditions, but the small sample (16 real, 15</w:t>
      </w:r>
      <w:r>
        <w:t xml:space="preserve"> </w:t>
      </w:r>
      <w:r>
        <w:t xml:space="preserve">battery WATCH observations) cannot establish that its magnitude equals the constructed battery’s.</w:t>
      </w:r>
    </w:p>
    <w:p>
      <w:pPr>
        <w:pStyle w:val="BodyText"/>
      </w:pPr>
      <w:r>
        <w:t xml:space="preserve">We also discuss the relevant concern that the perturbation-and-screening procedure or the selection of the external</w:t>
      </w:r>
      <w:r>
        <w:t xml:space="preserve"> </w:t>
      </w:r>
      <w:r>
        <w:t xml:space="preserve">benchmark may be driving the result. First, the per-issuer scaling is uniform, meaning all financial</w:t>
      </w:r>
      <w:r>
        <w:t xml:space="preserve"> </w:t>
      </w:r>
      <w:r>
        <w:t xml:space="preserve">ratios and the Altman Z</w:t>
      </w:r>
      <m:oMath>
        <m:r>
          <m:t>″</m:t>
        </m:r>
      </m:oMath>
      <w:r>
        <w:t xml:space="preserve"> </w:t>
      </w:r>
      <w:r>
        <w:t xml:space="preserve">are invariant by construction (Z</w:t>
      </w:r>
      <m:oMath>
        <m:r>
          <m:t>″</m:t>
        </m:r>
      </m:oMath>
      <w:r>
        <w:t xml:space="preserve"> </w:t>
      </w:r>
      <w:r>
        <w:t xml:space="preserve">transformed-vs-original correlation</w:t>
      </w:r>
      <w:r>
        <w:t xml:space="preserve"> </w:t>
      </w:r>
      <m:oMath>
        <m:r>
          <m:t>1.000000</m:t>
        </m:r>
      </m:oMath>
      <w:r>
        <w:t xml:space="preserve">;</w:t>
      </w:r>
      <w:r>
        <w:t xml:space="preserve"> </w:t>
      </w:r>
      <m:oMath>
        <m:r>
          <m:t>100</m:t>
        </m:r>
        <m:r>
          <m:t>%</m:t>
        </m:r>
      </m:oMath>
      <w:r>
        <w:t xml:space="preserve"> </w:t>
      </w:r>
      <w:r>
        <w:t xml:space="preserve">of issuers retain their original stratum), and the realized scale factors, which span</w:t>
      </w:r>
      <w:r>
        <w:t xml:space="preserve"> </w:t>
      </w:r>
      <w:r>
        <w:t xml:space="preserve">the full pre-registered</w:t>
      </w:r>
      <w:r>
        <w:t xml:space="preserve"> </w:t>
      </w:r>
      <m:oMath>
        <m:r>
          <m:t>[</m:t>
        </m:r>
        <m:r>
          <m:t>0.6</m:t>
        </m:r>
        <m:r>
          <m:t>,</m:t>
        </m:r>
        <m:r>
          <m:t>1.7</m:t>
        </m:r>
        <m:r>
          <m:t>]</m:t>
        </m:r>
      </m:oMath>
      <w:r>
        <w:t xml:space="preserve"> </w:t>
      </w:r>
      <w:r>
        <w:t xml:space="preserve">range across the 31 issuers, show no association with per-issuer</w:t>
      </w:r>
      <w:r>
        <w:t xml:space="preserve"> </w:t>
      </w:r>
      <w:r>
        <w:t xml:space="preserve">instability or rating level (Spearman</w:t>
      </w:r>
      <w:r>
        <w:t xml:space="preserve"> </w:t>
      </w:r>
      <m:oMath>
        <m:r>
          <m:t>−</m:t>
        </m:r>
        <m:r>
          <m:t>0.035</m:t>
        </m:r>
      </m:oMath>
      <w:r>
        <w:t xml:space="preserve">, permutation</w:t>
      </w:r>
      <w:r>
        <w:t xml:space="preserve"> </w:t>
      </w:r>
      <m:oMath>
        <m:r>
          <m:t>p</m:t>
        </m:r>
        <m:r>
          <m:t>=</m:t>
        </m:r>
        <m:r>
          <m:t>0.85</m:t>
        </m:r>
      </m:oMath>
      <w:r>
        <w:t xml:space="preserve">); a single draw per issuer means</w:t>
      </w:r>
      <w:r>
        <w:t xml:space="preserve"> </w:t>
      </w:r>
      <w:r>
        <w:t xml:space="preserve">scale is confounded with issuer identity, so we read this as within-support evidence rather than a</w:t>
      </w:r>
      <w:r>
        <w:t xml:space="preserve"> </w:t>
      </w:r>
      <w:r>
        <w:t xml:space="preserve">scale-invariance proof. Second, using the disclosed agency ratings as an external benchmark not used to</w:t>
      </w:r>
      <w:r>
        <w:t xml:space="preserve"> </w:t>
      </w:r>
      <w:r>
        <w:t xml:space="preserve">construct the profiles, per-specification credit-band accuracy on the real issuers (the SAFE and WATCH</w:t>
      </w:r>
      <w:r>
        <w:t xml:space="preserve"> </w:t>
      </w:r>
      <w:r>
        <w:t xml:space="preserve">strata, i.e. 30 of the 31 issuers; the single DISTRESS issuer is a singleton excluded from this</w:t>
      </w:r>
      <w:r>
        <w:t xml:space="preserve"> </w:t>
      </w:r>
      <w:r>
        <w:t xml:space="preserve">three-band accuracy comparison) ranges from</w:t>
      </w:r>
      <w:r>
        <w:t xml:space="preserve"> </w:t>
      </w:r>
      <m:oMath>
        <m:r>
          <m:t>42.2</m:t>
        </m:r>
        <m:r>
          <m:t>%</m:t>
        </m:r>
      </m:oMath>
      <w:r>
        <w:t xml:space="preserve"> </w:t>
      </w:r>
      <w:r>
        <w:t xml:space="preserve">to</w:t>
      </w:r>
      <w:r>
        <w:t xml:space="preserve"> </w:t>
      </w:r>
      <m:oMath>
        <m:r>
          <m:t>61.1</m:t>
        </m:r>
        <m:r>
          <m:t>%</m:t>
        </m:r>
      </m:oMath>
      <w:r>
        <w:t xml:space="preserve"> </w:t>
      </w:r>
      <w:r>
        <w:t xml:space="preserve">across the 12 specifications (mean</w:t>
      </w:r>
      <w:r>
        <w:t xml:space="preserve"> </w:t>
      </w:r>
      <m:oMath>
        <m:r>
          <m:t>53.7</m:t>
        </m:r>
        <m:r>
          <m:t>%</m:t>
        </m:r>
      </m:oMath>
      <w:r>
        <w:t xml:space="preserve">); an issuer-preserving permutation test (specification</w:t>
      </w:r>
      <w:r>
        <w:t xml:space="preserve"> </w:t>
      </w:r>
      <w:r>
        <w:t xml:space="preserve">labels permuted within issuer) finds this between-specification spread beyond chance (</w:t>
      </w:r>
      <m:oMath>
        <m:r>
          <m:t>p</m:t>
        </m:r>
        <m:r>
          <m:t>=</m:t>
        </m:r>
        <m:r>
          <m:t>0.021</m:t>
        </m:r>
      </m:oMath>
      <w:r>
        <w:t xml:space="preserve">). Specification</w:t>
      </w:r>
      <w:r>
        <w:t xml:space="preserve"> </w:t>
      </w:r>
      <w:r>
        <w:t xml:space="preserve">sensitivity is therefore visible against a genuinely external benchmark, not only against the constructed</w:t>
      </w:r>
      <w:r>
        <w:t xml:space="preserve"> </w:t>
      </w:r>
      <w:r>
        <w:t xml:space="preserve">labels. Machine-generated credit bands correspond to disclosed agency ratings</w:t>
      </w:r>
      <w:r>
        <w:t xml:space="preserve"> </w:t>
      </w:r>
      <w:r>
        <w:t xml:space="preserve">about</w:t>
      </w:r>
      <w:r>
        <w:t xml:space="preserve"> </w:t>
      </w:r>
      <m:oMath>
        <m:r>
          <m:t>54</m:t>
        </m:r>
        <m:r>
          <m:t>%</m:t>
        </m:r>
      </m:oMath>
      <w:r>
        <w:t xml:space="preserve"> </w:t>
      </w:r>
      <w:r>
        <w:t xml:space="preserve">of the time, above the</w:t>
      </w:r>
      <w:r>
        <w:t xml:space="preserve"> </w:t>
      </w:r>
      <m:oMath>
        <m:r>
          <m:t>∼</m:t>
        </m:r>
      </m:oMath>
      <w:r>
        <w:t xml:space="preserve">33% expected by chance on 3 bands but far from reliable</w:t>
      </w:r>
      <w:r>
        <w:t xml:space="preserve"> </w:t>
      </w:r>
      <w:r>
        <w:t xml:space="preserve">accord.</w:t>
      </w:r>
    </w:p>
    <w:bookmarkStart w:id="43" w:name="tab:realarm"/>
    <w:p>
      <w:pPr>
        <w:pStyle w:val="TableCaption"/>
      </w:pPr>
      <w:r>
        <w:t xml:space="preserve">Real-firm arm: 31 perturbed and fingerprint-screened business-to-business issuers, agency-rating benchmark.</w:t>
      </w:r>
      <w:r>
        <w:t xml:space="preserve"> </w:t>
      </w:r>
      <w:r>
        <w:t xml:space="preserve">Parenthetical values are 95% confidence intervals (issuer-clustered percentile bootstrap).</w:t>
      </w:r>
    </w:p>
    <w:tbl>
      <w:tblPr>
        <w:tblStyle w:val="Table"/>
        <w:tblW w:type="pct" w:w="0.0"/>
        <w:tblLook w:firstRow="1"/>
        <w:tblCaption w:val="Real-firm arm: 31 perturbed and fingerprint-screened business-to-business issuers, agency-rating benchmark. Parenthetical values are 95% confidence intervals (issuer-clustered percentile bootstrap)."/>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right"/>
            </w:pPr>
            <w:r>
              <w:t xml:space="preserve">Result</w:t>
            </w:r>
          </w:p>
        </w:tc>
      </w:tr>
      <w:tr>
        <w:tc>
          <w:p>
            <w:pPr>
              <w:pStyle w:val="Compact"/>
              <w:jc w:val="left"/>
            </w:pPr>
            <w:r>
              <w:t xml:space="preserve">Fingerprint identification, naive (exact figures)</w:t>
            </w:r>
          </w:p>
        </w:tc>
        <w:tc>
          <w:p>
            <w:pPr>
              <w:pStyle w:val="Compact"/>
              <w:jc w:val="right"/>
            </w:pPr>
            <w:r>
              <w:t xml:space="preserve">22%</w:t>
            </w:r>
          </w:p>
        </w:tc>
      </w:tr>
      <w:tr>
        <w:tc>
          <w:p>
            <w:pPr>
              <w:pStyle w:val="Compact"/>
              <w:jc w:val="left"/>
            </w:pPr>
            <w:r>
              <w:t xml:space="preserve">Fingerprint identification, after perturbation and screening</w:t>
            </w:r>
          </w:p>
        </w:tc>
        <w:tc>
          <w:p>
            <w:pPr>
              <w:pStyle w:val="Compact"/>
              <w:jc w:val="right"/>
            </w:pPr>
            <w:r>
              <w:t xml:space="preserve">2.9%</w:t>
            </w:r>
          </w:p>
        </w:tc>
      </w:tr>
      <w:tr>
        <w:tc>
          <w:p>
            <w:pPr>
              <w:pStyle w:val="Compact"/>
              <w:jc w:val="left"/>
            </w:pPr>
            <w:r>
              <w:t xml:space="preserve">WATCH-stratum flip-share, real arm</w:t>
            </w:r>
          </w:p>
        </w:tc>
        <w:tc>
          <w:p>
            <w:pPr>
              <w:pStyle w:val="Compact"/>
              <w:jc w:val="right"/>
            </w:pPr>
            <w:r>
              <w:t xml:space="preserve">0.226 (0.147–0.308)</w:t>
            </w:r>
          </w:p>
        </w:tc>
      </w:tr>
      <w:tr>
        <w:tc>
          <w:p>
            <w:pPr>
              <w:pStyle w:val="Compact"/>
              <w:jc w:val="left"/>
            </w:pPr>
            <w:r>
              <w:t xml:space="preserve">WATCH-stratum flip-share, battery (same 12 specs)</w:t>
            </w:r>
          </w:p>
        </w:tc>
        <w:tc>
          <w:p>
            <w:pPr>
              <w:pStyle w:val="Compact"/>
              <w:jc w:val="right"/>
            </w:pPr>
            <w:r>
              <w:t xml:space="preserve">0.318 (0.223–0.406)</w:t>
            </w:r>
          </w:p>
        </w:tc>
      </w:tr>
      <w:tr>
        <w:tc>
          <w:p>
            <w:pPr>
              <w:pStyle w:val="Compact"/>
              <w:jc w:val="left"/>
            </w:pPr>
            <w:r>
              <w:t xml:space="preserve">Difference (real</w:t>
            </w:r>
            <w:r>
              <w:t xml:space="preserve"> </w:t>
            </w:r>
            <m:oMath>
              <m:r>
                <m:t>−</m:t>
              </m:r>
            </m:oMath>
            <w:r>
              <w:t xml:space="preserve"> </w:t>
            </w:r>
            <w:r>
              <w:t xml:space="preserve">battery), 95% CI</w:t>
            </w:r>
          </w:p>
        </w:tc>
        <w:tc>
          <w:p>
            <w:pPr>
              <w:pStyle w:val="Compact"/>
              <w:jc w:val="right"/>
            </w:pPr>
            <m:oMath>
              <m:r>
                <m:t>−</m:t>
              </m:r>
              <m:r>
                <m:t>0.091</m:t>
              </m:r>
            </m:oMath>
            <w:r>
              <w:t xml:space="preserve"> </w:t>
            </w:r>
            <w:r>
              <w:t xml:space="preserve">(</w:t>
            </w:r>
            <m:oMath>
              <m:r>
                <m:t>−</m:t>
              </m:r>
              <m:r>
                <m:t>0.213</m:t>
              </m:r>
            </m:oMath>
            <w:r>
              <w:t xml:space="preserve">,</w:t>
            </w:r>
            <w:r>
              <w:t xml:space="preserve"> </w:t>
            </w:r>
            <m:oMath>
              <m:r>
                <m:t>0.032</m:t>
              </m:r>
            </m:oMath>
            <w:r>
              <w:t xml:space="preserve">)</w:t>
            </w:r>
          </w:p>
        </w:tc>
      </w:tr>
      <w:tr>
        <w:tc>
          <w:p>
            <w:pPr>
              <w:pStyle w:val="Compact"/>
              <w:jc w:val="left"/>
            </w:pPr>
            <w:r>
              <w:t xml:space="preserve">external-benchmark spec. curve, per-spec accuracy range</w:t>
            </w:r>
          </w:p>
        </w:tc>
        <w:tc>
          <w:p>
            <w:pPr>
              <w:pStyle w:val="Compact"/>
              <w:jc w:val="right"/>
            </w:pPr>
            <w:r>
              <w:t xml:space="preserve">42.2–61.1% (spread perm.</w:t>
            </w:r>
            <w:r>
              <w:t xml:space="preserve"> </w:t>
            </w:r>
            <m:oMath>
              <m:r>
                <m:t>p</m:t>
              </m:r>
              <m:r>
                <m:t>=</m:t>
              </m:r>
              <m:r>
                <m:t>0.021</m:t>
              </m:r>
            </m:oMath>
            <w:r>
              <w:t xml:space="preserve">)</w:t>
            </w:r>
          </w:p>
        </w:tc>
      </w:tr>
      <w:tr>
        <w:tc>
          <w:p>
            <w:pPr>
              <w:pStyle w:val="Compact"/>
              <w:jc w:val="left"/>
            </w:pPr>
            <w:r>
              <w:t xml:space="preserve">Interpretation</w:t>
            </w:r>
          </w:p>
        </w:tc>
        <w:tc>
          <w:p>
            <w:pPr>
              <w:pStyle w:val="Compact"/>
              <w:jc w:val="right"/>
            </w:pPr>
            <w:r>
              <w:t xml:space="preserve">illustrative external check, presented descriptively</w:t>
            </w:r>
          </w:p>
        </w:tc>
      </w:tr>
      <w:tr>
        <w:tc>
          <w:p>
            <w:pPr>
              <w:pStyle w:val="Compact"/>
              <w:jc w:val="left"/>
            </w:pPr>
            <w:r>
              <w:t xml:space="preserve">Machine band vs. disclosed agency rating (descriptive)</w:t>
            </w:r>
          </w:p>
        </w:tc>
        <w:tc>
          <w:p>
            <w:pPr>
              <w:pStyle w:val="Compact"/>
              <w:jc w:val="right"/>
            </w:pPr>
            <w:r>
              <w:t xml:space="preserve">54% (</w:t>
            </w:r>
            <m:oMath>
              <m:r>
                <m:t>∼</m:t>
              </m:r>
            </m:oMath>
            <w:r>
              <w:t xml:space="preserve">33% chance)</w:t>
            </w:r>
          </w:p>
        </w:tc>
      </w:tr>
    </w:tbl>
    <w:bookmarkEnd w:id="43"/>
    <w:p>
      <w:pPr>
        <w:pStyle w:val="Heading2"/>
      </w:pPr>
      <w:bookmarkStart w:id="44" w:name="sec:tier"/>
      <w:r>
        <w:t xml:space="preserve">Robustness across model tiers (post-hoc)</w:t>
      </w:r>
      <w:bookmarkEnd w:id="44"/>
    </w:p>
    <w:p>
      <w:pPr>
        <w:pStyle w:val="FirstParagraph"/>
      </w:pPr>
      <w:r>
        <w:t xml:space="preserve">This analysis is</w:t>
      </w:r>
      <w:r>
        <w:t xml:space="preserve"> </w:t>
      </w:r>
      <w:r>
        <w:rPr>
          <w:i/>
        </w:rPr>
        <w:t xml:space="preserve">post-hoc</w:t>
      </w:r>
      <w:r>
        <w:t xml:space="preserve">: it was not part of the pre-registered design and was carried out in a</w:t>
      </w:r>
      <w:r>
        <w:t xml:space="preserve"> </w:t>
      </w:r>
      <w:r>
        <w:t xml:space="preserve">separate run after the confirmatory corpus was frozen,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t>−</m:t>
        </m:r>
        <m:r>
          <m:t>1.1</m:t>
        </m:r>
      </m:oMath>
      <w:r>
        <w:t xml:space="preserve"> </w:t>
      </w:r>
      <w:r>
        <w:t xml:space="preserve">percentage points (95% CI</w:t>
      </w:r>
      <w:r>
        <w:t xml:space="preserve"> </w:t>
      </w:r>
      <m:oMath>
        <m:r>
          <m:t>−</m:t>
        </m:r>
        <m:r>
          <m:t>7.6</m:t>
        </m:r>
      </m:oMath>
      <w:r>
        <w:t xml:space="preserve"> </w:t>
      </w:r>
      <w:r>
        <w:t xml:space="preserve">to</w:t>
      </w:r>
      <w:r>
        <w:t xml:space="preserve"> </w:t>
      </w:r>
      <m:oMath>
        <m:r>
          <m:t>+</m:t>
        </m:r>
        <m:r>
          <m:t>6.0</m:t>
        </m:r>
      </m:oMath>
      <w:r>
        <w:t xml:space="preserve">), not distinguishable from zero</w:t>
      </w:r>
      <w:r>
        <w:t xml:space="preserve"> </w:t>
      </w:r>
      <w:r>
        <w:t xml:space="preserve">(Table </w:t>
      </w:r>
      <w:hyperlink w:anchor="tab:tier">
        <w:r>
          <w:rPr>
            <w:rStyle w:val="Hyperlink"/>
          </w:rPr>
          <w:t xml:space="preserve">5</w:t>
        </w:r>
      </w:hyperlink>
      <w:r>
        <w:t xml:space="preserve">). The three-way band flip is likewise statistically indistinguishable</w:t>
      </w:r>
      <w:r>
        <w:t xml:space="preserve"> </w:t>
      </w:r>
      <w:r>
        <w:t xml:space="preserve">(</w:t>
      </w:r>
      <m:oMath>
        <m:r>
          <m:t>−</m:t>
        </m:r>
        <m:r>
          <m:t>5.3</m:t>
        </m:r>
      </m:oMath>
      <w:r>
        <w:t xml:space="preserve"> </w:t>
      </w:r>
      <w:r>
        <w:t xml:space="preserve">points; 95% CI</w:t>
      </w:r>
      <w:r>
        <w:t xml:space="preserve"> </w:t>
      </w:r>
      <m:oMath>
        <m:r>
          <m:t>−</m:t>
        </m:r>
        <m:r>
          <m:t>11.9</m:t>
        </m:r>
      </m:oMath>
      <w:r>
        <w:t xml:space="preserve"> </w:t>
      </w:r>
      <w:r>
        <w:t xml:space="preserve">to</w:t>
      </w:r>
      <w:r>
        <w:t xml:space="preserve"> </w:t>
      </w:r>
      <m:oMath>
        <m: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consistent across elicitation choices. We do not detect attenuation of specification sensitivity at the</w:t>
      </w:r>
      <w:r>
        <w:t xml:space="preserve"> </w:t>
      </w:r>
      <w:r>
        <w:t xml:space="preserve">flagship tier: the paired difference is small and statistically indistinguishable from zero, with a wide</w:t>
      </w:r>
      <w:r>
        <w:t xml:space="preserve"> </w:t>
      </w:r>
      <w:r>
        <w:t xml:space="preserve">interval (</w:t>
      </w:r>
      <m:oMath>
        <m:r>
          <m:t>−</m:t>
        </m:r>
        <m:r>
          <m:t>1.1</m:t>
        </m:r>
      </m:oMath>
      <w:r>
        <w:t xml:space="preserve"> </w:t>
      </w:r>
      <w:r>
        <w:t xml:space="preserve">pp, 95% CI</w:t>
      </w:r>
      <w:r>
        <w:t xml:space="preserve"> </w:t>
      </w:r>
      <m:oMath>
        <m:r>
          <m:t>−</m:t>
        </m:r>
        <m:r>
          <m:t>7.6</m:t>
        </m:r>
      </m:oMath>
      <w:r>
        <w:t xml:space="preserve"> </w:t>
      </w:r>
      <w:r>
        <w:t xml:space="preserve">to</w:t>
      </w:r>
      <w:r>
        <w:t xml:space="preserve"> </w:t>
      </w:r>
      <m:oMath>
        <m:r>
          <m:t>+</m:t>
        </m:r>
        <m:r>
          <m:t>6.0</m:t>
        </m:r>
      </m:oMath>
      <w:r>
        <w:t xml:space="preserve">). This is an absence-of-evidence result, not evidence of</w:t>
      </w:r>
      <w:r>
        <w:t xml:space="preserve"> </w:t>
      </w:r>
      <w:r>
        <w:t xml:space="preserve">absence, and is consistent with the instability being a property of how the categorical judgment is</w:t>
      </w:r>
      <w:r>
        <w:t xml:space="preserve"> </w:t>
      </w:r>
      <w:r>
        <w:t xml:space="preserve">elicited rather than of model scale.</w:t>
      </w:r>
    </w:p>
    <w:p>
      <w:pPr>
        <w:pStyle w:val="BodyText"/>
      </w:pPr>
      <w:r>
        <w:t xml:space="preserve">Two caveats attach to this comparison. First, the pooled figure masks provider heterogeneity: the</w:t>
      </w:r>
      <w:r>
        <w:t xml:space="preserve"> </w:t>
      </w:r>
      <w:r>
        <w:t xml:space="preserve">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do not recover the built</w:t>
      </w:r>
      <w:r>
        <w:t xml:space="preserve"> </w:t>
      </w:r>
      <w:r>
        <w:t xml:space="preserve">Altman labels more often despite being easier to meet: flagship design-label recovery is 36.7% compared to 44.3% for</w:t>
      </w:r>
      <w:r>
        <w:t xml:space="preserve"> </w:t>
      </w:r>
      <w:r>
        <w:t xml:space="preserve">nano/flash, so the 21-point investment-grade leniency shift reflects a more permissive rating posture,</w:t>
      </w:r>
      <w:r>
        <w:t xml:space="preserve"> </w:t>
      </w:r>
      <w:r>
        <w:t xml:space="preserve">less close correspondence with the constructed labels.</w:t>
      </w:r>
    </w:p>
    <w:bookmarkStart w:id="45" w:name="tab:tier"/>
    <w:p>
      <w:pPr>
        <w:pStyle w:val="TableCaption"/>
      </w:pPr>
      <w:r>
        <w:t xml:space="preserve">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profile-clustered bootstrap confidence intervals. The difference is paired by item.</w:t>
      </w:r>
    </w:p>
    <w:tbl>
      <w:tblPr>
        <w:tblStyle w:val="Table"/>
        <w:tblW w:type="pct" w:w="0.0"/>
        <w:tblLook w:firstRow="1"/>
        <w:tblCaption w:val="Model-tier robustness (post-hoc; not pre-registered): per-comparison flip share on the same frozen 12-specification grid (45 credit-health items, three seeds). Parenthetical values are 95% profile-clustered bootstrap confidence intervals. The difference is paired by item."/>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center"/>
            </w:pPr>
            <w:r>
              <w:t xml:space="preserve">Nano/flash</w:t>
            </w:r>
          </w:p>
        </w:tc>
        <w:tc>
          <w:tcPr>
            <w:tcBorders>
              <w:bottom w:val="single"/>
            </w:tcBorders>
            <w:vAlign w:val="bottom"/>
          </w:tcPr>
          <w:p>
            <w:pPr>
              <w:pStyle w:val="Compact"/>
              <w:jc w:val="center"/>
            </w:pPr>
            <w:r>
              <w:t xml:space="preserve">Flagship</w:t>
            </w:r>
          </w:p>
        </w:tc>
        <w:tc>
          <w:tcPr>
            <w:tcBorders>
              <w:bottom w:val="single"/>
            </w:tcBorders>
            <w:vAlign w:val="bottom"/>
          </w:tcPr>
          <w:p>
            <w:pPr>
              <w:pStyle w:val="Compact"/>
              <w:jc w:val="center"/>
            </w:pPr>
            <w:r>
              <w:t xml:space="preserve">Difference (95% CI)</w:t>
            </w:r>
          </w:p>
        </w:tc>
      </w:tr>
      <w:tr>
        <w:tc>
          <w:p>
            <w:pPr>
              <w:pStyle w:val="Compact"/>
              <w:jc w:val="left"/>
            </w:pPr>
            <w:r>
              <w:t xml:space="preserve">IG/HY flip (pooled)</w:t>
            </w:r>
          </w:p>
        </w:tc>
        <w:tc>
          <w:p>
            <w:pPr>
              <w:pStyle w:val="Compact"/>
              <w:jc w:val="center"/>
            </w:pPr>
            <w:r>
              <w:t xml:space="preserve">24.7% (19.1–30.6)</w:t>
            </w:r>
          </w:p>
        </w:tc>
        <w:tc>
          <w:p>
            <w:pPr>
              <w:pStyle w:val="Compact"/>
              <w:jc w:val="center"/>
            </w:pPr>
            <w:r>
              <w:t xml:space="preserve">23.6% (19.4–27.8)</w:t>
            </w:r>
          </w:p>
        </w:tc>
        <w:tc>
          <w:p>
            <w:pPr>
              <w:pStyle w:val="Compact"/>
              <w:jc w:val="center"/>
            </w:pPr>
            <m:oMath>
              <m:r>
                <m:t>−</m:t>
              </m:r>
              <m:r>
                <m:t>1.1</m:t>
              </m:r>
            </m:oMath>
            <w:r>
              <w:t xml:space="preserve"> </w:t>
            </w:r>
            <w:r>
              <w:t xml:space="preserve">(</w:t>
            </w:r>
            <m:oMath>
              <m:r>
                <m:t>−</m:t>
              </m:r>
              <m:r>
                <m:t>7.6</m:t>
              </m:r>
            </m:oMath>
            <w:r>
              <w:t xml:space="preserve">,</w:t>
            </w:r>
            <w:r>
              <w:t xml:space="preserve"> </w:t>
            </w:r>
            <m:oMath>
              <m:r>
                <m:t>+</m:t>
              </m:r>
              <m:r>
                <m:t>6.0</m:t>
              </m:r>
            </m:oMath>
            <w:r>
              <w:t xml:space="preserve">)</w:t>
            </w:r>
          </w:p>
        </w:tc>
      </w:tr>
      <w:tr>
        <w:tc>
          <w:p>
            <w:pPr>
              <w:pStyle w:val="Compact"/>
              <w:jc w:val="left"/>
            </w:pPr>
            <w:r>
              <w:t xml:space="preserve">IG/HY flip, OpenAI</w:t>
            </w:r>
          </w:p>
        </w:tc>
        <w:tc>
          <w:p>
            <w:pPr>
              <w:pStyle w:val="Compact"/>
              <w:jc w:val="center"/>
            </w:pPr>
            <w:r>
              <w:t xml:space="preserve">17.3%</w:t>
            </w:r>
          </w:p>
        </w:tc>
        <w:tc>
          <w:p>
            <w:pPr>
              <w:pStyle w:val="Compact"/>
              <w:jc w:val="center"/>
            </w:pPr>
            <w:r>
              <w:t xml:space="preserve">26.7%</w:t>
            </w:r>
          </w:p>
        </w:tc>
        <w:tc>
          <w:p/>
        </w:tc>
      </w:tr>
      <w:tr>
        <w:tc>
          <w:p>
            <w:pPr>
              <w:pStyle w:val="Compact"/>
              <w:jc w:val="left"/>
            </w:pPr>
            <w:r>
              <w:t xml:space="preserve">IG/HY flip, Google</w:t>
            </w:r>
          </w:p>
        </w:tc>
        <w:tc>
          <w:p>
            <w:pPr>
              <w:pStyle w:val="Compact"/>
              <w:jc w:val="center"/>
            </w:pPr>
            <w:r>
              <w:t xml:space="preserve">20.5%</w:t>
            </w:r>
          </w:p>
        </w:tc>
        <w:tc>
          <w:p>
            <w:pPr>
              <w:pStyle w:val="Compact"/>
              <w:jc w:val="center"/>
            </w:pPr>
            <w:r>
              <w:t xml:space="preserve">16.7%</w:t>
            </w:r>
          </w:p>
        </w:tc>
        <w:tc>
          <w:p/>
        </w:tc>
      </w:tr>
      <w:tr>
        <w:tc>
          <w:p>
            <w:pPr>
              <w:pStyle w:val="Compact"/>
              <w:jc w:val="left"/>
            </w:pPr>
            <w:r>
              <w:t xml:space="preserve">Three-way band flip</w:t>
            </w:r>
          </w:p>
        </w:tc>
        <w:tc>
          <w:p>
            <w:pPr>
              <w:pStyle w:val="Compact"/>
              <w:jc w:val="center"/>
            </w:pPr>
            <w:r>
              <w:t xml:space="preserve">30.5%</w:t>
            </w:r>
          </w:p>
        </w:tc>
        <w:tc>
          <w:p>
            <w:pPr>
              <w:pStyle w:val="Compact"/>
              <w:jc w:val="center"/>
            </w:pPr>
            <w:r>
              <w:t xml:space="preserve">25.2%</w:t>
            </w:r>
          </w:p>
        </w:tc>
        <w:tc>
          <w:p>
            <w:pPr>
              <w:pStyle w:val="Compact"/>
              <w:jc w:val="center"/>
            </w:pPr>
            <m:oMath>
              <m:r>
                <m:t>−</m:t>
              </m:r>
              <m:r>
                <m:t>5.3</m:t>
              </m:r>
            </m:oMath>
            <w:r>
              <w:t xml:space="preserve"> </w:t>
            </w:r>
            <w:r>
              <w:t xml:space="preserve">(</w:t>
            </w:r>
            <m:oMath>
              <m:r>
                <m:t>−</m:t>
              </m:r>
              <m:r>
                <m:t>11.9</m:t>
              </m:r>
            </m:oMath>
            <w:r>
              <w:t xml:space="preserve">,</w:t>
            </w:r>
            <w:r>
              <w:t xml:space="preserve"> </w:t>
            </w:r>
            <m:oMath>
              <m:r>
                <m:t>+</m:t>
              </m:r>
              <m:r>
                <m:t>1.3</m:t>
              </m:r>
            </m:oMath>
            <w:r>
              <w:t xml:space="preserve">)</w:t>
            </w:r>
          </w:p>
        </w:tc>
      </w:tr>
      <w:tr>
        <w:tc>
          <w:p>
            <w:pPr>
              <w:pStyle w:val="Compact"/>
              <w:jc w:val="left"/>
            </w:pPr>
            <w:r>
              <w:t xml:space="preserve">Design-label recovery vs Altman</w:t>
            </w:r>
          </w:p>
        </w:tc>
        <w:tc>
          <w:p>
            <w:pPr>
              <w:pStyle w:val="Compact"/>
              <w:jc w:val="center"/>
            </w:pPr>
            <w:r>
              <w:t xml:space="preserve">44.3%</w:t>
            </w:r>
          </w:p>
        </w:tc>
        <w:tc>
          <w:p>
            <w:pPr>
              <w:pStyle w:val="Compact"/>
              <w:jc w:val="center"/>
            </w:pPr>
            <w:r>
              <w:t xml:space="preserve">36.7%</w:t>
            </w:r>
          </w:p>
        </w:tc>
        <w:tc>
          <w:p/>
        </w:tc>
      </w:tr>
      <w:tr>
        <w:tc>
          <w:p>
            <w:pPr>
              <w:pStyle w:val="Compact"/>
              <w:jc w:val="left"/>
            </w:pPr>
            <w:r>
              <w:t xml:space="preserve">IG rate (leniency)</w:t>
            </w:r>
          </w:p>
        </w:tc>
        <w:tc>
          <w:p>
            <w:pPr>
              <w:pStyle w:val="Compact"/>
              <w:jc w:val="center"/>
            </w:pPr>
            <w:r>
              <w:t xml:space="preserve">58.6%</w:t>
            </w:r>
          </w:p>
        </w:tc>
        <w:tc>
          <w:p>
            <w:pPr>
              <w:pStyle w:val="Compact"/>
              <w:jc w:val="center"/>
            </w:pPr>
            <w:r>
              <w:t xml:space="preserve">79.9%</w:t>
            </w:r>
          </w:p>
        </w:tc>
        <w:tc>
          <w:p/>
        </w:tc>
      </w:tr>
      <w:tr>
        <w:tc>
          <w:p/>
        </w:tc>
        <w:tc>
          <w:p/>
        </w:tc>
        <w:tc>
          <w:p/>
        </w:tc>
        <w:tc>
          <w:p/>
        </w:tc>
      </w:tr>
      <w:tr>
        <w:tc>
          <w:p/>
        </w:tc>
        <w:tc>
          <w:p/>
        </w:tc>
        <w:tc>
          <w:p/>
        </w:tc>
        <w:tc>
          <w:p/>
        </w:tc>
      </w:tr>
      <w:tr>
        <w:tc>
          <w:p/>
        </w:tc>
        <w:tc>
          <w:p/>
        </w:tc>
        <w:tc>
          <w:p/>
        </w:tc>
        <w:tc>
          <w:p/>
        </w:tc>
      </w:tr>
      <w:tr>
        <w:tc>
          <w:p/>
        </w:tc>
        <w:tc>
          <w:p/>
        </w:tc>
        <w:tc>
          <w:p/>
        </w:tc>
        <w:tc>
          <w:p/>
        </w:tc>
      </w:tr>
    </w:tbl>
    <w:bookmarkEnd w:id="45"/>
    <w:p>
      <w:pPr>
        <w:pStyle w:val="Heading2"/>
      </w:pPr>
      <w:bookmarkStart w:id="46" w:name="sec:reasoning"/>
      <w:r>
        <w:t xml:space="preserve">Model class robustness: a reasoning architecture (post-hoc)</w:t>
      </w:r>
      <w:bookmarkEnd w:id="46"/>
    </w:p>
    <w:p>
      <w:pPr>
        <w:pStyle w:val="FirstParagraph"/>
      </w:pPr>
      <w:r>
        <w:t xml:space="preserve">This analysis is</w:t>
      </w:r>
      <w:r>
        <w:t xml:space="preserve"> </w:t>
      </w:r>
      <w:r>
        <w:rPr>
          <w:i/>
        </w:rPr>
        <w:t xml:space="preserve">post-hoc</w:t>
      </w:r>
      <w:r>
        <w:t xml:space="preserve">: it was not pre-registered and was collected in a separate run to address</w:t>
      </w:r>
      <w:r>
        <w:t xml:space="preserve"> </w:t>
      </w:r>
      <w:r>
        <w:t xml:space="preserve">the worry that instability could be resolved by an explicit reasoning pipeline. We ran the frozen</w:t>
      </w:r>
      <w:r>
        <w:t xml:space="preserve"> </w:t>
      </w:r>
      <w:r>
        <w:t xml:space="preserve">12-specification grid over the 45 credit-health profiles at three seeds on an open-weight model with a</w:t>
      </w:r>
      <w:r>
        <w:t xml:space="preserve"> </w:t>
      </w:r>
      <w:r>
        <w:t xml:space="preserve">native chain-of-thought, DeepSeek-R1 (via the OpenRouter API; frozen under</w:t>
      </w:r>
      <w:r>
        <w:t xml:space="preserve"> </w:t>
      </w:r>
      <w:r>
        <w:rPr>
          <w:rStyle w:val="VerbatimChar"/>
        </w:rPr>
        <w:t xml:space="preserve">MANIFEST_REASONING.sha256</w:t>
      </w:r>
      <w:r>
        <w:t xml:space="preserve">), adding a third model family and reasoning architecture. Because a</w:t>
      </w:r>
      <w:r>
        <w:t xml:space="preserve"> </w:t>
      </w:r>
      <w:r>
        <w:t xml:space="preserve">single model instantiates the grid, this arm exercises the three non-provider axes (paraphrase, output</w:t>
      </w:r>
      <w:r>
        <w:t xml:space="preserve"> </w:t>
      </w:r>
      <w:r>
        <w:t xml:space="preserve">format, presentation) and holds the fourth grid axis, provider, constant.</w:t>
      </w:r>
    </w:p>
    <w:p>
      <w:pPr>
        <w:pStyle w:val="BodyText"/>
      </w:pPr>
      <w:r>
        <w:t xml:space="preserve">The per-comparison IG/HY flip is 25.5% (95% CI 20.9–30.1%), and the paired difference against the</w:t>
      </w:r>
      <w:r>
        <w:t xml:space="preserve"> </w:t>
      </w:r>
      <w:r>
        <w:t xml:space="preserve">nano/flash tier is</w:t>
      </w:r>
      <w:r>
        <w:t xml:space="preserve"> </w:t>
      </w:r>
      <m:oMath>
        <m:r>
          <m:t>+</m:t>
        </m:r>
        <m:r>
          <m:t>0.9</m:t>
        </m:r>
      </m:oMath>
      <w:r>
        <w:t xml:space="preserve"> </w:t>
      </w:r>
      <w:r>
        <w:t xml:space="preserve">percentage points (95% CI</w:t>
      </w:r>
      <w:r>
        <w:t xml:space="preserve"> </w:t>
      </w:r>
      <m:oMath>
        <m:r>
          <m:t>−</m:t>
        </m:r>
        <m:r>
          <m:t>7.0</m:t>
        </m:r>
      </m:oMath>
      <w:r>
        <w:t xml:space="preserve"> </w:t>
      </w:r>
      <w:r>
        <w:t xml:space="preserve">to</w:t>
      </w:r>
      <w:r>
        <w:t xml:space="preserve"> </w:t>
      </w:r>
      <m:oMath>
        <m:r>
          <m:t>+</m:t>
        </m:r>
        <m:r>
          <m:t>8.8</m:t>
        </m:r>
      </m:oMath>
      <w:r>
        <w:t xml:space="preserve">), indistinguishable from zero</w:t>
      </w:r>
      <w:r>
        <w:t xml:space="preserve"> </w:t>
      </w:r>
      <w:r>
        <w:t xml:space="preserve">(Table </w:t>
      </w:r>
      <w:hyperlink w:anchor="tab:reason">
        <w:r>
          <w:rPr>
            <w:rStyle w:val="Hyperlink"/>
          </w:rPr>
          <w:t xml:space="preserve">6</w:t>
        </w:r>
      </w:hyperlink>
      <w:r>
        <w:t xml:space="preserve">). Two design differences qualify the comparison rather than make it strictly</w:t>
      </w:r>
      <w:r>
        <w:t xml:space="preserve"> </w:t>
      </w:r>
      <w:r>
        <w:t xml:space="preserve">like-for-like: the reasoning arm shows no cross-provider variation (the largest single agreement gap,</w:t>
      </w:r>
      <w:r>
        <w:t xml:space="preserve"> </w:t>
      </w:r>
      <w:r>
        <w:t xml:space="preserve">Section </w:t>
      </w:r>
      <w:hyperlink w:anchor="sec:agreement">
        <w:r>
          <w:rPr>
            <w:rStyle w:val="Hyperlink"/>
          </w:rPr>
          <w:t xml:space="preserve">3.3</w:t>
        </w:r>
      </w:hyperlink>
      <w:r>
        <w:t xml:space="preserve">), and DeepSeek-R1 has a much more skewed marginal, giving</w:t>
      </w:r>
      <w:r>
        <w:t xml:space="preserve"> </w:t>
      </w:r>
      <w:r>
        <w:t xml:space="preserve">investment grade to only 31.4% of elicitations, compared with 79.9% for the flagship tier. We therefore read</w:t>
      </w:r>
      <w:r>
        <w:t xml:space="preserve"> </w:t>
      </w:r>
      <w:r>
        <w:t xml:space="preserve">the 25.5% flip as evidence of specification sensitivity within the evaluated reasoning model. In this arm,</w:t>
      </w:r>
      <w:r>
        <w:t xml:space="preserve"> </w:t>
      </w:r>
      <w:r>
        <w:t xml:space="preserve">we do not detect attenuation of elicitation sensitivity under chain-of-thought reasoning.</w:t>
      </w:r>
    </w:p>
    <w:bookmarkStart w:id="47" w:name="tab:reason"/>
    <w:p>
      <w:pPr>
        <w:pStyle w:val="TableCaption"/>
      </w:pPr>
      <w:r>
        <w:t xml:space="preserve">Reasoning-architecture arm (post-hoc; not pre-registered): per-comparison IG/HY flip on the</w:t>
      </w:r>
      <w:r>
        <w:t xml:space="preserve"> </w:t>
      </w:r>
      <w:r>
        <w:t xml:space="preserve">frozen 12-specification grid (45 credit-health items, three seeds), and two-provider tiers for</w:t>
      </w:r>
      <w:r>
        <w:t xml:space="preserve"> </w:t>
      </w:r>
      <w:r>
        <w:t xml:space="preserve">reference. The reasoning arm holds provider constant (single model); the paired difference is item-wise.</w:t>
      </w:r>
    </w:p>
    <w:tbl>
      <w:tblPr>
        <w:tblStyle w:val="Table"/>
        <w:tblW w:type="pct" w:w="0.0"/>
        <w:tblLook w:firstRow="1"/>
        <w:tblCaption w:val="Reasoning-architecture arm (post-hoc; not pre-registered): per-comparison IG/HY flip on the frozen 12-specification grid (45 credit-health items, three seeds), and two-provider tiers for reference. The reasoning arm holds provider constant (single model); the paired difference is item-wise."/>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center"/>
            </w:pPr>
            <w:r>
              <w:t xml:space="preserve">IG/HY flip (95% CI)</w:t>
            </w:r>
          </w:p>
        </w:tc>
        <w:tc>
          <w:tcPr>
            <w:tcBorders>
              <w:bottom w:val="single"/>
            </w:tcBorders>
            <w:vAlign w:val="bottom"/>
          </w:tcPr>
          <w:p>
            <w:pPr>
              <w:pStyle w:val="Compact"/>
              <w:jc w:val="center"/>
            </w:pPr>
            <w:r>
              <w:t xml:space="preserve">IG rate</w:t>
            </w:r>
          </w:p>
        </w:tc>
      </w:tr>
      <w:tr>
        <w:tc>
          <w:p>
            <w:pPr>
              <w:pStyle w:val="Compact"/>
              <w:jc w:val="left"/>
            </w:pPr>
            <w:r>
              <w:t xml:space="preserve">Nano/flash (two providers)</w:t>
            </w:r>
          </w:p>
        </w:tc>
        <w:tc>
          <w:p>
            <w:pPr>
              <w:pStyle w:val="Compact"/>
              <w:jc w:val="center"/>
            </w:pPr>
            <w:r>
              <w:t xml:space="preserve">24.7% (19.1–30.6)</w:t>
            </w:r>
          </w:p>
        </w:tc>
        <w:tc>
          <w:p>
            <w:pPr>
              <w:pStyle w:val="Compact"/>
              <w:jc w:val="center"/>
            </w:pPr>
            <w:r>
              <w:t xml:space="preserve">58.6%</w:t>
            </w:r>
          </w:p>
        </w:tc>
      </w:tr>
      <w:tr>
        <w:tc>
          <w:p>
            <w:pPr>
              <w:pStyle w:val="Compact"/>
              <w:jc w:val="left"/>
            </w:pPr>
            <w:r>
              <w:t xml:space="preserve">Flagship (two providers)</w:t>
            </w:r>
          </w:p>
        </w:tc>
        <w:tc>
          <w:p>
            <w:pPr>
              <w:pStyle w:val="Compact"/>
              <w:jc w:val="center"/>
            </w:pPr>
            <w:r>
              <w:t xml:space="preserve">23.6% (19.4–27.8)</w:t>
            </w:r>
          </w:p>
        </w:tc>
        <w:tc>
          <w:p>
            <w:pPr>
              <w:pStyle w:val="Compact"/>
              <w:jc w:val="center"/>
            </w:pPr>
            <w:r>
              <w:t xml:space="preserve">79.9%</w:t>
            </w:r>
          </w:p>
        </w:tc>
      </w:tr>
      <w:tr>
        <w:tc>
          <w:p>
            <w:pPr>
              <w:pStyle w:val="Compact"/>
              <w:jc w:val="left"/>
            </w:pPr>
            <w:r>
              <w:t xml:space="preserve">Reasoning</w:t>
            </w:r>
            <w:r>
              <w:t xml:space="preserve"> </w:t>
            </w:r>
            <w:r>
              <w:rPr>
                <w:rStyle w:val="VerbatimChar"/>
              </w:rPr>
              <w:t xml:space="preserve">deepseek-r1</w:t>
            </w:r>
            <w:r>
              <w:t xml:space="preserve"> </w:t>
            </w:r>
            <w:r>
              <w:t xml:space="preserve">(single model)</w:t>
            </w:r>
          </w:p>
        </w:tc>
        <w:tc>
          <w:p>
            <w:pPr>
              <w:pStyle w:val="Compact"/>
              <w:jc w:val="center"/>
            </w:pPr>
            <w:r>
              <w:t xml:space="preserve">25.5% (20.9–30.1)</w:t>
            </w:r>
          </w:p>
        </w:tc>
        <w:tc>
          <w:p>
            <w:pPr>
              <w:pStyle w:val="Compact"/>
              <w:jc w:val="center"/>
            </w:pPr>
            <w:r>
              <w:t xml:space="preserve">31.4%</w:t>
            </w:r>
          </w:p>
        </w:tc>
      </w:tr>
      <w:tr>
        <w:tc>
          <w:p/>
        </w:tc>
        <w:tc>
          <w:p/>
        </w:tc>
        <w:tc>
          <w:p/>
        </w:tc>
      </w:tr>
      <w:tr>
        <w:tc>
          <w:p/>
        </w:tc>
        <w:tc>
          <w:p/>
        </w:tc>
        <w:tc>
          <w:p/>
        </w:tc>
      </w:tr>
    </w:tbl>
    <w:bookmarkEnd w:id="47"/>
    <w:p>
      <w:pPr>
        <w:pStyle w:val="Heading2"/>
      </w:pPr>
      <w:bookmarkStart w:id="48" w:name="sec:selfcons"/>
      <w:r>
        <w:t xml:space="preserve">Self-consistency: does aggregation remove the instability? (post-hoc)</w:t>
      </w:r>
      <w:bookmarkEnd w:id="48"/>
    </w:p>
    <w:p>
      <w:pPr>
        <w:pStyle w:val="FirstParagraph"/>
      </w:pPr>
      <w:r>
        <w:t xml:space="preserve">This analysis is post-hoc and was not part of the pre-registration. A natural remedy is self-consistency: instead of acting on a single elicitation, query the model under</w:t>
      </w:r>
      <w:r>
        <w:t xml:space="preserve"> </w:t>
      </w:r>
      <m:oMath>
        <m:r>
          <m:t>k</m:t>
        </m:r>
      </m:oMath>
      <w:r>
        <w:t xml:space="preserve"> </w:t>
      </w:r>
      <w:r>
        <w:t xml:space="preserve">defensible specifications 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t>=</m:t>
        </m:r>
        <m:r>
          <m:t>1</m:t>
        </m:r>
        <m:r>
          <m:t>,</m:t>
        </m:r>
        <m:r>
          <m:t>3</m:t>
        </m:r>
        <m:r>
          <m:t>,</m:t>
        </m:r>
        <m:r>
          <m:t>5</m:t>
        </m:r>
        <m:r>
          <m:t>,</m:t>
        </m:r>
        <m:r>
          <m:t>9</m:t>
        </m:r>
        <m:r>
          <m:t>,</m:t>
        </m:r>
        <m:r>
          <m:t>15</m:t>
        </m:r>
      </m:oMath>
      <w:r>
        <w:t xml:space="preserve"> </w:t>
      </w:r>
      <w:r>
        <w:t xml:space="preserve">(Fig. </w:t>
      </w:r>
      <w:hyperlink w:anchor="fig:selfcons">
        <w:r>
          <w:rPr>
            <w:rStyle w:val="Hyperlink"/>
          </w:rPr>
          <w:t xml:space="preserve">4</w:t>
        </w:r>
      </w:hyperlink>
      <w:r>
        <w:t xml:space="preserve">).</w:t>
      </w:r>
      <w:r>
        <w:t xml:space="preserve"> </w:t>
      </w:r>
      <w:r>
        <w:t xml:space="preserve">Aggregation reduces but does not remove the instability: the residual flip falls from 25.2% at</w:t>
      </w:r>
      <w:r>
        <w:t xml:space="preserve"> </w:t>
      </w:r>
      <m:oMath>
        <m:r>
          <m:t>k</m:t>
        </m:r>
        <m:r>
          <m:t>=</m:t>
        </m:r>
        <m:r>
          <m:t>1</m:t>
        </m:r>
      </m:oMath>
      <w:r>
        <w:t xml:space="preserve"> </w:t>
      </w:r>
      <w:r>
        <w:t xml:space="preserve">to</w:t>
      </w:r>
      <w:r>
        <w:t xml:space="preserve"> </w:t>
      </w:r>
      <w:r>
        <w:t xml:space="preserve">19.4% (</w:t>
      </w:r>
      <m:oMath>
        <m:r>
          <m:t>k</m:t>
        </m:r>
        <m:r>
          <m:t>=</m:t>
        </m:r>
        <m:r>
          <m:t>3</m:t>
        </m:r>
      </m:oMath>
      <w:r>
        <w:t xml:space="preserve">), 16.6% (</w:t>
      </w:r>
      <m:oMath>
        <m:r>
          <m:t>k</m:t>
        </m:r>
        <m:r>
          <m:t>=</m:t>
        </m:r>
        <m:r>
          <m:t>5</m:t>
        </m:r>
      </m:oMath>
      <w:r>
        <w:t xml:space="preserve">), 13.6% (</w:t>
      </w:r>
      <m:oMath>
        <m:r>
          <m:t>k</m:t>
        </m:r>
        <m:r>
          <m:t>=</m:t>
        </m:r>
        <m:r>
          <m:t>9</m:t>
        </m:r>
      </m:oMath>
      <w:r>
        <w:t xml:space="preserve">), and 11.1% at</w:t>
      </w:r>
      <w:r>
        <w:t xml:space="preserve"> </w:t>
      </w:r>
      <m:oMath>
        <m:r>
          <m:t>k</m:t>
        </m:r>
        <m: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p>
      <w:pPr>
        <w:pStyle w:val="CaptionedFigure"/>
      </w:pPr>
      <w:bookmarkStart w:id="50" w:name="fig:selfcons"/>
      <w:r>
        <w:drawing>
          <wp:inline>
            <wp:extent cx="5118100" cy="3098800"/>
            <wp:effectExtent b="0" l="0" r="0" t="0"/>
            <wp:docPr descr="Self-consistency curve: residual per-comparison IG/HY flip after aggregating k elicitations per issuer by majority vote. Aggregation lowers instability with diminishing returns and does not eliminate it, about 11% of matched assessments still cross the boundary at k=15." title="" id="1" name="Picture"/>
            <a:graphic>
              <a:graphicData uri="http://schemas.openxmlformats.org/drawingml/2006/picture">
                <pic:pic>
                  <pic:nvPicPr>
                    <pic:cNvPr descr="fig_selfconsistency.pdf" id="0" name="Picture"/>
                    <pic:cNvPicPr>
                      <a:picLocks noChangeArrowheads="1" noChangeAspect="1"/>
                    </pic:cNvPicPr>
                  </pic:nvPicPr>
                  <pic:blipFill>
                    <a:blip r:embed="rId49"/>
                    <a:stretch>
                      <a:fillRect/>
                    </a:stretch>
                  </pic:blipFill>
                  <pic:spPr bwMode="auto">
                    <a:xfrm>
                      <a:off x="0" y="0"/>
                      <a:ext cx="5118100" cy="3098800"/>
                    </a:xfrm>
                    <a:prstGeom prst="rect">
                      <a:avLst/>
                    </a:prstGeom>
                    <a:noFill/>
                    <a:ln w="9525">
                      <a:noFill/>
                      <a:headEnd/>
                      <a:tailEnd/>
                    </a:ln>
                  </pic:spPr>
                </pic:pic>
              </a:graphicData>
            </a:graphic>
          </wp:inline>
        </w:drawing>
      </w:r>
      <w:bookmarkEnd w:id="50"/>
    </w:p>
    <w:p>
      <w:pPr>
        <w:pStyle w:val="ImageCaption"/>
      </w:pPr>
      <w:r>
        <w:t xml:space="preserve">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t>=</m:t>
        </m:r>
        <m:r>
          <m:t>15</m:t>
        </m:r>
      </m:oMath>
      <w:r>
        <w:t xml:space="preserve">.</w:t>
      </w:r>
    </w:p>
    <w:p>
      <w:pPr>
        <w:pStyle w:val="Heading1"/>
      </w:pPr>
      <w:bookmarkStart w:id="51" w:name="sec:sis"/>
      <w:r>
        <w:t xml:space="preserve">A specification-instability score for model-risk control</w:t>
      </w:r>
      <w:bookmarkEnd w:id="51"/>
    </w:p>
    <w:p>
      <w:pPr>
        <w:pStyle w:val="FirstParagraph"/>
      </w:pPr>
      <w:r>
        <w:t xml:space="preserve">The diagnosis above is actionable. Because the instability is a property of the elicitation process, it</w:t>
      </w:r>
      <w:r>
        <w:t xml:space="preserve"> </w:t>
      </w:r>
      <w:r>
        <w:t xml:space="preserve">can be measured at inference time from the model’s own outputs and reported alongside every rating,</w:t>
      </w:r>
      <w:r>
        <w:t xml:space="preserve"> </w:t>
      </w:r>
      <w:r>
        <w:t xml:space="preserve">turning the specification curve from a research diagnostic into an operational model-risk control. This</w:t>
      </w:r>
      <w:r>
        <w:t xml:space="preserve"> </w:t>
      </w:r>
      <w:r>
        <w:t xml:space="preserve">section defines the control, validates that it predicts held-out instability, and specifies its</w:t>
      </w:r>
      <w:r>
        <w:t xml:space="preserve"> </w:t>
      </w:r>
      <w:r>
        <w:t xml:space="preserve">deployment cost and governance use.</w:t>
      </w:r>
    </w:p>
    <w:p>
      <w:pPr>
        <w:pStyle w:val="Heading2"/>
      </w:pPr>
      <w:bookmarkStart w:id="52" w:name="definition"/>
      <w:r>
        <w:t xml:space="preserve">Definition</w:t>
      </w:r>
      <w:bookmarkEnd w:id="52"/>
    </w:p>
    <w:p>
      <w:pPr>
        <w:pStyle w:val="FirstParagraph"/>
      </w:pPr>
      <w:r>
        <w:t xml:space="preserve">For an issuer</w:t>
      </w:r>
      <w:r>
        <w:t xml:space="preserve"> </w:t>
      </w:r>
      <m:oMath>
        <m:r>
          <m:t>x</m:t>
        </m:r>
      </m:oMath>
      <w:r>
        <w:t xml:space="preserve">, fix a small set</w:t>
      </w:r>
      <w:r>
        <w:t xml:space="preserve"> </w:t>
      </w:r>
      <m:oMath>
        <m:r>
          <m:t>S</m:t>
        </m:r>
      </m:oMath>
      <w:r>
        <w:t xml:space="preserve"> </w:t>
      </w:r>
      <w:r>
        <w:t xml:space="preserve">of</w:t>
      </w:r>
      <w:r>
        <w:t xml:space="preserve"> </w:t>
      </w:r>
      <m:oMath>
        <m:r>
          <m:t>k</m:t>
        </m:r>
      </m:oMath>
      <w:r>
        <w:t xml:space="preserve"> </w:t>
      </w:r>
      <w:r>
        <w:t xml:space="preserve">defensible elicitation specifications and a decision</w:t>
      </w:r>
      <w:r>
        <w:t xml:space="preserve"> </w:t>
      </w:r>
      <w:r>
        <w:t xml:space="preserve">resolution</w:t>
      </w:r>
      <w:r>
        <w:t xml:space="preserve"> </w:t>
      </w:r>
      <m:oMath>
        <m:r>
          <m:t>g</m:t>
        </m:r>
      </m:oMath>
      <w:r>
        <w:t xml:space="preserve"> </w:t>
      </w:r>
      <w:r>
        <w:t xml:space="preserve">(for example, the map from letter grade to the IG/HY class). Query the model once per</w:t>
      </w:r>
      <w:r>
        <w:t xml:space="preserve"> </w:t>
      </w:r>
      <w:r>
        <w:t xml:space="preserve">specification, map each rating to its decision class, and let</w:t>
      </w:r>
      <w:r>
        <w:t xml:space="preserve"> </w:t>
      </w:r>
      <m:oMath>
        <m:sSub>
          <m:e>
            <m:r>
              <m:t>p</m:t>
            </m:r>
          </m:e>
          <m:sub>
            <m:r>
              <m:t>x</m:t>
            </m:r>
            <m:r>
              <m:t>,</m:t>
            </m:r>
            <m:r>
              <m:t>c</m:t>
            </m:r>
          </m:sub>
        </m:sSub>
      </m:oMath>
      <w:r>
        <w:t xml:space="preserve"> </w:t>
      </w:r>
      <w:r>
        <w:t xml:space="preserve">be the fraction of the</w:t>
      </w:r>
      <w:r>
        <w:t xml:space="preserve"> </w:t>
      </w:r>
      <m:oMath>
        <m:r>
          <m:t>k</m:t>
        </m:r>
      </m:oMath>
      <w:r>
        <w:t xml:space="preserve"> </w:t>
      </w:r>
      <w:r>
        <w:t xml:space="preserve">elicitations that fall in class</w:t>
      </w:r>
      <w:r>
        <w:t xml:space="preserve"> </w:t>
      </w:r>
      <m:oMath>
        <m:r>
          <m:t>c</m:t>
        </m:r>
      </m:oMath>
      <w:r>
        <w:t xml:space="preserve">. The</w:t>
      </w:r>
      <w:r>
        <w:t xml:space="preserve"> </w:t>
      </w:r>
      <w:r>
        <w:rPr>
          <w:i/>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t>(</m:t>
          </m:r>
          <m:r>
            <m:t>x</m:t>
          </m:r>
          <m:r>
            <m:t>)</m:t>
          </m:r>
          <m:r>
            <m:t> </m:t>
          </m:r>
          <m:r>
            <m:t>=</m:t>
          </m:r>
          <m:r>
            <m:t> </m:t>
          </m:r>
          <m:r>
            <m:t>1</m:t>
          </m:r>
          <m:r>
            <m:t>−</m:t>
          </m:r>
          <m:nary>
            <m:naryPr>
              <m:chr m:val="∑"/>
              <m:limLoc m:val="undOvr"/>
              <m:subHide m:val="0"/>
              <m:supHide m:val="1"/>
            </m:naryPr>
            <m:sub>
              <m:r>
                <m:t>c</m:t>
              </m:r>
            </m:sub>
            <m:sup>
              <m:r>
                <m:t>​</m:t>
              </m:r>
            </m:sup>
            <m:e>
              <m:sSubSup>
                <m:e>
                  <m:r>
                    <m:t>p</m:t>
                  </m:r>
                </m:e>
                <m:sub>
                  <m:r>
                    <m:t>x</m:t>
                  </m:r>
                  <m:r>
                    <m:t>,</m:t>
                  </m:r>
                  <m:r>
                    <m:t>c</m:t>
                  </m:r>
                </m:sub>
                <m:sup>
                  <m:r>
                    <m:t>2</m:t>
                  </m:r>
                </m:sup>
              </m:sSubSup>
            </m:e>
          </m:nary>
          <m:r>
            <m:t>,</m:t>
          </m:r>
        </m:oMath>
      </m:oMathPara>
    </w:p>
    <w:p>
      <w:pPr>
        <w:pStyle w:val="FirstParagraph"/>
      </w:pPr>
      <w:r>
        <w:t xml:space="preserve">reported alongside the modal rating</w:t>
      </w:r>
      <w:r>
        <w:t xml:space="preserve"> </w:t>
      </w:r>
      <m:oMath>
        <m:acc>
          <m:accPr>
            <m:chr m:val="̂"/>
          </m:accPr>
          <m:e>
            <m:r>
              <m:t>r</m:t>
            </m:r>
          </m:e>
        </m:acc>
        <m:r>
          <m:t>(</m:t>
        </m:r>
        <m:r>
          <m:t>x</m:t>
        </m:r>
        <m:r>
          <m:t>)</m:t>
        </m:r>
        <m:r>
          <m:t>=</m:t>
        </m:r>
        <m:r>
          <m:rPr>
            <m:nor/>
            <m:sty m:val="p"/>
          </m:rPr>
          <m:t>arg</m:t>
        </m:r>
        <m:sSub>
          <m:e>
            <m:r>
              <m:rPr>
                <m:nor/>
                <m:sty m:val="p"/>
              </m:rPr>
              <m:t>max</m:t>
            </m:r>
          </m:e>
          <m:sub>
            <m:r>
              <m:t>c</m:t>
            </m:r>
          </m:sub>
        </m:sSub>
        <m:sSub>
          <m:e>
            <m:r>
              <m:t>p</m:t>
            </m:r>
          </m:e>
          <m:sub>
            <m:r>
              <m:t>x</m:t>
            </m:r>
            <m:r>
              <m:t>,</m:t>
            </m:r>
            <m:r>
              <m:t>c</m:t>
            </m:r>
          </m:sub>
        </m:sSub>
      </m:oMath>
      <w:r>
        <w:t xml:space="preserve">. A score of zero denotes a perfectly</w:t>
      </w:r>
      <w:r>
        <w:t xml:space="preserve"> </w:t>
      </w:r>
      <w:r>
        <w:t xml:space="preserve">stable, specification-invariant rating; higher values flag issuers whose rating is substantially an</w:t>
      </w:r>
      <w:r>
        <w:t xml:space="preserve"> </w:t>
      </w:r>
      <w:r>
        <w:t xml:space="preserve">artifact of how the question was asked (the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w:t>
      </w:r>
      <w:hyperlink w:anchor="alg:sis">
        <w:r>
          <w:rPr>
            <w:rStyle w:val="Hyperlink"/>
          </w:rPr>
          <w:t xml:space="preserve">[alg:sis]</w:t>
        </w:r>
      </w:hyperlink>
      <w:r>
        <w:t xml:space="preserve">). The Gini–Simpson form itself is a standard dispersion index; the</w:t>
      </w:r>
      <w:r>
        <w:t xml:space="preserve"> </w:t>
      </w:r>
      <w:r>
        <w:t xml:space="preserve">contribution here is not a new mathematical index but its use as a candidate operational credit-model-risk control,</w:t>
      </w:r>
      <w:r>
        <w:t xml:space="preserve"> </w:t>
      </w:r>
      <w:r>
        <w:t xml:space="preserve">its validation on held-out specifications, its governance trigger, and its cost model.</w:t>
      </w:r>
    </w:p>
    <w:p>
      <w:pPr>
        <w:pStyle w:val="Heading2"/>
      </w:pPr>
      <w:bookmarkStart w:id="53" w:name="sec:sis-val"/>
      <w:r>
        <w:t xml:space="preserve">Post-hoc validation on held-out specifications</w:t>
      </w:r>
      <w:bookmarkEnd w:id="53"/>
    </w:p>
    <w:p>
      <w:pPr>
        <w:pStyle w:val="FirstParagraph"/>
      </w:pPr>
      <w:r>
        <w:t xml:space="preserve">This validation is</w:t>
      </w:r>
      <w:r>
        <w:t xml:space="preserve"> </w:t>
      </w:r>
      <w:r>
        <w:rPr>
          <w:i/>
        </w:rPr>
        <w:t xml:space="preserve">post-hoc</w:t>
      </w:r>
      <w:r>
        <w:t xml:space="preserve"> </w:t>
      </w:r>
      <w:r>
        <w:t xml:space="preserve">(it was not part of the pre-registration) and tests generalization</w:t>
      </w:r>
      <w:r>
        <w:t xml:space="preserve"> </w:t>
      </w:r>
      <w:r>
        <w:t xml:space="preserve">across specifications, not across an external issuer sample. A control is only useful if it predicts</w:t>
      </w:r>
      <w:r>
        <w:t xml:space="preserve"> </w:t>
      </w:r>
      <w:r>
        <w:t xml:space="preserve">instability it has not seen, so we split the 32 specifications into a 16-specification calibration set and</w:t>
      </w:r>
      <w:r>
        <w:t xml:space="preserve"> </w:t>
      </w:r>
      <w:r>
        <w:t xml:space="preserve">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t>=</m:t>
        </m:r>
        <m:r>
          <m:t>0.89</m:t>
        </m:r>
      </m:oMath>
      <w:r>
        <w:t xml:space="preserve">). Treating</w:t>
      </w:r>
      <w:r>
        <w:t xml:space="preserve"> </w:t>
      </w:r>
      <w:r>
        <w:t xml:space="preserve">“</w:t>
      </w:r>
      <w:r>
        <w:t xml:space="preserve">the issuer’s modal IG/HY call flips on at least one held-out specification</w:t>
      </w:r>
      <w:r>
        <w:t xml:space="preserve">”</w:t>
      </w:r>
      <w:r>
        <w:t xml:space="preserve"> </w:t>
      </w:r>
      <w:r>
        <w:t xml:space="preserve">as the event to be flagged</w:t>
      </w:r>
      <w:r>
        <w:t xml:space="preserve"> </w:t>
      </w:r>
      <w:r>
        <w:t xml:space="preserve">(base rate</w:t>
      </w:r>
      <w:r>
        <w:t xml:space="preserve"> </w:t>
      </w:r>
      <m:oMath>
        <m:r>
          <m:t>0.76</m:t>
        </m:r>
      </m:oMath>
      <w:r>
        <w:t xml:space="preserve">), the calibration score has a ROC-AUC of</w:t>
      </w:r>
      <w:r>
        <w:t xml:space="preserve"> </w:t>
      </w:r>
      <m:oMath>
        <m:r>
          <m:t>0.94</m:t>
        </m:r>
      </m:oMath>
      <w:r>
        <w:t xml:space="preserve"> </w:t>
      </w:r>
      <w:r>
        <w:t xml:space="preserve">(profile-clustered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 splits: the median AUC is</w:t>
      </w:r>
      <w:r>
        <w:t xml:space="preserve"> </w:t>
      </w:r>
      <m:oMath>
        <m:r>
          <m:t>0.88</m:t>
        </m:r>
      </m:oMath>
      <w:r>
        <w:t xml:space="preserve"> </w:t>
      </w:r>
      <w:r>
        <w:t xml:space="preserve">(interquartile range</w:t>
      </w:r>
      <w:r>
        <w:t xml:space="preserve"> </w:t>
      </w:r>
      <m:oMath>
        <m:r>
          <m:t>0.86</m:t>
        </m:r>
      </m:oMath>
      <w:r>
        <w:t xml:space="preserve">–</w:t>
      </w:r>
      <m:oMath>
        <m:r>
          <m:t>0.91</m:t>
        </m:r>
      </m:oMath>
      <w:r>
        <w:t xml:space="preserve">; full range</w:t>
      </w:r>
      <w:r>
        <w:t xml:space="preserve"> </w:t>
      </w:r>
      <m:oMath>
        <m:r>
          <m:t>0.73</m:t>
        </m:r>
      </m:oMath>
      <w:r>
        <w:t xml:space="preserve">–</w:t>
      </w:r>
      <m:oMath>
        <m:r>
          <m:t>0.98</m:t>
        </m:r>
      </m:oMath>
      <w:r>
        <w:t xml:space="preserve">). The score therefore identifies, from a</w:t>
      </w:r>
      <w:r>
        <w:t xml:space="preserve"> </w:t>
      </w:r>
      <w:r>
        <w:t xml:space="preserve">handful of elicitations, the issuers whose ratings will prove unstable under specifications not yet</w:t>
      </w:r>
      <w:r>
        <w:t xml:space="preserve"> </w:t>
      </w:r>
      <w:r>
        <w:t xml:space="preserve">tried; these results support the score as a candidate operational screening control for the evaluated model/specification setting.</w:t>
      </w:r>
    </w:p>
    <w:p>
      <w:pPr>
        <w:pStyle w:val="BodyText"/>
      </w:pPr>
      <w:r>
        <w:t xml:space="preserve">We also check whether this generalizes beyond the synthetic battery by repeating the validation on the</w:t>
      </w:r>
      <w:r>
        <w:t xml:space="preserve"> </w:t>
      </w:r>
      <w:r>
        <w:t xml:space="preserve">31 perturbed and fingerprint-screened</w:t>
      </w:r>
      <w:r>
        <w:t xml:space="preserve"> </w:t>
      </w:r>
      <w:r>
        <w:rPr>
          <w:i/>
        </w:rPr>
        <w:t xml:space="preserve">real</w:t>
      </w:r>
      <w:r>
        <w:t xml:space="preserve"> </w:t>
      </w:r>
      <w:r>
        <w:t xml:space="preserve">issuers (Section </w:t>
      </w:r>
      <w:hyperlink w:anchor="sec:realarm">
        <w:r>
          <w:rPr>
            <w:rStyle w:val="Hyperlink"/>
          </w:rPr>
          <w:t xml:space="preserve">3.6</w:t>
        </w:r>
      </w:hyperlink>
      <w:r>
        <w:t xml:space="preserve">), for which the same 12-specification</w:t>
      </w:r>
      <w:r>
        <w:t xml:space="preserve"> </w:t>
      </w:r>
      <w:r>
        <w:t xml:space="preserve">grid was collected. Splitting those specifications 6/6, the calibration-set score remains predictive of</w:t>
      </w:r>
      <w:r>
        <w:t xml:space="preserve"> </w:t>
      </w:r>
      <w:r>
        <w:t xml:space="preserve">held-out-specification instability on real firms (ROC-AUC 0.70, issuer-clustered bootstrap 95% CI</w:t>
      </w:r>
      <w:r>
        <w:t xml:space="preserve"> </w:t>
      </w:r>
      <w:r>
        <w:t xml:space="preserve">0.51–0.87; Spearman</w:t>
      </w:r>
      <w:r>
        <w:t xml:space="preserve"> </w:t>
      </w:r>
      <m:oMath>
        <m:r>
          <m:t>ρ</m:t>
        </m:r>
        <m:r>
          <m:t>=</m:t>
        </m:r>
        <m:r>
          <m:t>0.41</m:t>
        </m:r>
      </m:oMath>
      <w:r>
        <w:t xml:space="preserve">; base rate 0.61). Discrimination is weaker than on the synthetic battery</w:t>
      </w:r>
      <w:r>
        <w:t xml:space="preserve"> </w:t>
      </w:r>
      <w:r>
        <w:t xml:space="preserve">and the interval is wide, expected given only 31 issuers and a coarser six-specification calibration, but</w:t>
      </w:r>
      <w:r>
        <w:t xml:space="preserve"> </w:t>
      </w:r>
      <w:r>
        <w:t xml:space="preserve">the score carries a genuine, same-direction signal on real issuers, not only on the constructed profiles.</w:t>
      </w:r>
      <w:r>
        <w:t xml:space="preserve"> </w:t>
      </w:r>
      <w:r>
        <w:t xml:space="preserve">We nonetheless emphasize that</w:t>
      </w:r>
      <w:r>
        <w:t xml:space="preserve"> </w:t>
      </w:r>
      <w:r>
        <w:t xml:space="preserve">“</w:t>
      </w:r>
      <w:r>
        <w:t xml:space="preserve">external</w:t>
      </w:r>
      <w:r>
        <w:t xml:space="preserve">”</w:t>
      </w:r>
      <w:r>
        <w:t xml:space="preserve"> </w:t>
      </w:r>
      <w:r>
        <w:t xml:space="preserve">here means external</w:t>
      </w:r>
      <w:r>
        <w:t xml:space="preserve"> </w:t>
      </w:r>
      <w:r>
        <w:rPr>
          <w:i/>
        </w:rPr>
        <w:t xml:space="preserve">issuers</w:t>
      </w:r>
      <w:r>
        <w:t xml:space="preserve">, not external</w:t>
      </w:r>
      <w:r>
        <w:t xml:space="preserve"> </w:t>
      </w:r>
      <w:r>
        <w:t xml:space="preserve">specifications; a fully out-of-sample external issuer</w:t>
      </w:r>
      <w:r>
        <w:t xml:space="preserve"> </w:t>
      </w:r>
      <w:r>
        <w:rPr>
          <w:i/>
        </w:rPr>
        <w:t xml:space="preserve">population</w:t>
      </w:r>
      <w:r>
        <w:t xml:space="preserve"> </w:t>
      </w:r>
      <w:r>
        <w:t xml:space="preserve">remains future work. We also</w:t>
      </w:r>
      <w:r>
        <w:t xml:space="preserve"> </w:t>
      </w:r>
      <w:r>
        <w:t xml:space="preserve">report the recalibration requirement for a new model directly: cross-model transfer of the score is</w:t>
      </w:r>
      <w:r>
        <w:t xml:space="preserve"> </w:t>
      </w:r>
      <w:r>
        <w:t xml:space="preserve">moderate but inconsistent across model pairs (per-item Spearman between one model’s score and another’s</w:t>
      </w:r>
      <w:r>
        <w:t xml:space="preserve"> </w:t>
      </w:r>
      <w:r>
        <w:t xml:space="preserve">ranges from</w:t>
      </w:r>
      <w:r>
        <w:t xml:space="preserve"> </w:t>
      </w:r>
      <m:oMath>
        <m:r>
          <m:t>0.14</m:t>
        </m:r>
      </m:oMath>
      <w:r>
        <w:t xml:space="preserve"> </w:t>
      </w:r>
      <w:r>
        <w:t xml:space="preserve">to</w:t>
      </w:r>
      <w:r>
        <w:t xml:space="preserve"> </w:t>
      </w:r>
      <m:oMath>
        <m:r>
          <m:t>0.73</m:t>
        </m:r>
      </m:oMath>
      <w:r>
        <w:t xml:space="preserve">, median</w:t>
      </w:r>
      <w:r>
        <w:t xml:space="preserve"> </w:t>
      </w:r>
      <m:oMath>
        <m:r>
          <m:t>≈</m:t>
        </m:r>
        <m:r>
          <m:t>0.45</m:t>
        </m:r>
      </m:oMath>
      <w:r>
        <w:t xml:space="preserve">, and</w:t>
      </w:r>
      <w:r>
        <w:t xml:space="preserve"> </w:t>
      </w:r>
      <m:oMath>
        <m:r>
          <m:t>≈</m:t>
        </m:r>
        <m:r>
          <m:t>0.55</m:t>
        </m:r>
      </m:oMath>
      <w:r>
        <w:t xml:space="preserve"> </w:t>
      </w:r>
      <w:r>
        <w:t xml:space="preserve">across provider families; the AUC of</w:t>
      </w:r>
      <w:r>
        <w:t xml:space="preserve"> </w:t>
      </w:r>
      <w:r>
        <w:t xml:space="preserve">one model’s score for flagging another’s above-median-instability items has median</w:t>
      </w:r>
      <w:r>
        <w:t xml:space="preserve"> </w:t>
      </w:r>
      <m:oMath>
        <m:r>
          <m:t>≈</m:t>
        </m:r>
        <m:r>
          <m:t>0.72</m:t>
        </m:r>
      </m:oMath>
      <w:r>
        <w:t xml:space="preserve">). Because</w:t>
      </w:r>
      <w:r>
        <w:t xml:space="preserve"> </w:t>
      </w:r>
      <w:r>
        <w:t xml:space="preserve">this transfer is too variable to rely on, a new model should be re-scored on the grid rather than reusing</w:t>
      </w:r>
      <w:r>
        <w:t xml:space="preserve"> </w:t>
      </w:r>
      <w:r>
        <w:t xml:space="preserve">another model’s scores, at about $7.43 per 1</w:t>
      </w:r>
      <w:r>
        <w:t xml:space="preserve">,</w:t>
      </w:r>
      <w:r>
        <w:t xml:space="preserve">000 issuers at</w:t>
      </w:r>
      <w:r>
        <w:t xml:space="preserve"> </w:t>
      </w:r>
      <m:oMath>
        <m:r>
          <m:t>k</m:t>
        </m:r>
        <m:r>
          <m:t>=</m:t>
        </m:r>
        <m:r>
          <m:t>9</m:t>
        </m:r>
      </m:oMath>
      <w:r>
        <w:t xml:space="preserve"> </w:t>
      </w:r>
      <w:r>
        <w:t xml:space="preserve">on a</w:t>
      </w:r>
      <w:r>
        <w:t xml:space="preserve"> </w:t>
      </w:r>
      <w:r>
        <w:t xml:space="preserve">nano/flash tier (Table </w:t>
      </w:r>
      <w:hyperlink w:anchor="tab:cost">
        <w:r>
          <w:rPr>
            <w:rStyle w:val="Hyperlink"/>
          </w:rPr>
          <w:t xml:space="preserve">7</w:t>
        </w:r>
      </w:hyperlink>
      <w:r>
        <w:t xml:space="preserve">).</w:t>
      </w:r>
    </w:p>
    <w:p>
      <w:pPr>
        <w:pStyle w:val="BodyText"/>
      </w:pPr>
      <w:r>
        <w:t xml:space="preserve">A practical operating threshold must recognize that at</w:t>
      </w:r>
      <w:r>
        <w:t xml:space="preserve"> </w:t>
      </w:r>
      <m:oMath>
        <m:r>
          <m:t>k</m:t>
        </m:r>
        <m:r>
          <m:t>=</m:t>
        </m:r>
        <m:r>
          <m:t>16</m:t>
        </m:r>
      </m:oMath>
      <w:r>
        <w:t xml:space="preserve"> </w:t>
      </w:r>
      <w:r>
        <w:t xml:space="preserve">the achievable score values are discrete:</w:t>
      </w:r>
      <w:r>
        <w:t xml:space="preserve"> </w:t>
      </w:r>
      <w:r>
        <w:t xml:space="preserve">for a binary IG/HY outcome</w:t>
      </w:r>
      <w:r>
        <w:t xml:space="preserve"> </w:t>
      </w:r>
      <m:oMath>
        <m:r>
          <m:rPr>
            <m:sty m:val="p"/>
          </m:rPr>
          <m:t>S</m:t>
        </m:r>
        <m:r>
          <m:rPr>
            <m:sty m:val="p"/>
          </m:rPr>
          <m:t>I</m:t>
        </m:r>
        <m:r>
          <m:rPr>
            <m:sty m:val="p"/>
          </m:rPr>
          <m:t>S</m:t>
        </m:r>
      </m:oMath>
      <w:r>
        <w:t xml:space="preserve"> </w:t>
      </w:r>
      <w:r>
        <w:t xml:space="preserve">jumps from</w:t>
      </w:r>
      <w:r>
        <w:t xml:space="preserve"> </w:t>
      </w:r>
      <m:oMath>
        <m:r>
          <m:t>0</m:t>
        </m:r>
      </m:oMath>
      <w:r>
        <w:t xml:space="preserve"> </w:t>
      </w:r>
      <w:r>
        <w:t xml:space="preserve">(unanimous) to</w:t>
      </w:r>
      <w:r>
        <w:t xml:space="preserve"> </w:t>
      </w:r>
      <m:oMath>
        <m:r>
          <m:t>0.117</m:t>
        </m:r>
      </m:oMath>
      <w:r>
        <w:t xml:space="preserve"> </w:t>
      </w:r>
      <w:r>
        <w:t xml:space="preserve">(one dissenter), with</w:t>
      </w:r>
      <w:r>
        <w:t xml:space="preserve"> </w:t>
      </w:r>
      <w:r>
        <w:t xml:space="preserve">nothing between. The threshold that maximizes Youden’s</w:t>
      </w:r>
      <w:r>
        <w:t xml:space="preserve"> </w:t>
      </w:r>
      <m:oMath>
        <m:r>
          <m:t>J</m:t>
        </m:r>
      </m:oMath>
      <w:r>
        <w:t xml:space="preserve"> </w:t>
      </w:r>
      <w:r>
        <w:t xml:space="preserve">on the held-out split,</w:t>
      </w:r>
      <w:r>
        <w:t xml:space="preserve"> </w:t>
      </w:r>
      <m:oMath>
        <m:r>
          <m:t>τ</m:t>
        </m:r>
        <m:r>
          <m:t>=</m:t>
        </m:r>
        <m:r>
          <m:t>0.08</m:t>
        </m:r>
      </m:oMath>
      <w:r>
        <w:t xml:space="preserve">, therefore</w:t>
      </w:r>
      <w:r>
        <w:t xml:space="preserve"> </w:t>
      </w:r>
      <w:r>
        <w:t xml:space="preserve">is less than</w:t>
      </w:r>
      <w:r>
        <w:t xml:space="preserve"> </w:t>
      </w:r>
      <m:oMath>
        <m:r>
          <m:t>0.117</m:t>
        </m:r>
      </m:oMath>
      <w:r>
        <w:t xml:space="preserve"> </w:t>
      </w:r>
      <w:r>
        <w:t xml:space="preserve">and reduces to a rule that flags any issuer with at least one disagreeing calibration</w:t>
      </w:r>
      <w:r>
        <w:t xml:space="preserve"> </w:t>
      </w:r>
      <w:r>
        <w:t xml:space="preserve">elicitation, at which held-out precision is</w:t>
      </w:r>
      <w:r>
        <w:t xml:space="preserve"> </w:t>
      </w:r>
      <m:oMath>
        <m:r>
          <m:t>1.00</m:t>
        </m:r>
      </m:oMath>
      <w:r>
        <w:t xml:space="preserve"> </w:t>
      </w:r>
      <w:r>
        <w:t xml:space="preserve">and recall</w:t>
      </w:r>
      <w:r>
        <w:t xml:space="preserve"> </w:t>
      </w:r>
      <m:oMath>
        <m:r>
          <m:t>0.88</m:t>
        </m:r>
      </m:oMath>
      <w:r>
        <w:t xml:space="preserve">; we report it as a descriptive</w:t>
      </w:r>
      <w:r>
        <w:t xml:space="preserve"> </w:t>
      </w:r>
      <w:r>
        <w:t xml:space="preserve">operating point (chosen and evaluated on the same split). Note that it is</w:t>
      </w:r>
      <w:r>
        <w:t xml:space="preserve"> </w:t>
      </w:r>
      <m:oMath>
        <m:r>
          <m:t>k</m:t>
        </m:r>
      </m:oMath>
      <w:r>
        <w:t xml:space="preserve">-dependent (at the recommended</w:t>
      </w:r>
      <w:r>
        <w:t xml:space="preserve"> </w:t>
      </w:r>
      <m:oMath>
        <m:r>
          <m:t>k</m:t>
        </m:r>
        <m:r>
          <m:t>≈</m:t>
        </m:r>
        <m:r>
          <m:t>9</m:t>
        </m:r>
      </m:oMath>
      <w:r>
        <w:t xml:space="preserve"> </w:t>
      </w:r>
      <w:r>
        <w:t xml:space="preserve">the smallest non-zero score is</w:t>
      </w:r>
      <w:r>
        <w:t xml:space="preserve"> </w:t>
      </w:r>
      <m:oMath>
        <m:r>
          <m:t>0.198</m:t>
        </m:r>
      </m:oMath>
      <w:r>
        <w:t xml:space="preserve">). This rule alone would cover some</w:t>
      </w:r>
      <w:r>
        <w:t xml:space="preserve"> </w:t>
      </w:r>
      <m:oMath>
        <m:r>
          <m:t>67</m:t>
        </m:r>
        <m:r>
          <m:t>%</m:t>
        </m:r>
      </m:oMath>
      <w:r>
        <w:t xml:space="preserve"> </w:t>
      </w:r>
      <w:r>
        <w:t xml:space="preserve">of issuers,</w:t>
      </w:r>
      <w:r>
        <w:t xml:space="preserve"> </w:t>
      </w:r>
      <w:r>
        <w:t xml:space="preserve">a direct implication of the finding that most issuers disagree on at least one specification; Algorithm 1</w:t>
      </w:r>
      <w:r>
        <w:t xml:space="preserve"> </w:t>
      </w:r>
      <w:r>
        <w:t xml:space="preserve">therefore refers to issuers with a modal rating close to a decision boundary as well, which roughly halves</w:t>
      </w:r>
      <w:r>
        <w:t xml:space="preserve"> </w:t>
      </w:r>
      <w:r>
        <w:t xml:space="preserve">the referred set to about</w:t>
      </w:r>
      <w:r>
        <w:t xml:space="preserve"> </w:t>
      </w:r>
      <m:oMath>
        <m:r>
          <m:t>33</m:t>
        </m:r>
        <m:r>
          <m:t>%</m:t>
        </m:r>
      </m:oMath>
      <w:r>
        <w:t xml:space="preserve">. The continuous score is used for ranking and triage—its discrimination</w:t>
      </w:r>
      <w:r>
        <w:t xml:space="preserve"> </w:t>
      </w:r>
      <w:r>
        <w:t xml:space="preserve">(ROC-AUC</w:t>
      </w:r>
      <w:r>
        <w:t xml:space="preserve"> </w:t>
      </w:r>
      <m:oMath>
        <m:r>
          <m:t>0.94</m:t>
        </m:r>
      </m:oMath>
      <w:r>
        <w:t xml:space="preserve">) scored on the full score, not the binary gate—so at finer resolutions than IG/HY it</w:t>
      </w:r>
      <w:r>
        <w:t xml:space="preserve"> </w:t>
      </w:r>
      <w:r>
        <w:t xml:space="preserve">has many values rather than collapsing to a flag indicating unanimity.</w:t>
      </w:r>
    </w:p>
    <w:p>
      <w:pPr>
        <w:pStyle w:val="Heading2"/>
      </w:pPr>
      <w:bookmarkStart w:id="54" w:name="sec:sis-cost"/>
      <w:r>
        <w:t xml:space="preserve">Deployment: aggregation level and cost</w:t>
      </w:r>
      <w:bookmarkEnd w:id="54"/>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w:t>
      </w:r>
      <w:hyperlink w:anchor="sec:selfcons">
        <w:r>
          <w:rPr>
            <w:rStyle w:val="Hyperlink"/>
          </w:rPr>
          <w:t xml:space="preserve">3.9</w:t>
        </w:r>
      </w:hyperlink>
      <w:r>
        <w:t xml:space="preserve">) shows steeply diminishing returns: the modal call’s residual IG/HY flip</w:t>
      </w:r>
      <w:r>
        <w:t xml:space="preserve"> </w:t>
      </w:r>
      <w:r>
        <w:t xml:space="preserve">falls from 25.2% at</w:t>
      </w:r>
      <w:r>
        <w:t xml:space="preserve"> </w:t>
      </w:r>
      <m:oMath>
        <m:r>
          <m:t>k</m:t>
        </m:r>
        <m:r>
          <m:t>=</m:t>
        </m:r>
        <m:r>
          <m:t>1</m:t>
        </m:r>
      </m:oMath>
      <w:r>
        <w:t xml:space="preserve"> </w:t>
      </w:r>
      <w:r>
        <w:t xml:space="preserve">to 13.6% at</w:t>
      </w:r>
      <w:r>
        <w:t xml:space="preserve"> </w:t>
      </w:r>
      <m:oMath>
        <m:r>
          <m:t>k</m:t>
        </m:r>
        <m:r>
          <m:t>=</m:t>
        </m:r>
        <m:r>
          <m:t>9</m:t>
        </m:r>
      </m:oMath>
      <w:r>
        <w:t xml:space="preserve"> </w:t>
      </w:r>
      <w:r>
        <w:t xml:space="preserve">and 11.1% at</w:t>
      </w:r>
      <w:r>
        <w:t xml:space="preserve"> </w:t>
      </w:r>
      <m:oMath>
        <m:r>
          <m:t>k</m:t>
        </m:r>
        <m:r>
          <m:t>=</m:t>
        </m:r>
        <m:r>
          <m:t>15</m:t>
        </m:r>
      </m:oMath>
      <w:r>
        <w:t xml:space="preserve">, so a moderate</w:t>
      </w:r>
      <w:r>
        <w:t xml:space="preserve"> </w:t>
      </w:r>
      <m:oMath>
        <m:r>
          <m:t>k</m:t>
        </m:r>
        <m:r>
          <m:t>​</m:t>
        </m:r>
        <m: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w:t>
      </w:r>
      <w:hyperlink w:anchor="tab:cost">
        <w:r>
          <w:rPr>
            <w:rStyle w:val="Hyperlink"/>
          </w:rPr>
          <w:t xml:space="preserve">7</w:t>
        </w:r>
      </w:hyperlink>
      <w:r>
        <w:t xml:space="preserve">).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t>−</m:t>
        </m:r>
        <m:r>
          <m:t>1</m:t>
        </m:r>
      </m:oMath>
      <w:r>
        <w:t xml:space="preserve"> </w:t>
      </w:r>
      <w:r>
        <w:t xml:space="preserve">additional elicitations.</w:t>
      </w:r>
    </w:p>
    <w:bookmarkStart w:id="55" w:name="tab:cost"/>
    <w:p>
      <w:pPr>
        <w:pStyle w:val="TableCaption"/>
      </w:pPr>
      <w:r>
        <w:t xml:space="preserve">Deployment cost of the specification-instability score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pct" w:w="0.0"/>
        <w:tblLook w:firstRow="1"/>
        <w:tblCaption w:val="Deployment cost of the specification-instability score by aggregation level k: cost to score 1,000 issuers, from the observed per-call token counts and provider pricing."/>
      </w:tblPr>
      <w:tblGrid/>
      <w:tr>
        <w:trPr>
          <w:cnfStyle w:firstRow="1"/>
        </w:trPr>
        <w:tc>
          <w:tcPr>
            <w:tcBorders>
              <w:bottom w:val="single"/>
            </w:tcBorders>
            <w:vAlign w:val="bottom"/>
          </w:tcPr>
          <w:p>
            <w:pPr>
              <w:pStyle w:val="Compact"/>
              <w:jc w:val="right"/>
            </w:pPr>
            <m:oMath>
              <m:r>
                <m:t>k</m:t>
              </m:r>
            </m:oMath>
          </w:p>
        </w:tc>
        <w:tc>
          <w:tcPr>
            <w:tcBorders>
              <w:bottom w:val="single"/>
            </w:tcBorders>
            <w:vAlign w:val="bottom"/>
          </w:tcPr>
          <w:p>
            <w:pPr>
              <w:pStyle w:val="Compact"/>
              <w:jc w:val="right"/>
            </w:pPr>
            <w:r>
              <w:t xml:space="preserve">Tokens/issuer</w:t>
            </w:r>
          </w:p>
        </w:tc>
        <w:tc>
          <w:tcPr>
            <w:tcBorders>
              <w:bottom w:val="single"/>
            </w:tcBorders>
            <w:vAlign w:val="bottom"/>
          </w:tcPr>
          <w:p>
            <w:pPr>
              <w:pStyle w:val="Compact"/>
              <w:jc w:val="right"/>
            </w:pPr>
            <w:r>
              <w:t xml:space="preserve">$/1</w:t>
            </w:r>
            <w:r>
              <w:t xml:space="preserve">,</w:t>
            </w:r>
            <w:r>
              <w:t xml:space="preserve">000 (nano/flash)</w:t>
            </w:r>
          </w:p>
        </w:tc>
        <w:tc>
          <w:tcPr>
            <w:tcBorders>
              <w:bottom w:val="single"/>
            </w:tcBorders>
            <w:vAlign w:val="bottom"/>
          </w:tcPr>
          <w:p>
            <w:pPr>
              <w:pStyle w:val="Compact"/>
              <w:jc w:val="right"/>
            </w:pPr>
            <w:r>
              <w:t xml:space="preserve">$/1</w:t>
            </w:r>
            <w:r>
              <w:t xml:space="preserve">,</w:t>
            </w:r>
            <w:r>
              <w:t xml:space="preserve">000 (flagship)</w:t>
            </w:r>
          </w:p>
        </w:tc>
      </w:tr>
      <w:tr>
        <w:tc>
          <w:p>
            <w:pPr>
              <w:pStyle w:val="Compact"/>
              <w:jc w:val="right"/>
            </w:pPr>
            <w:r>
              <w:t xml:space="preserve">1</w:t>
            </w:r>
          </w:p>
        </w:tc>
        <w:tc>
          <w:p>
            <w:pPr>
              <w:pStyle w:val="Compact"/>
              <w:jc w:val="right"/>
            </w:pPr>
            <w:r>
              <w:t xml:space="preserve">416</w:t>
            </w:r>
          </w:p>
        </w:tc>
        <w:tc>
          <w:p>
            <w:pPr>
              <w:pStyle w:val="Compact"/>
              <w:jc w:val="right"/>
            </w:pPr>
            <w:r>
              <w:t xml:space="preserve">0.83</w:t>
            </w:r>
          </w:p>
        </w:tc>
        <w:tc>
          <w:p>
            <w:pPr>
              <w:pStyle w:val="Compact"/>
              <w:jc w:val="right"/>
            </w:pPr>
            <w:r>
              <w:t xml:space="preserve">13.12</w:t>
            </w:r>
          </w:p>
        </w:tc>
      </w:tr>
      <w:tr>
        <w:tc>
          <w:p>
            <w:pPr>
              <w:pStyle w:val="Compact"/>
              <w:jc w:val="right"/>
            </w:pPr>
            <w:r>
              <w:t xml:space="preserve">3</w:t>
            </w:r>
          </w:p>
        </w:tc>
        <w:tc>
          <w:p>
            <w:pPr>
              <w:pStyle w:val="Compact"/>
              <w:jc w:val="right"/>
            </w:pPr>
            <w:r>
              <w:t xml:space="preserve">1</w:t>
            </w:r>
            <w:r>
              <w:t xml:space="preserve">,</w:t>
            </w:r>
            <w:r>
              <w:t xml:space="preserve">248</w:t>
            </w:r>
          </w:p>
        </w:tc>
        <w:tc>
          <w:p>
            <w:pPr>
              <w:pStyle w:val="Compact"/>
              <w:jc w:val="right"/>
            </w:pPr>
            <w:r>
              <w:t xml:space="preserve">2.48</w:t>
            </w:r>
          </w:p>
        </w:tc>
        <w:tc>
          <w:p>
            <w:pPr>
              <w:pStyle w:val="Compact"/>
              <w:jc w:val="right"/>
            </w:pPr>
            <w:r>
              <w:t xml:space="preserve">39.37</w:t>
            </w:r>
          </w:p>
        </w:tc>
      </w:tr>
      <w:tr>
        <w:tc>
          <w:p>
            <w:pPr>
              <w:pStyle w:val="Compact"/>
              <w:jc w:val="right"/>
            </w:pPr>
            <w:r>
              <w:t xml:space="preserve">5</w:t>
            </w:r>
          </w:p>
        </w:tc>
        <w:tc>
          <w:p>
            <w:pPr>
              <w:pStyle w:val="Compact"/>
              <w:jc w:val="right"/>
            </w:pPr>
            <w:r>
              <w:t xml:space="preserve">2</w:t>
            </w:r>
            <w:r>
              <w:t xml:space="preserve">,</w:t>
            </w:r>
            <w:r>
              <w:t xml:space="preserve">080</w:t>
            </w:r>
          </w:p>
        </w:tc>
        <w:tc>
          <w:p>
            <w:pPr>
              <w:pStyle w:val="Compact"/>
              <w:jc w:val="right"/>
            </w:pPr>
            <w:r>
              <w:t xml:space="preserve">4.13</w:t>
            </w:r>
          </w:p>
        </w:tc>
        <w:tc>
          <w:p>
            <w:pPr>
              <w:pStyle w:val="Compact"/>
              <w:jc w:val="right"/>
            </w:pPr>
            <w:r>
              <w:t xml:space="preserve">65.61</w:t>
            </w:r>
          </w:p>
        </w:tc>
      </w:tr>
      <w:tr>
        <w:tc>
          <w:p>
            <w:pPr>
              <w:pStyle w:val="Compact"/>
              <w:jc w:val="right"/>
            </w:pPr>
            <w:r>
              <w:t xml:space="preserve">9</w:t>
            </w:r>
          </w:p>
        </w:tc>
        <w:tc>
          <w:p>
            <w:pPr>
              <w:pStyle w:val="Compact"/>
              <w:jc w:val="right"/>
            </w:pPr>
            <w:r>
              <w:t xml:space="preserve">3</w:t>
            </w:r>
            <w:r>
              <w:t xml:space="preserve">,</w:t>
            </w:r>
            <w:r>
              <w:t xml:space="preserve">745</w:t>
            </w:r>
          </w:p>
        </w:tc>
        <w:tc>
          <w:p>
            <w:pPr>
              <w:pStyle w:val="Compact"/>
              <w:jc w:val="right"/>
            </w:pPr>
            <w:r>
              <w:t xml:space="preserve">7.43</w:t>
            </w:r>
          </w:p>
        </w:tc>
        <w:tc>
          <w:p>
            <w:pPr>
              <w:pStyle w:val="Compact"/>
              <w:jc w:val="right"/>
            </w:pPr>
            <w:r>
              <w:t xml:space="preserve">118.10</w:t>
            </w:r>
          </w:p>
        </w:tc>
      </w:tr>
      <w:tr>
        <w:tc>
          <w:p>
            <w:pPr>
              <w:pStyle w:val="Compact"/>
              <w:jc w:val="right"/>
            </w:pPr>
            <w:r>
              <w:t xml:space="preserve">15</w:t>
            </w:r>
          </w:p>
        </w:tc>
        <w:tc>
          <w:p>
            <w:pPr>
              <w:pStyle w:val="Compact"/>
              <w:jc w:val="right"/>
            </w:pPr>
            <w:r>
              <w:t xml:space="preserve">6</w:t>
            </w:r>
            <w:r>
              <w:t xml:space="preserve">,</w:t>
            </w:r>
            <w:r>
              <w:t xml:space="preserve">242</w:t>
            </w:r>
          </w:p>
        </w:tc>
        <w:tc>
          <w:p>
            <w:pPr>
              <w:pStyle w:val="Compact"/>
              <w:jc w:val="right"/>
            </w:pPr>
            <w:r>
              <w:t xml:space="preserve">12.38</w:t>
            </w:r>
          </w:p>
        </w:tc>
        <w:tc>
          <w:p>
            <w:pPr>
              <w:pStyle w:val="Compact"/>
              <w:jc w:val="right"/>
            </w:pPr>
            <w:r>
              <w:t xml:space="preserve">196.84</w:t>
            </w:r>
          </w:p>
        </w:tc>
      </w:tr>
    </w:tbl>
    <w:bookmarkEnd w:id="55"/>
    <w:p>
      <w:pPr>
        <w:pStyle w:val="BodyText"/>
      </w:pPr>
      <w:r>
        <w:t xml:space="preserve">Token counts are the observed per-call means; dollar figures use provider list</w:t>
      </w:r>
      <w:r>
        <w:t xml:space="preserve"> </w:t>
      </w:r>
      <w:r>
        <w:t xml:space="preserve">pricing accessed August 2026 from the OpenAI and Google API pricing pages and will change as pricing</w:t>
      </w:r>
      <w:r>
        <w:t xml:space="preserve"> </w:t>
      </w:r>
      <w:r>
        <w:t xml:space="preserve">changes.</w:t>
      </w:r>
    </w:p>
    <w:p>
      <w:pPr>
        <w:pStyle w:val="Heading2"/>
      </w:pPr>
      <w:bookmarkStart w:id="56" w:name="sec:sis-gov"/>
      <w:r>
        <w:t xml:space="preserve">Governance workflow</w:t>
      </w:r>
      <w:bookmarkEnd w:id="56"/>
    </w:p>
    <w:p>
      <w:pPr>
        <w:pStyle w:val="FirstParagraph"/>
      </w:pPr>
      <w:r>
        <w:t xml:space="preserve">In a model-risk workflow the score sits between the model and the decision (Fig. </w:t>
      </w:r>
      <w:hyperlink w:anchor="fig:governance">
        <w:r>
          <w:rPr>
            <w:rStyle w:val="Hyperlink"/>
          </w:rPr>
          <w:t xml:space="preserve">[fig:governance]</w:t>
        </w:r>
      </w:hyperlink>
      <w:r>
        <w:t xml:space="preserve">).</w:t>
      </w:r>
      <w:r>
        <w:t xml:space="preserve"> </w:t>
      </w:r>
      <w:r>
        <w:t xml:space="preserve">Each issuer is elicited</w:t>
      </w:r>
      <w:r>
        <w:t xml:space="preserve"> </w:t>
      </w:r>
      <m:oMath>
        <m:r>
          <m:t>k</m:t>
        </m:r>
      </m:oMath>
      <w:r>
        <w:t xml:space="preserve"> </w:t>
      </w:r>
      <w:r>
        <w:t xml:space="preserve">times; the modal rating and its score are recorded; issuers whose modal rating</w:t>
      </w:r>
      <w:r>
        <w:t xml:space="preserve"> </w:t>
      </w:r>
      <w:r>
        <w:t xml:space="preserve">sits near a consequential boundary (such as IG/HY)</w:t>
      </w:r>
      <w:r>
        <w:t xml:space="preserve"> </w:t>
      </w:r>
      <w:r>
        <w:rPr>
          <w:i/>
        </w:rPr>
        <w:t xml:space="preserve">and</w:t>
      </w:r>
      <w:r>
        <w:t xml:space="preserve"> </w:t>
      </w:r>
      <w:r>
        <w:t xml:space="preserve">whose score exceeds a pre-set tolerance are</w:t>
      </w:r>
      <w:r>
        <w:t xml:space="preserve"> </w:t>
      </w:r>
      <w:r>
        <w:t xml:space="preserve">routed to human review, while stable issuers pass through. This yields an auditable, ground-truth-free</w:t>
      </w:r>
      <w:r>
        <w:t xml:space="preserve"> </w:t>
      </w:r>
      <w:r>
        <w:t xml:space="preserve">control that scales with the rating pipeline and directly answers a supervisory model-risk question:</w:t>
      </w:r>
      <w:r>
        <w:t xml:space="preserve"> </w:t>
      </w:r>
      <w:r>
        <w:t xml:space="preserve">how much of this rating is a property of the firm, and how much of how we asked?</w:t>
      </w:r>
    </w:p>
    <w:p>
      <w:pPr>
        <w:pStyle w:val="Heading1"/>
      </w:pPr>
      <w:bookmarkStart w:id="57" w:name="discussion"/>
      <w:r>
        <w:t xml:space="preserve">Discussion</w:t>
      </w:r>
      <w:bookmarkEnd w:id="57"/>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t xml:space="preserve">No single controllable design choice explains more than</w:t>
      </w:r>
      <w:r>
        <w:t xml:space="preserve"> </w:t>
      </w:r>
      <m:oMath>
        <m:r>
          <m:t>∼</m:t>
        </m:r>
      </m:oMath>
      <w:r>
        <w:t xml:space="preserve">5% of rating variance. Of the</w:t>
      </w:r>
      <w:r>
        <w:t xml:space="preserve"> </w:t>
      </w:r>
      <m:oMath>
        <m:r>
          <m:t>∼</m:t>
        </m:r>
      </m:oMath>
      <w:r>
        <w:t xml:space="preserve">25%</w:t>
      </w:r>
      <w:r>
        <w:t xml:space="preserve"> </w:t>
      </w:r>
      <w:r>
        <w:t xml:space="preserve">OLS residual, only about 8% is pure run-to-run seed variation; the rest is not identified as to</w:t>
      </w:r>
      <w:r>
        <w:t xml:space="preserve"> </w:t>
      </w:r>
      <w:r>
        <w:t xml:space="preserve">source under this resolution-limited design and is reported descriptively. The headline stability</w:t>
      </w:r>
      <w:r>
        <w:t xml:space="preserve"> </w:t>
      </w:r>
      <w:r>
        <w:t xml:space="preserve">conclusions do not depend on this decomposition. Under the descriptive main-effects decomposition no</w:t>
      </w:r>
      <w:r>
        <w:t xml:space="preserve"> </w:t>
      </w:r>
      <w:r>
        <w:t xml:space="preserve">measured main-effect share dominates; because interactions are not separately identified, this should not</w:t>
      </w:r>
      <w:r>
        <w:t xml:space="preserve"> </w:t>
      </w:r>
      <w:r>
        <w:t xml:space="preserve">be read as establishing that no individual design choice or interaction can have a larger causal effect.</w:t>
      </w:r>
      <w:r>
        <w:t xml:space="preserve"> </w:t>
      </w:r>
      <w:r>
        <w:t xml:space="preserve">The instability is nonetheless not dismissible as mere sampling noise (pure-seed variance is a minority of</w:t>
      </w:r>
      <w:r>
        <w:t xml:space="preserve"> </w:t>
      </w:r>
      <w:r>
        <w:t xml:space="preserve">the residual), and the headline flip and agreement results are model-free.</w:t>
      </w:r>
    </w:p>
    <w:p>
      <w:pPr>
        <w:pStyle w:val="BodyText"/>
      </w:pPr>
      <w:r>
        <w:t xml:space="preserve">It is useful to separate two kinds of risk this induces, because they call for different controls.</w:t>
      </w:r>
      <w:r>
        <w:t xml:space="preserve"> </w:t>
      </w:r>
      <w:r>
        <w:rPr>
          <w:i/>
        </w:rPr>
        <w:t xml:space="preserve">Build-time</w:t>
      </w:r>
      <w:r>
        <w:t xml:space="preserve"> </w:t>
      </w:r>
      <w:r>
        <w:t xml:space="preserve">risk is the one-time consequence of fixing a particular provider, model snapshot, and</w:t>
      </w:r>
      <w:r>
        <w:t xml:space="preserve"> </w:t>
      </w:r>
      <w:r>
        <w:t xml:space="preserve">prompt template when a system is designed: under the descriptive main-effects decomposition no individual</w:t>
      </w:r>
      <w:r>
        <w:t xml:space="preserve"> </w:t>
      </w:r>
      <w:r>
        <w:t xml:space="preserve">design axis accounts for more than about 5% of variance (these shares are not identified causal effects) and the</w:t>
      </w:r>
      <w:r>
        <w:t xml:space="preserve"> </w:t>
      </w:r>
      <w:r>
        <w:t xml:space="preserve">provider</w:t>
      </w:r>
      <m:oMath>
        <m:r>
          <m:t>×</m:t>
        </m:r>
      </m:oMath>
      <w:r>
        <w:t xml:space="preserve">item interaction is non-negligible, so the chosen configuration selects a point on the</w:t>
      </w:r>
      <w:r>
        <w:t xml:space="preserve"> </w:t>
      </w:r>
      <w:r>
        <w:t xml:space="preserve">specification curve that need not generalize to other defensible configurations.</w:t>
      </w:r>
      <w:r>
        <w:t xml:space="preserve"> </w:t>
      </w:r>
      <w:r>
        <w:rPr>
          <w:i/>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w:t>
      </w:r>
      <w:hyperlink w:anchor="sec:sis">
        <w:r>
          <w:rPr>
            <w:rStyle w:val="Hyperlink"/>
          </w:rPr>
          <w:t xml:space="preserve">4</w:t>
        </w:r>
      </w:hyperlink>
      <w:r>
        <w:t xml:space="preserve">), run-time risk by</w:t>
      </w:r>
      <w:r>
        <w:t xml:space="preserve"> </w:t>
      </w:r>
      <w:r>
        <w:t xml:space="preserve">aggregating repeated calls (self-consistency, Section </w:t>
      </w:r>
      <w:hyperlink w:anchor="sec:selfcons">
        <w:r>
          <w:rPr>
            <w:rStyle w:val="Hyperlink"/>
          </w:rPr>
          <w:t xml:space="preserve">3.9</w:t>
        </w:r>
      </w:hyperlink>
      <w:r>
        <w:t xml:space="preserve">),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w:t>
      </w:r>
      <w:r>
        <w:t xml:space="preserve"> </w:t>
      </w:r>
      <w:r>
        <w:t xml:space="preserve">clean: 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variation is still observed. The real-issuer arm is therefore treated as an illustrative</w:t>
      </w:r>
      <w:r>
        <w:t xml:space="preserve"> </w:t>
      </w:r>
      <w:r>
        <w:t xml:space="preserve">descriptive check; its sample size does not support quantitative equivalence with the controlled battery.</w:t>
      </w:r>
    </w:p>
    <w:p>
      <w:pPr>
        <w:pStyle w:val="Heading2"/>
      </w:pPr>
      <w:bookmarkStart w:id="58" w:name="X2bebcfc129584344eb51db502bf03f0d16b8b0d"/>
      <w:r>
        <w:t xml:space="preserve">Mitigating exact-figure recognition in real-issuer evaluations</w:t>
      </w:r>
      <w:bookmarkEnd w:id="58"/>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w:t>
      </w:r>
      <w:r>
        <w:t xml:space="preserve"> </w:t>
      </w:r>
      <w:r>
        <w:t xml:space="preserve">combined with explicit identification testing is a practical way to mitigate this risk when evaluating</w:t>
      </w:r>
      <w:r>
        <w:t xml:space="preserve"> </w:t>
      </w:r>
      <w:r>
        <w:t xml:space="preserve">LLMs on public financial entities.</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p>
      <w:pPr>
        <w:pStyle w:val="Heading2"/>
      </w:pPr>
      <w:bookmarkStart w:id="59" w:name="limitations"/>
      <w:r>
        <w:t xml:space="preserve">Limitations</w:t>
      </w:r>
      <w:bookmarkEnd w:id="59"/>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w:t>
      </w:r>
      <w:hyperlink w:anchor="tab:models">
        <w:r>
          <w:rPr>
            <w:rStyle w:val="Hyperlink"/>
          </w:rPr>
          <w:t xml:space="preserve">9</w:t>
        </w:r>
      </w:hyperlink>
      <w:r>
        <w:t xml:space="preserve">); the 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examined in Section </w:t>
      </w:r>
      <w:hyperlink w:anchor="sec:tier">
        <w:r>
          <w:rPr>
            <w:rStyle w:val="Hyperlink"/>
          </w:rPr>
          <w:t xml:space="preserve">3.7</w:t>
        </w:r>
      </w:hyperlink>
      <w:r>
        <w:t xml:space="preserve">: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We interpret this as not detecting attenuation (wide interval, absence of evidence</w:t>
      </w:r>
      <w:r>
        <w:t xml:space="preserve"> </w:t>
      </w:r>
      <w:r>
        <w:t xml:space="preserve">result) rather than as proof that scale does not matter; the reasoning-architecture arm</w:t>
      </w:r>
      <w:r>
        <w:t xml:space="preserve"> </w:t>
      </w:r>
      <w:r>
        <w:t xml:space="preserve">(Section </w:t>
      </w:r>
      <w:hyperlink w:anchor="sec:reasoning">
        <w:r>
          <w:rPr>
            <w:rStyle w:val="Hyperlink"/>
          </w:rPr>
          <w:t xml:space="preserve">3.8</w:t>
        </w:r>
      </w:hyperlink>
      <w:r>
        <w:t xml:space="preserve">) also shows specification sensitivity remains in another model</w:t>
      </w:r>
      <w:r>
        <w:t xml:space="preserve"> </w:t>
      </w:r>
      <w:r>
        <w:t xml:space="preserve">class. The flagship comparison is based on one model per provider on a reduced grid, and a fuller frontier</w:t>
      </w:r>
      <w:r>
        <w:t xml:space="preserve"> </w:t>
      </w:r>
      <w:r>
        <w:t xml:space="preserve">sweep remains a useful 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 considered; we report</w:t>
      </w:r>
      <w:r>
        <w:t xml:space="preserve"> </w:t>
      </w:r>
      <w:r>
        <w:t xml:space="preserve">profile-clustered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perturbation-and-fingerprint-screening design. This sample explores external validity descriptively but is much smaller than the</w:t>
      </w:r>
      <w:r>
        <w:t xml:space="preserve"> </w:t>
      </w:r>
      <w:r>
        <w:t xml:space="preserve">controlled battery at the relevant strata. The WATCH-stratum sample is small, and quantitative equivalence</w:t>
      </w:r>
      <w:r>
        <w:t xml:space="preserve"> </w:t>
      </w:r>
      <w:r>
        <w:t xml:space="preserve">between the real and constructed estimates is not established.</w:t>
      </w:r>
    </w:p>
    <w:p>
      <w:pPr>
        <w:pStyle w:val="BodyText"/>
      </w:pPr>
      <w:r>
        <w:t xml:space="preserve">Fourth, the study measures stability, not absolute credit-rating capability. The Altman Z</w:t>
      </w:r>
      <m:oMath>
        <m: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 reference;</w:t>
      </w:r>
      <w:r>
        <w:t xml:space="preserve"> </w:t>
      </w:r>
      <w:r>
        <w:t xml:space="preserve">neither 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t xml:space="preserve">partially aliased with two-factor interactions. We therefore read the decomposition main-effects-first</w:t>
      </w:r>
      <w:r>
        <w:t xml:space="preserve"> </w:t>
      </w:r>
      <w:r>
        <w:t xml:space="preserve">and report the structured portion of the residual as</w:t>
      </w:r>
      <w:r>
        <w:t xml:space="preserve"> </w:t>
      </w:r>
      <w:r>
        <w:t xml:space="preserve">“</w:t>
      </w:r>
      <w:r>
        <w:t xml:space="preserve">unmodeled interactions</w:t>
      </w:r>
      <w:r>
        <w:t xml:space="preserve">”</w:t>
      </w:r>
      <w:r>
        <w:t xml:space="preserve"> </w:t>
      </w:r>
      <w:r>
        <w:t xml:space="preserve">rather than attributing</w:t>
      </w:r>
      <w:r>
        <w:t xml:space="preserve"> </w:t>
      </w:r>
      <w:r>
        <w:t xml:space="preserve">it to specific axes; the headline stability results (flip shares, agreement) are model-free and do not</w:t>
      </w:r>
      <w:r>
        <w:t xml:space="preserve"> </w:t>
      </w:r>
      <w:r>
        <w:t xml:space="preserve">depend on the ANOVA partition.</w:t>
      </w:r>
    </w:p>
    <w:p>
      <w:pPr>
        <w:pStyle w:val="BodyText"/>
      </w:pPr>
      <w:r>
        <w:t xml:space="preserve">Within these bounds, the main stability finding is robust across the specification curve, the</w:t>
      </w:r>
      <w:r>
        <w:t xml:space="preserve"> </w:t>
      </w:r>
      <w:r>
        <w:t xml:space="preserve">temperature-0-honored subgrid, the provider comparison, and the rating-resolution analysis, and is further</w:t>
      </w:r>
      <w:r>
        <w:t xml:space="preserve"> </w:t>
      </w:r>
      <w:r>
        <w:t xml:space="preserve">illustrated descriptively by the perturbed and fingerprint-screened real-firm arm.</w:t>
      </w:r>
    </w:p>
    <w:p>
      <w:pPr>
        <w:pStyle w:val="Heading2"/>
      </w:pPr>
      <w:bookmarkStart w:id="60" w:name="future-directions"/>
      <w:r>
        <w:t xml:space="preserve">Future directions</w:t>
      </w:r>
      <w:bookmarkEnd w:id="60"/>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perturbation-and-fingerprint-screening</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We present these findings as a case study of the evaluated systems rather than as a universal</w:t>
      </w:r>
      <w:r>
        <w:t xml:space="preserve"> </w:t>
      </w:r>
      <w:r>
        <w:t xml:space="preserve">numerical constant.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p>
      <w:pPr>
        <w:pStyle w:val="Heading1"/>
      </w:pPr>
      <w:bookmarkStart w:id="61" w:name="methods"/>
      <w:r>
        <w:t xml:space="preserve">Methods</w:t>
      </w:r>
      <w:bookmarkEnd w:id="61"/>
    </w:p>
    <w:p>
      <w:pPr>
        <w:pStyle w:val="Heading2"/>
      </w:pPr>
      <w:bookmarkStart w:id="62" w:name="design-battery-and-benchmark"/>
      <w:r>
        <w:t xml:space="preserve">Design, battery, and benchmark</w:t>
      </w:r>
      <w:bookmarkEnd w:id="62"/>
    </w:p>
    <w:p>
      <w:pPr>
        <w:pStyle w:val="FirstParagraph"/>
      </w:pPr>
      <w:r>
        <w:t xml:space="preserve">The study is designed to measure</w:t>
      </w:r>
      <w:r>
        <w:t xml:space="preserve"> </w:t>
      </w:r>
      <w:r>
        <w:rPr>
          <w:i/>
        </w:rPr>
        <w:t xml:space="preserve">elicitation stability</w:t>
      </w:r>
      <w:r>
        <w:t xml:space="preserve">: 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perturbed and fingerprint-screened real-firm</w:t>
      </w:r>
      <w:r>
        <w:t xml:space="preserve"> </w:t>
      </w:r>
      <w:r>
        <w:t xml:space="preserve">sample for a complementary descriptive external-validity check.</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analyses in this paper use the 45 credit-health profiles; the 45 directional</w:t>
      </w:r>
      <w:r>
        <w:t xml:space="preserve"> </w:t>
      </w:r>
      <w:r>
        <w:t xml:space="preserve">profiles are part of the pre-registered battery but are not analyzed here.</w:t>
      </w:r>
    </w:p>
    <w:p>
      <w:pPr>
        <w:pStyle w:val="BodyText"/>
      </w:pPr>
      <w:r>
        <w:t xml:space="preserve">For the credit-health task, each profile is associated with a pre-specified Altman Z</w:t>
      </w:r>
      <m:oMath>
        <m:r>
          <m:t>″</m:t>
        </m:r>
      </m:oMath>
      <w:r>
        <w:t xml:space="preserve"> </w:t>
      </w:r>
      <w:r>
        <w:t xml:space="preserve">accounting-based</w:t>
      </w:r>
      <w:r>
        <w:t xml:space="preserve"> </w:t>
      </w:r>
      <w:r>
        <w:t xml:space="preserve">reference</w:t>
      </w:r>
      <w:r>
        <w:t xml:space="preserve"> </w:t>
      </w:r>
      <w:r>
        <w:t xml:space="preserve">, computed with coefficients 6.56, 3.26, 6.72, and 1.05 and cutoffs 2.60 and</w:t>
      </w:r>
      <w:r>
        <w:t xml:space="preserve"> </w:t>
      </w:r>
      <w:r>
        <w:t xml:space="preserve">1.10 (Z</w:t>
      </w:r>
      <m:oMath>
        <m:r>
          <m:t>″</m:t>
        </m:r>
        <m:r>
          <m:t>≥</m:t>
        </m:r>
        <m:r>
          <m:t>2.60</m:t>
        </m:r>
      </m:oMath>
      <w:r>
        <w:t xml:space="preserve"> </w:t>
      </w:r>
      <w:r>
        <w:t xml:space="preserve">= safe,</w:t>
      </w:r>
      <w:r>
        <w:t xml:space="preserve"> </w:t>
      </w:r>
      <m:oMath>
        <m:r>
          <m:t>1.10</m:t>
        </m:r>
        <m:r>
          <m:t>&lt;</m:t>
        </m:r>
        <m:r>
          <m:t>​</m:t>
        </m:r>
      </m:oMath>
      <w:r>
        <w:t xml:space="preserve">Z</w:t>
      </w:r>
      <m:oMath>
        <m:r>
          <m:t>″</m:t>
        </m:r>
        <m:r>
          <m:t>&lt;</m:t>
        </m:r>
        <m:r>
          <m:t>2.60</m:t>
        </m:r>
      </m:oMath>
      <w:r>
        <w:t xml:space="preserve"> </w:t>
      </w:r>
      <w:r>
        <w:t xml:space="preserve">= watch, Z</w:t>
      </w:r>
      <m:oMath>
        <m:r>
          <m:t>″</m:t>
        </m:r>
        <m: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w:t>
      </w:r>
      <w:hyperlink w:anchor="tab:map">
        <w:r>
          <w:rPr>
            <w:rStyle w:val="Hyperlink"/>
          </w:rPr>
          <w:t xml:space="preserve">8</w:t>
        </w:r>
      </w:hyperlink>
      <w:r>
        <w:t xml:space="preserve">; the 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63" w:name="tab:map"/>
    <w:p>
      <w:pPr>
        <w:pStyle w:val="TableCaption"/>
      </w:pPr>
      <w:r>
        <w:t xml:space="preserve">Deterministic mapping from the machine letter rating to coarser resolutions, and the Altman</w:t>
      </w:r>
      <w:r>
        <w:t xml:space="preserve"> </w:t>
      </w:r>
      <w:r>
        <w:t xml:space="preserve">Z</w:t>
      </w:r>
      <m:oMath>
        <m:r>
          <m:t>″</m:t>
        </m:r>
      </m:oMath>
      <w:r>
        <w:t xml:space="preserve"> </w:t>
      </w:r>
      <w:r>
        <w:t xml:space="preserve">benchmark strata. The three-way band and the IG/HY split share the same investment-grade cut.</w:t>
      </w:r>
    </w:p>
    <w:tbl>
      <w:tblPr>
        <w:tblStyle w:val="Table"/>
        <w:tblW w:type="pct" w:w="0.0"/>
        <w:tblLook w:firstRow="1"/>
        <w:tblCaption w:val="Deterministic mapping from the machine letter rating to coarser resolutions, and the Altman Z'' benchmark strata. The three-way band and the IG/HY split share the same investment-grade cut."/>
      </w:tblPr>
      <w:tblGrid/>
      <w:tr>
        <w:trPr>
          <w:cnfStyle w:firstRow="1"/>
        </w:trPr>
        <w:tc>
          <w:tcPr>
            <w:tcBorders>
              <w:bottom w:val="single"/>
            </w:tcBorders>
            <w:vAlign w:val="bottom"/>
          </w:tcPr>
          <w:p>
            <w:pPr>
              <w:pStyle w:val="Compact"/>
              <w:jc w:val="left"/>
            </w:pPr>
            <w:r>
              <w:t xml:space="preserve">Letter grade</w:t>
            </w:r>
          </w:p>
        </w:tc>
        <w:tc>
          <w:tcPr>
            <w:tcBorders>
              <w:bottom w:val="single"/>
            </w:tcBorders>
            <w:vAlign w:val="bottom"/>
          </w:tcPr>
          <w:p>
            <w:pPr>
              <w:pStyle w:val="Compact"/>
              <w:jc w:val="left"/>
            </w:pPr>
            <w:r>
              <w:t xml:space="preserve">Notch</w:t>
            </w:r>
          </w:p>
        </w:tc>
        <w:tc>
          <w:tcPr>
            <w:tcBorders>
              <w:bottom w:val="single"/>
            </w:tcBorders>
            <w:vAlign w:val="bottom"/>
          </w:tcPr>
          <w:p>
            <w:pPr>
              <w:pStyle w:val="Compact"/>
              <w:jc w:val="left"/>
            </w:pPr>
            <w:r>
              <w:t xml:space="preserve">Three-way band</w:t>
            </w:r>
          </w:p>
        </w:tc>
        <w:tc>
          <w:tcPr>
            <w:tcBorders>
              <w:bottom w:val="single"/>
            </w:tcBorders>
            <w:vAlign w:val="bottom"/>
          </w:tcPr>
          <w:p>
            <w:pPr>
              <w:pStyle w:val="Compact"/>
              <w:jc w:val="left"/>
            </w:pPr>
            <w:r>
              <w:t xml:space="preserve">IG/HY</w:t>
            </w:r>
          </w:p>
        </w:tc>
      </w:tr>
      <w:tr>
        <w:tc>
          <w:p>
            <w:pPr>
              <w:pStyle w:val="Compact"/>
              <w:jc w:val="left"/>
            </w:pPr>
            <w:r>
              <w:t xml:space="preserve">AAA</w:t>
            </w:r>
          </w:p>
        </w:tc>
        <w:tc>
          <w:p>
            <w:pPr>
              <w:pStyle w:val="Compact"/>
              <w:jc w:val="left"/>
            </w:pPr>
            <w:r>
              <w:t xml:space="preserve">AAA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m:oMath>
              <m:r>
                <m:t>+</m:t>
              </m:r>
            </m:oMath>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m:oMath>
              <m:r>
                <m:t>−</m:t>
              </m:r>
            </m:oMath>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m:oMath>
              <m:r>
                <m:t>+</m:t>
              </m:r>
            </m:oMath>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m:oMath>
              <m:r>
                <m:t>−</m:t>
              </m:r>
            </m:oMath>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m:oMath>
              <m:r>
                <m:t>+</m:t>
              </m:r>
            </m:oMath>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m:oMath>
              <m:r>
                <m:t>−</m:t>
              </m:r>
            </m:oMath>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w:t>
            </w:r>
            <m:oMath>
              <m:r>
                <m:t>+</m:t>
              </m:r>
            </m:oMath>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BB</w:t>
            </w:r>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BB</w:t>
            </w:r>
            <m:oMath>
              <m:r>
                <m:t>−</m:t>
              </m:r>
            </m:oMath>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m:oMath>
              <m:r>
                <m:t>+</m:t>
              </m:r>
            </m:oMath>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m:oMath>
              <m:r>
                <m:t>−</m:t>
              </m:r>
            </m:oMath>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CCC</w:t>
            </w:r>
            <m:oMath>
              <m:r>
                <m:t>+</m:t>
              </m:r>
            </m:oMath>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CCC</w:t>
            </w:r>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CCC</w:t>
            </w:r>
            <m:oMath>
              <m:r>
                <m:t>−</m:t>
              </m:r>
            </m:oMath>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w:t>
            </w:r>
          </w:p>
        </w:tc>
        <w:tc>
          <w:p>
            <w:pPr>
              <w:pStyle w:val="Compact"/>
              <w:jc w:val="left"/>
            </w:pPr>
            <w:r>
              <w:t xml:space="preserve">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w:t>
            </w:r>
          </w:p>
        </w:tc>
        <w:tc>
          <w:p>
            <w:pPr>
              <w:pStyle w:val="Compact"/>
              <w:jc w:val="left"/>
            </w:pPr>
            <w:r>
              <w:t xml:space="preserve">C</w:t>
            </w:r>
          </w:p>
        </w:tc>
        <w:tc>
          <w:p>
            <w:pPr>
              <w:pStyle w:val="Compact"/>
              <w:jc w:val="left"/>
            </w:pPr>
            <w:r>
              <w:t xml:space="preserve">DISTRESS</w:t>
            </w:r>
          </w:p>
        </w:tc>
        <w:tc>
          <w:p>
            <w:pPr>
              <w:pStyle w:val="Compact"/>
              <w:jc w:val="left"/>
            </w:pPr>
            <w:r>
              <w:t xml:space="preserve">High yield</w:t>
            </w:r>
          </w:p>
        </w:tc>
      </w:tr>
    </w:tbl>
    <w:bookmarkEnd w:id="63"/>
    <w:p>
      <w:pPr>
        <w:pStyle w:val="BodyText"/>
      </w:pPr>
      <w:r>
        <w:t xml:space="preserve">The notch resolution drops the</w:t>
      </w:r>
      <w:r>
        <w:t xml:space="preserve"> </w:t>
      </w:r>
      <m:oMath>
        <m:r>
          <m:t>+</m:t>
        </m:r>
      </m:oMath>
      <w:r>
        <w:t xml:space="preserve">/</w:t>
      </w:r>
      <m:oMath>
        <m:r>
          <m:t>−</m:t>
        </m:r>
      </m:oMath>
      <w:r>
        <w:t xml:space="preserve"> </w:t>
      </w:r>
      <w:r>
        <w:t xml:space="preserve">modifiers, collapsing</w:t>
      </w:r>
      <w:r>
        <w:t xml:space="preserve"> </w:t>
      </w:r>
      <w:r>
        <w:t xml:space="preserve">the 21 letter grades to 9 notches.</w:t>
      </w:r>
      <w:r>
        <w:t xml:space="preserve"> </w:t>
      </w:r>
      <w:r>
        <w:rPr>
          <w:i/>
        </w:rPr>
        <w:t xml:space="preserve">Altman Z</w:t>
      </w:r>
      <m:oMath>
        <m:r>
          <m:t>″</m:t>
        </m:r>
      </m:oMath>
      <w:r>
        <w:rPr>
          <w:i/>
        </w:rPr>
        <w:t xml:space="preserve"> </w:t>
      </w:r>
      <w:r>
        <w:rPr>
          <w:i/>
        </w:rPr>
        <w:t xml:space="preserve">strata:</w:t>
      </w:r>
      <w:r>
        <w:t xml:space="preserve"> </w:t>
      </w:r>
      <w:r>
        <w:t xml:space="preserve">SAFE</w:t>
      </w:r>
      <w:r>
        <w:t xml:space="preserve"> </w:t>
      </w:r>
      <m:oMath>
        <m: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t>≤</m:t>
        </m:r>
        <m:r>
          <m:t>1.10</m:t>
        </m:r>
      </m:oMath>
      <w:r>
        <w:t xml:space="preserve">.</w:t>
      </w:r>
    </w:p>
    <w:p>
      <w:pPr>
        <w:pStyle w:val="Heading2"/>
      </w:pPr>
      <w:bookmarkStart w:id="64" w:name="specification-grid-and-data-collection"/>
      <w:r>
        <w:t xml:space="preserve">Specification grid and data collection</w:t>
      </w:r>
      <w:bookmarkEnd w:id="64"/>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w:t>
      </w:r>
      <w:hyperlink w:anchor="tab:models">
        <w:r>
          <w:rPr>
            <w:rStyle w:val="Hyperlink"/>
          </w:rPr>
          <w:t xml:space="preserve">9</w:t>
        </w:r>
      </w:hyperlink>
      <w:r>
        <w:t xml:space="preserve">. A balance-constrained</w:t>
      </w:r>
      <w:r>
        <w:t xml:space="preserve"> </w:t>
      </w:r>
      <w:r>
        <w:t xml:space="preserve">D-optimal fractional grid was generated from an effect-coded main-effects model with the design seed</w:t>
      </w:r>
      <w:r>
        <w:t xml:space="preserve"> </w:t>
      </w:r>
      <w:r>
        <w:t xml:space="preserve">frozen in advance; the two-provider portion used here comprises 32 specifications, each evaluated over</w:t>
      </w:r>
      <w:r>
        <w:t xml:space="preserve"> </w:t>
      </w:r>
      <w:r>
        <w:t xml:space="preserve">three seeds. Provider metadata were preserved as returned, including effective generation settings where</w:t>
      </w:r>
      <w:r>
        <w:t xml:space="preserve"> </w:t>
      </w:r>
      <w:r>
        <w:t xml:space="preserve">available; the requested temperature of 0 was not uniformly honored by providers.</w:t>
      </w:r>
    </w:p>
    <w:p>
      <w:pPr>
        <w:pStyle w:val="BodyText"/>
      </w:pPr>
      <w:r>
        <w:t xml:space="preserve">The confirmatory experiment therefore comprises</w:t>
      </w:r>
      <w:r>
        <w:t xml:space="preserve"> </w:t>
      </w:r>
      <m:oMath>
        <m:r>
          <m:t>90</m:t>
        </m:r>
        <m:r>
          <m:t>×</m:t>
        </m:r>
        <m:r>
          <m:t>32</m:t>
        </m:r>
        <m:r>
          <m:t>×</m:t>
        </m:r>
        <m:r>
          <m:t>3</m:t>
        </m:r>
        <m:r>
          <m:t>=</m:t>
        </m:r>
        <m:r>
          <m:t>8</m:t>
        </m:r>
        <m:r>
          <m:t>,</m:t>
        </m:r>
        <m:r>
          <m:t>640</m:t>
        </m:r>
      </m:oMath>
      <w:r>
        <w:t xml:space="preserve"> </w:t>
      </w:r>
      <w:r>
        <w:t xml:space="preserve">elicitation cells</w:t>
      </w:r>
      <w:r>
        <w:t xml:space="preserve"> </w:t>
      </w:r>
      <w:r>
        <w:t xml:space="preserve">(</w:t>
      </w:r>
      <m:oMath>
        <m:r>
          <m:t>4</m:t>
        </m:r>
        <m: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t>%</m:t>
        </m:r>
      </m:oMath>
      <w:r>
        <w:t xml:space="preserve">) are dropped listwise: they 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65" w:name="tab:models"/>
    <w:p>
      <w:pPr>
        <w:pStyle w:val="TableCaption"/>
      </w:pPr>
      <w:r>
        <w:t xml:space="preserve">Model snapshots evaluated. The four confirmatory snapshots (two providers, current and prior</w:t>
      </w:r>
      <w:r>
        <w:t xml:space="preserve"> </w:t>
      </w:r>
      <w:r>
        <w:t xml:space="preserve">each) constitute the main</w:t>
      </w:r>
      <w:r>
        <w:t xml:space="preserve"> </w:t>
      </w:r>
      <m:oMath>
        <m:r>
          <m:t>8</m:t>
        </m:r>
        <m:r>
          <m:t>,</m:t>
        </m:r>
        <m:r>
          <m:t>640</m:t>
        </m:r>
      </m:oMath>
      <w:r>
        <w:t xml:space="preserve">-cell experiment; the two flagship snapshots are the separate</w:t>
      </w:r>
      <w:r>
        <w:t xml:space="preserve"> </w:t>
      </w:r>
      <w:r>
        <w:t xml:space="preserve">model-tier robustness arm (Section </w:t>
      </w:r>
      <w:hyperlink w:anchor="sec:tier">
        <w:r>
          <w:rPr>
            <w:rStyle w:val="Hyperlink"/>
          </w:rPr>
          <w:t xml:space="preserve">3.7</w:t>
        </w:r>
      </w:hyperlink>
      <w:r>
        <w:t xml:space="preserve">). Responses were collected once and frozen; all</w:t>
      </w:r>
      <w:r>
        <w:t xml:space="preserve"> </w:t>
      </w:r>
      <w:r>
        <w:t xml:space="preserve">reported results reproduce offline from the frozen corpus.</w:t>
      </w:r>
    </w:p>
    <w:tbl>
      <w:tblPr>
        <w:tblStyle w:val="Table"/>
        <w:tblW w:type="pct" w:w="0.0"/>
        <w:tblLook w:firstRow="1"/>
        <w:tblCaption w:val="Model snapshots evaluated. The four confirmatory snapshots (two providers, current and prior each) constitute the main 8{,}640-cell experiment; the two flagship snapshots are the separate model-tier robustness arm (Section 3.7). Responses were collected once and frozen; all reported results reproduce offline from the frozen corpus."/>
      </w:tblPr>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Model snapshot</w:t>
            </w:r>
          </w:p>
        </w:tc>
        <w:tc>
          <w:tcPr>
            <w:tcBorders>
              <w:bottom w:val="single"/>
            </w:tcBorders>
            <w:vAlign w:val="bottom"/>
          </w:tcPr>
          <w:p>
            <w:pPr>
              <w:pStyle w:val="Compact"/>
              <w:jc w:val="left"/>
            </w:pPr>
            <w:r>
              <w:t xml:space="preserve">Role</w:t>
            </w:r>
          </w:p>
        </w:tc>
      </w:tr>
      <w:tr>
        <w:tc>
          <w:p>
            <w:pPr>
              <w:pStyle w:val="Compact"/>
              <w:jc w:val="left"/>
            </w:pPr>
            <w:r>
              <w:t xml:space="preserve">OpenAI</w:t>
            </w:r>
          </w:p>
        </w:tc>
        <w:tc>
          <w:p>
            <w:pPr>
              <w:pStyle w:val="Compact"/>
              <w:jc w:val="left"/>
            </w:pPr>
            <w:r>
              <w:rPr>
                <w:rStyle w:val="VerbatimChar"/>
              </w:rPr>
              <w:t xml:space="preserve">gpt-5.4-nano</w:t>
            </w:r>
          </w:p>
        </w:tc>
        <w:tc>
          <w:p>
            <w:pPr>
              <w:pStyle w:val="Compact"/>
              <w:jc w:val="left"/>
            </w:pPr>
            <w:r>
              <w:t xml:space="preserve">current (confirmatory)</w:t>
            </w:r>
          </w:p>
        </w:tc>
      </w:tr>
      <w:tr>
        <w:tc>
          <w:p>
            <w:pPr>
              <w:pStyle w:val="Compact"/>
              <w:jc w:val="left"/>
            </w:pPr>
            <w:r>
              <w:t xml:space="preserve">OpenAI</w:t>
            </w:r>
          </w:p>
        </w:tc>
        <w:tc>
          <w:p>
            <w:pPr>
              <w:pStyle w:val="Compact"/>
              <w:jc w:val="left"/>
            </w:pPr>
            <w:r>
              <w:rPr>
                <w:rStyle w:val="VerbatimChar"/>
              </w:rPr>
              <w:t xml:space="preserve">gpt-5-nano-2025-08-07</w:t>
            </w:r>
          </w:p>
        </w:tc>
        <w:tc>
          <w:p>
            <w:pPr>
              <w:pStyle w:val="Compact"/>
              <w:jc w:val="left"/>
            </w:pPr>
            <w:r>
              <w:t xml:space="preserve">prior (confirmatory)</w:t>
            </w:r>
          </w:p>
        </w:tc>
      </w:tr>
      <w:tr>
        <w:tc>
          <w:p>
            <w:pPr>
              <w:pStyle w:val="Compact"/>
              <w:jc w:val="left"/>
            </w:pPr>
            <w:r>
              <w:t xml:space="preserve">Google</w:t>
            </w:r>
          </w:p>
        </w:tc>
        <w:tc>
          <w:p>
            <w:pPr>
              <w:pStyle w:val="Compact"/>
              <w:jc w:val="left"/>
            </w:pPr>
            <w:r>
              <w:rPr>
                <w:rStyle w:val="VerbatimChar"/>
              </w:rPr>
              <w:t xml:space="preserve">gemini-3.5-flash</w:t>
            </w:r>
          </w:p>
        </w:tc>
        <w:tc>
          <w:p>
            <w:pPr>
              <w:pStyle w:val="Compact"/>
              <w:jc w:val="left"/>
            </w:pPr>
            <w:r>
              <w:t xml:space="preserve">current (confirmatory)</w:t>
            </w:r>
          </w:p>
        </w:tc>
      </w:tr>
      <w:tr>
        <w:tc>
          <w:p>
            <w:pPr>
              <w:pStyle w:val="Compact"/>
              <w:jc w:val="left"/>
            </w:pPr>
            <w:r>
              <w:t xml:space="preserve">Google</w:t>
            </w:r>
          </w:p>
        </w:tc>
        <w:tc>
          <w:p>
            <w:pPr>
              <w:pStyle w:val="Compact"/>
              <w:jc w:val="left"/>
            </w:pPr>
            <w:r>
              <w:rPr>
                <w:rStyle w:val="VerbatimChar"/>
              </w:rPr>
              <w:t xml:space="preserve">gemini-2.5-flash</w:t>
            </w:r>
          </w:p>
        </w:tc>
        <w:tc>
          <w:p>
            <w:pPr>
              <w:pStyle w:val="Compact"/>
              <w:jc w:val="left"/>
            </w:pPr>
            <w:r>
              <w:t xml:space="preserve">prior (confirmatory)</w:t>
            </w:r>
          </w:p>
        </w:tc>
      </w:tr>
      <w:tr>
        <w:tc>
          <w:p>
            <w:pPr>
              <w:pStyle w:val="Compact"/>
              <w:jc w:val="left"/>
            </w:pPr>
            <w:r>
              <w:t xml:space="preserve">OpenAI</w:t>
            </w:r>
          </w:p>
        </w:tc>
        <w:tc>
          <w:p>
            <w:pPr>
              <w:pStyle w:val="Compact"/>
              <w:jc w:val="left"/>
            </w:pPr>
            <w:r>
              <w:rPr>
                <w:rStyle w:val="VerbatimChar"/>
              </w:rPr>
              <w:t xml:space="preserve">gpt-5.4</w:t>
            </w:r>
          </w:p>
        </w:tc>
        <w:tc>
          <w:p>
            <w:pPr>
              <w:pStyle w:val="Compact"/>
              <w:jc w:val="left"/>
            </w:pPr>
            <w:r>
              <w:t xml:space="preserve">flagship (robustness)</w:t>
            </w:r>
          </w:p>
        </w:tc>
      </w:tr>
      <w:tr>
        <w:tc>
          <w:p>
            <w:pPr>
              <w:pStyle w:val="Compact"/>
              <w:jc w:val="left"/>
            </w:pPr>
            <w:r>
              <w:t xml:space="preserve">Google</w:t>
            </w:r>
          </w:p>
        </w:tc>
        <w:tc>
          <w:p>
            <w:pPr>
              <w:pStyle w:val="Compact"/>
              <w:jc w:val="left"/>
            </w:pPr>
            <w:r>
              <w:rPr>
                <w:rStyle w:val="VerbatimChar"/>
              </w:rPr>
              <w:t xml:space="preserve">gemini-3.1-pro-preview</w:t>
            </w:r>
          </w:p>
        </w:tc>
        <w:tc>
          <w:p>
            <w:pPr>
              <w:pStyle w:val="Compact"/>
              <w:jc w:val="left"/>
            </w:pPr>
            <w:r>
              <w:t xml:space="preserve">flagship (robustness)</w:t>
            </w:r>
          </w:p>
        </w:tc>
      </w:tr>
      <w:tr>
        <w:tc>
          <w:p>
            <w:pPr>
              <w:pStyle w:val="Compact"/>
              <w:jc w:val="left"/>
            </w:pPr>
            <w:r>
              <w:t xml:space="preserve">DeepSeek</w:t>
            </w:r>
          </w:p>
        </w:tc>
        <w:tc>
          <w:p>
            <w:pPr>
              <w:pStyle w:val="Compact"/>
              <w:jc w:val="left"/>
            </w:pPr>
            <w:r>
              <w:rPr>
                <w:rStyle w:val="VerbatimChar"/>
              </w:rPr>
              <w:t xml:space="preserve">deepseek-r1</w:t>
            </w:r>
            <w:r>
              <w:t xml:space="preserve"> </w:t>
            </w:r>
            <w:r>
              <w:t xml:space="preserve">(OpenRouter)</w:t>
            </w:r>
          </w:p>
        </w:tc>
        <w:tc>
          <w:p>
            <w:pPr>
              <w:pStyle w:val="Compact"/>
              <w:jc w:val="left"/>
            </w:pPr>
            <w:r>
              <w:t xml:space="preserve">reasoning (robustness)</w:t>
            </w:r>
          </w:p>
        </w:tc>
      </w:tr>
    </w:tbl>
    <w:bookmarkEnd w:id="65"/>
    <w:p>
      <w:pPr>
        <w:pStyle w:val="BodyText"/>
      </w:pPr>
      <w:r>
        <w:t xml:space="preserve">The four confirmatory snapshots were queried once in the frozen</w:t>
      </w:r>
      <w:r>
        <w:t xml:space="preserve"> </w:t>
      </w:r>
      <w:r>
        <w:t xml:space="preserve">confirmatory run (July 2026); the two flagship snapshots in the later robustness run (August 2026); and the reasoning</w:t>
      </w:r>
      <w:r>
        <w:t xml:space="preserve"> </w:t>
      </w:r>
      <w:r>
        <w:t xml:space="preserve">snapshot (</w:t>
      </w:r>
      <w:r>
        <w:rPr>
          <w:rStyle w:val="VerbatimChar"/>
        </w:rPr>
        <w:t xml:space="preserve">deepseek-r1</w:t>
      </w:r>
      <w:r>
        <w:t xml:space="preserve">, served via the OpenRouter API) in a separate reasoning run (September 2026). All were</w:t>
      </w:r>
      <w:r>
        <w:t xml:space="preserve"> </w:t>
      </w:r>
      <w:r>
        <w:t xml:space="preserve">used offline thereafter; aliases without an embedded date stamp are pinned by these query months, with the exact dates recorded in the frozen manifests. The</w:t>
      </w:r>
      <w:r>
        <w:t xml:space="preserve"> </w:t>
      </w:r>
      <w:r>
        <w:t xml:space="preserve">reasoning model is API-served, so its temperature and seed are request parameters, not self-hosted determinism.</w:t>
      </w:r>
    </w:p>
    <w:p>
      <w:pPr>
        <w:pStyle w:val="Heading2"/>
      </w:pPr>
      <w:bookmarkStart w:id="66" w:name="X335739e5c0faa9978e4fea8c9e114a2f4c49f66"/>
      <w:r>
        <w:t xml:space="preserve">Outcome construction and statistical analysis</w:t>
      </w:r>
      <w:bookmarkEnd w:id="66"/>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w:t>
      </w:r>
      <w:hyperlink w:anchor="tab:map">
        <w:r>
          <w:rPr>
            <w:rStyle w:val="Hyperlink"/>
          </w:rPr>
          <w:t xml:space="preserve">8</w:t>
        </w:r>
      </w:hyperlink>
      <w:r>
        <w:t xml:space="preserve">).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 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rPr>
        <w:t xml:space="preserve">pure within-cell seed variance</w:t>
      </w:r>
      <w:r>
        <w:t xml:space="preserve"> </w:t>
      </w:r>
      <w:r>
        <w:t xml:space="preserve">as the sum of squares across</w:t>
      </w:r>
      <w:r>
        <w:t xml:space="preserve"> </w:t>
      </w:r>
      <w:r>
        <w:t xml:space="preserve">the three seeds within each identical item</w:t>
      </w:r>
      <m:oMath>
        <m:r>
          <m:t>×</m:t>
        </m:r>
      </m:oMath>
      <w:r>
        <w:t xml:space="preserve">specification cell, divided by the total sum of squares;</w:t>
      </w:r>
      <w:r>
        <w:t xml:space="preserve"> </w:t>
      </w:r>
      <w:r>
        <w:t xml:space="preserve">the difference between the OLS residual and this pure-seed component is reported as</w:t>
      </w:r>
      <w:r>
        <w:t xml:space="preserve"> </w:t>
      </w:r>
      <w:r>
        <w:t xml:space="preserve">“</w:t>
      </w:r>
      <w:r>
        <w:t xml:space="preserve">other unexplained</w:t>
      </w:r>
      <w:r>
        <w:t xml:space="preserve">”</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profile-clustered percentile bootstrap resampling over the underlying firm profiles, instead of over</w:t>
      </w:r>
      <w:r>
        <w:t xml:space="preserve"> </w:t>
      </w:r>
      <w:r>
        <w:t xml:space="preserve">individual model calls, thereby preserving dependence among repeated elicitations of the same profile; we</w:t>
      </w:r>
      <w:r>
        <w:t xml:space="preserve"> </w:t>
      </w:r>
      <w:r>
        <w:t xml:space="preserve">report the variance shares (item and pure-seed) and the IG/HY flip rate with</w:t>
      </w:r>
      <w:r>
        <w:t xml:space="preserve"> </w:t>
      </w:r>
      <w:r>
        <w:t xml:space="preserve">two-sided 95% confidence intervals (2</w:t>
      </w:r>
      <w:r>
        <w:t xml:space="preserve">,</w:t>
      </w:r>
      <w:r>
        <w:t xml:space="preserve">000 replicates for the flip rate, 1</w:t>
      </w:r>
      <w:r>
        <w:t xml:space="preserve">,</w:t>
      </w:r>
      <w:r>
        <w:t xml:space="preserve">000 for the</w:t>
      </w:r>
      <w:r>
        <w:t xml:space="preserve"> </w:t>
      </w:r>
      <w:r>
        <w:t xml:space="preserve">variance-share and specification-curve quantities). Specification invariance under the temperature-0-honored</w:t>
      </w:r>
      <w:r>
        <w:t xml:space="preserve"> </w:t>
      </w:r>
      <w:r>
        <w:t xml:space="preserve">setting is tested on the provider-setting combination whose metadata confirm that temperature was</w:t>
      </w:r>
      <w:r>
        <w:t xml:space="preserve"> </w:t>
      </w:r>
      <w:r>
        <w:t xml:space="preserve">honored (Google at temperature 0). We test a rating-invariance null: specification-condition assignments</w:t>
      </w:r>
      <w:r>
        <w:t xml:space="preserve"> </w:t>
      </w:r>
      <w:r>
        <w:t xml:space="preserve">are permuted across profiles (rather than permuting accuracy labels), and the statistic is the</w:t>
      </w:r>
      <w:r>
        <w:t xml:space="preserve"> </w:t>
      </w:r>
      <w:r>
        <w:t xml:space="preserve">between-specification spread of the item-centred letter rating, compared with the distribution generated</w:t>
      </w:r>
      <w:r>
        <w:t xml:space="preserve"> </w:t>
      </w:r>
      <w:r>
        <w:t xml:space="preserve">by</w:t>
      </w:r>
      <w:r>
        <w:t xml:space="preserve"> </w:t>
      </w:r>
      <m:oMath>
        <m:r>
          <m:t>2</m:t>
        </m:r>
        <m:r>
          <m:t>,</m:t>
        </m:r>
        <m:r>
          <m:t>000</m:t>
        </m:r>
      </m:oMath>
      <w:r>
        <w:t xml:space="preserve"> </w:t>
      </w:r>
      <w:r>
        <w:t xml:space="preserve">such permutations in a one-sided test,</w:t>
      </w:r>
      <w:r>
        <w:t xml:space="preserve"> </w:t>
      </w:r>
      <m:oMath>
        <m:r>
          <m:t>p</m:t>
        </m:r>
        <m:r>
          <m:t>=</m:t>
        </m:r>
        <m:r>
          <m:t>(</m:t>
        </m:r>
        <m:r>
          <m:t>k</m:t>
        </m:r>
        <m:r>
          <m:t>+</m:t>
        </m:r>
        <m:r>
          <m:t>1</m:t>
        </m:r>
        <m:r>
          <m:t>)</m:t>
        </m:r>
        <m:r>
          <m:t>/</m:t>
        </m:r>
        <m:r>
          <m:t>(</m:t>
        </m:r>
        <m:r>
          <m:t>n</m:t>
        </m:r>
        <m:r>
          <m:t>+</m:t>
        </m:r>
        <m:r>
          <m:t>1</m:t>
        </m:r>
        <m:r>
          <m:t>)</m:t>
        </m:r>
      </m:oMath>
      <w:r>
        <w:t xml:space="preserve">, where</w:t>
      </w:r>
      <w:r>
        <w:t xml:space="preserve"> </w:t>
      </w:r>
      <m:oMath>
        <m:r>
          <m:t>k</m:t>
        </m:r>
      </m:oMath>
      <w:r>
        <w:t xml:space="preserve"> </w:t>
      </w:r>
      <w:r>
        <w:t xml:space="preserve">is the number of</w:t>
      </w:r>
      <w:r>
        <w:t xml:space="preserve"> </w:t>
      </w:r>
      <w:r>
        <w:t xml:space="preserve">permuted statistics at least as extreme as observed and</w:t>
      </w:r>
      <w:r>
        <w:t xml:space="preserve"> </w:t>
      </w:r>
      <m:oMath>
        <m:r>
          <m:t>n</m:t>
        </m:r>
        <m:r>
          <m:t>=</m:t>
        </m:r>
        <m:r>
          <m:t>2</m:t>
        </m:r>
        <m:r>
          <m:t>,</m:t>
        </m:r>
        <m:r>
          <m:t>000</m:t>
        </m:r>
      </m:oMath>
      <w:r>
        <w:t xml:space="preserve">. The test is one-sided in that only an</w:t>
      </w:r>
      <w:r>
        <w:t xml:space="preserve"> </w:t>
      </w:r>
      <w:r>
        <w:t xml:space="preserve">observed spread greater than the permutation distribution provides evidence against specification</w:t>
      </w:r>
      <w:r>
        <w:t xml:space="preserve"> </w:t>
      </w:r>
      <w:r>
        <w:t xml:space="preserve">invariance. The real-firm arm is presented descriptively: the real-firm and constructed-battery</w:t>
      </w:r>
      <w:r>
        <w:t xml:space="preserve"> </w:t>
      </w:r>
      <w:r>
        <w:t xml:space="preserve">WATCH-stratum flip shares are compared by their issuer-clustered bootstrap difference and interval, with</w:t>
      </w:r>
      <w:r>
        <w:t xml:space="preserve"> </w:t>
      </w:r>
      <w:r>
        <w:t xml:space="preserve">no equivalence claim. The significance threshold is</w:t>
      </w:r>
      <w:r>
        <w:t xml:space="preserve"> </w:t>
      </w:r>
      <m:oMath>
        <m:r>
          <m:t>α</m:t>
        </m:r>
        <m: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w:t>
      </w:r>
      <w:r>
        <w:t xml:space="preserve">significant</w:t>
      </w:r>
      <w:r>
        <w:t xml:space="preserve">”</w:t>
      </w:r>
      <w:r>
        <w:t xml:space="preserve"> </w:t>
      </w:r>
      <w:r>
        <w:t xml:space="preserve">for results accompanied by a</w:t>
      </w:r>
      <w:r>
        <w:t xml:space="preserve"> </w:t>
      </w:r>
      <m:oMath>
        <m:r>
          <m:t>p</m:t>
        </m:r>
      </m:oMath>
      <w:r>
        <w:t xml:space="preserve">-value and otherwise use</w:t>
      </w:r>
      <w:r>
        <w:t xml:space="preserve"> </w:t>
      </w:r>
      <w:r>
        <w:t xml:space="preserve">“</w:t>
      </w:r>
      <w:r>
        <w:t xml:space="preserve">substantial</w:t>
      </w:r>
      <w:r>
        <w:t xml:space="preserve">”</w:t>
      </w:r>
      <w:r>
        <w:t xml:space="preserve"> </w:t>
      </w:r>
      <w:r>
        <w:t xml:space="preserve">or</w:t>
      </w:r>
      <w:r>
        <w:t xml:space="preserve"> </w:t>
      </w:r>
      <w:r>
        <w:t xml:space="preserve">“</w:t>
      </w:r>
      <w:r>
        <w:t xml:space="preserve">considerable.</w:t>
      </w:r>
      <w:r>
        <w:t xml:space="preserv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developed in Section </w:t>
      </w:r>
      <w:hyperlink w:anchor="sec:sis">
        <w:r>
          <w:rPr>
            <w:rStyle w:val="Hyperlink"/>
          </w:rPr>
          <w:t xml:space="preserve">4</w:t>
        </w:r>
      </w:hyperlink>
      <w:r>
        <w:t xml:space="preserve">.</w:t>
      </w:r>
    </w:p>
    <w:p>
      <w:pPr>
        <w:pStyle w:val="BodyText"/>
      </w:pPr>
      <w:r>
        <w:t xml:space="preserve">The revision is supported by three post-hoc analyses, which are run offline from the frozen corpora. The</w:t>
      </w:r>
      <w:r>
        <w:t xml:space="preserve"> </w:t>
      </w:r>
      <w:r>
        <w:t xml:space="preserve">specification-instability score is validated on a 16/16 held-out-specification split with an operating</w:t>
      </w:r>
      <w:r>
        <w:t xml:space="preserve"> </w:t>
      </w:r>
      <w:r>
        <w:t xml:space="preserve">threshold selected by Youden’s</w:t>
      </w:r>
      <w:r>
        <w:t xml:space="preserve"> </w:t>
      </w:r>
      <m:oMath>
        <m:r>
          <m:t>J</m:t>
        </m:r>
      </m:oMath>
      <w:r>
        <w:t xml:space="preserve"> </w:t>
      </w:r>
      <w:r>
        <w:t xml:space="preserve">(reported descriptively); the range of variance explained by the</w:t>
      </w:r>
      <w:r>
        <w:t xml:space="preserve"> </w:t>
      </w:r>
      <w:r>
        <w:t xml:space="preserve">elicitation axes is described in a main effects model, a main plus two-way interaction model, and an</w:t>
      </w:r>
      <w:r>
        <w:t xml:space="preserve"> </w:t>
      </w:r>
      <w:r>
        <w:t xml:space="preserve">issuer-out-of-sample regularized model; and the real-firm external-benchmark specification curve is tested</w:t>
      </w:r>
      <w:r>
        <w:t xml:space="preserve"> </w:t>
      </w:r>
      <w:r>
        <w:t xml:space="preserve">with an issuer-preserving permutation (specification labels permuted within issuer). The</w:t>
      </w:r>
      <w:r>
        <w:t xml:space="preserve"> </w:t>
      </w:r>
      <w:r>
        <w:t xml:space="preserve">reasoning-architecture arm (Section </w:t>
      </w:r>
      <w:hyperlink w:anchor="sec:reasoning">
        <w:r>
          <w:rPr>
            <w:rStyle w:val="Hyperlink"/>
          </w:rPr>
          <w:t xml:space="preserve">3.8</w:t>
        </w:r>
      </w:hyperlink>
      <w:r>
        <w:t xml:space="preserve">) is frozen under</w:t>
      </w:r>
      <w:r>
        <w:t xml:space="preserve"> </w:t>
      </w:r>
      <w:r>
        <w:rPr>
          <w:rStyle w:val="VerbatimChar"/>
        </w:rPr>
        <w:t xml:space="preserve">MANIFEST_REASONING.sha256</w:t>
      </w:r>
      <w:r>
        <w:t xml:space="preserve">.</w:t>
      </w:r>
    </w:p>
    <w:p>
      <w:pPr>
        <w:pStyle w:val="Heading2"/>
      </w:pPr>
      <w:bookmarkStart w:id="67" w:name="real-firm-arm"/>
      <w:r>
        <w:t xml:space="preserve">Real-firm arm</w:t>
      </w:r>
      <w:bookmarkEnd w:id="67"/>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 source; where 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 profiles; 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t>[</m:t>
        </m:r>
        <m:r>
          <m:t>0.6</m:t>
        </m:r>
        <m:r>
          <m:t>,</m:t>
        </m:r>
        <m:r>
          <m:t>1.7</m:t>
        </m:r>
        <m: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fingerprint-identification threshold.</w:t>
      </w:r>
    </w:p>
    <w:p>
      <w:pPr>
        <w:pStyle w:val="BodyText"/>
      </w:pPr>
      <w:r>
        <w:t xml:space="preserve">Each retained perturbed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 reference; the primary comparison is stability across specifications.</w:t>
      </w:r>
    </w:p>
    <w:p>
      <w:pPr>
        <w:pStyle w:val="Heading2"/>
      </w:pPr>
      <w:bookmarkStart w:id="68" w:name="reproducibility"/>
      <w:r>
        <w:t xml:space="preserve">Reproducibility</w:t>
      </w:r>
      <w:bookmarkEnd w:id="68"/>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p>
      <w:pPr>
        <w:pStyle w:val="Heading1"/>
      </w:pPr>
      <w:bookmarkStart w:id="69" w:name="X1f74eb43af444059c7518034463b6c89b1cacf4"/>
      <w:r>
        <w:t xml:space="preserve">Declaration of generative AI and AI-assisted technologies in the manuscript preparation process</w:t>
      </w:r>
      <w:bookmarkEnd w:id="69"/>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 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p>
      <w:pPr>
        <w:pStyle w:val="Heading1"/>
      </w:pPr>
      <w:bookmarkStart w:id="70" w:name="declaration-of-competing-interest"/>
      <w:r>
        <w:t xml:space="preserve">Declaration of competing interest</w:t>
      </w:r>
      <w:bookmarkEnd w:id="70"/>
    </w:p>
    <w:p>
      <w:pPr>
        <w:pStyle w:val="FirstParagraph"/>
      </w:pPr>
      <w:r>
        <w:t xml:space="preserve">S.C. and R.C. each declare no competing interests.</w:t>
      </w:r>
    </w:p>
    <w:p>
      <w:pPr>
        <w:pStyle w:val="Heading1"/>
      </w:pPr>
      <w:bookmarkStart w:id="71" w:name="funding"/>
      <w:r>
        <w:t xml:space="preserve">Funding</w:t>
      </w:r>
      <w:bookmarkEnd w:id="71"/>
    </w:p>
    <w:p>
      <w:pPr>
        <w:pStyle w:val="FirstParagraph"/>
      </w:pPr>
      <w:r>
        <w:t xml:space="preserve">This research received no external funding.</w:t>
      </w:r>
    </w:p>
    <w:p>
      <w:pPr>
        <w:pStyle w:val="Heading1"/>
      </w:pPr>
      <w:bookmarkStart w:id="72" w:name="ethics"/>
      <w:r>
        <w:t xml:space="preserve">Ethics</w:t>
      </w:r>
      <w:bookmarkEnd w:id="72"/>
    </w:p>
    <w:p>
      <w:pPr>
        <w:pStyle w:val="FirstParagraph"/>
      </w:pPr>
      <w:r>
        <w:t xml:space="preserve">This study did not involve human participants, human tissue, or animal subjects, and used no personally</w:t>
      </w:r>
      <w:r>
        <w:t xml:space="preserve"> </w:t>
      </w:r>
      <w:r>
        <w:t xml:space="preserve">identifiable or sensitive personal data; ethical 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p>
      <w:pPr>
        <w:pStyle w:val="Heading1"/>
      </w:pPr>
      <w:bookmarkStart w:id="73" w:name="data-availability"/>
      <w:r>
        <w:t xml:space="preserve">Data availability</w:t>
      </w:r>
      <w:bookmarkEnd w:id="73"/>
    </w:p>
    <w:p>
      <w:pPr>
        <w:pStyle w:val="FirstParagraph"/>
      </w:pPr>
      <w:r>
        <w:t xml:space="preserve">All data and code required to reproduce the study are openly available in a deterministic, offline</w:t>
      </w:r>
      <w:r>
        <w:t xml:space="preserve"> </w:t>
      </w:r>
      <w:r>
        <w:t xml:space="preserve">reproducibility capsule (MIT license) provided as anonymized supplementary material with this submission;</w:t>
      </w:r>
      <w:r>
        <w:t xml:space="preserve"> </w:t>
      </w:r>
      <w:r>
        <w:t xml:space="preserve">the public repository and its citable DOI are withheld here for double-blind review and will be provided</w:t>
      </w:r>
      <w:r>
        <w:t xml:space="preserve"> </w:t>
      </w:r>
      <w:r>
        <w:t xml:space="preserve">on acceptance.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t xml:space="preserve">; 45 credit-health</w:t>
      </w:r>
      <w:r>
        <w:t xml:space="preserve"> </w:t>
      </w:r>
      <m:oMath>
        <m:r>
          <m:t>+</m:t>
        </m:r>
      </m:oMath>
      <w:r>
        <w:t xml:space="preserve"> </w:t>
      </w:r>
      <w:r>
        <w:t xml:space="preserve">45 directional items), the specification grid, the prompt</w:t>
      </w:r>
      <w:r>
        <w:t xml:space="preserve"> </w:t>
      </w:r>
      <w:r>
        <w:t xml:space="preserve">paraphrases, and the rating scale;</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 panel; 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perturbed and fingerprint-screened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t xml:space="preserve">;</w:t>
      </w:r>
      <w:r>
        <w:t xml:space="preserve"> </w:t>
      </w:r>
      <w:r>
        <w:t xml:space="preserve">the reasoning-architecture arm (</w:t>
      </w:r>
      <w:r>
        <w:rPr>
          <w:rStyle w:val="VerbatimChar"/>
        </w:rPr>
        <w:t xml:space="preserve">deepseek-r1</w:t>
      </w:r>
      <w:r>
        <w:t xml:space="preserve"> </w:t>
      </w:r>
      <w:r>
        <w:t xml:space="preserve">on the same grid) is in</w:t>
      </w:r>
      <w:r>
        <w:t xml:space="preserve"> </w:t>
      </w:r>
      <w:r>
        <w:rPr>
          <w:rStyle w:val="VerbatimChar"/>
        </w:rPr>
        <w:t xml:space="preserve">capture/reasoning_runs/</w:t>
      </w:r>
      <w:r>
        <w:t xml:space="preserve">,</w:t>
      </w:r>
      <w:r>
        <w:t xml:space="preserve"> </w:t>
      </w:r>
      <w:r>
        <w:t xml:space="preserve">fixed by</w:t>
      </w:r>
      <w:r>
        <w:t xml:space="preserve"> </w:t>
      </w:r>
      <w:r>
        <w:rPr>
          <w:rStyle w:val="VerbatimChar"/>
        </w:rPr>
        <w:t xml:space="preserve">MANIFEST_REASONING.sha256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(provided with this submission), documents the</w:t>
      </w:r>
      <w:r>
        <w:t xml:space="preserve"> </w:t>
      </w:r>
      <w:r>
        <w:t xml:space="preserve">complete archive—data inputs and provenance, every analysis script and its outputs, the one-command</w:t>
      </w:r>
      <w:r>
        <w:t xml:space="preserve"> </w:t>
      </w:r>
      <w:r>
        <w:t xml:space="preserve">reproduction, the verification and determinism procedure, and the pinned environment—so 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df" /><Relationship Type="http://schemas.openxmlformats.org/officeDocument/2006/relationships/image" Id="rId29" Target="media/rId29.png" /><Relationship Type="http://schemas.openxmlformats.org/officeDocument/2006/relationships/image" Id="rId36" Target="media/rId36.pdf" /><Relationship Type="http://schemas.openxmlformats.org/officeDocument/2006/relationships/image" Id="rId38" Target="media/rId38.pdf"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LLM-Based Credit Rating Systems: A Pre-Registered Specification-Curve Analysis</dc:title>
  <dc:creator>Anonymous</dc:creator>
  <cp:keywords/>
  <dcterms:created xsi:type="dcterms:W3CDTF">2026-09-07T18:38:29Z</dcterms:created>
  <dcterms:modified xsi:type="dcterms:W3CDTF">2026-09-07T18:38:29Z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used to support credit assessments, but it is unclear whether elicitation choices merely reveal a stable credit view or shape the rating. Using a pre-registered specification-curve design that holds fundamentals fixed while varying how the assessment is elicited, we evaluate 45 credit-health profiles across 32 specifications and three seeds (4,320 credit-rating elicitations), drawn from a pre-registered 90-item battery and a balanced grid of model version, temperature, prompt paraphrase, output format, few-shot exemplars, and presentation over two providers, benchmarked to Altman Z''. Our estimand is stability, not accuracy. Under a descriptive main effects decomposition, no controllable axis exceeds about 5% of rating variance, and pure run-to-run variation accounts for about 8%; instability persists on the temperature-0-honored subgrid (single provider, temperature 0; permutation p=0.0005). Cross-specification agreement remains low at all resolutions: unweighted Fleiss’ \kappa reaches at most 0.49 at the investment-grade/high-yield split, where 25.2% of matched pairs disagree, and switching or pooling providers does not remove it. Specification variation is also observed in 31 perturbed and fingerprint-screened real issuers. A post-hoc check does not detect attenuation on flagship models, and specification sensitivity is also observed in an open-weight reasoning model. We frame the elicitation specification as a model-risk parameter and develop a specification-instability score that predicts held-out instability (ROC-AUC 0.94; 0.70 on real issuers), a lightweight, ground-truth-free control.</vt:lpwstr>
  </property>
  <property fmtid="{D5CDD505-2E9C-101B-9397-08002B2CF9AE}" pid="3" name="bibliography">
    <vt:lpwstr/>
  </property>
</Properties>
</file>