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 dispersion index predicts held-out instability (ROC-AUC 0.94) but is ordinally equivalent to counting dissenting elicitations,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w:t>
      </w:r>
      <w:r>
        <w:rPr>
          <w:highlight w:val="yellow"/>
        </w:rPr>
        <w:t xml:space="preserve"> </w:t>
      </w:r>
      <w:r>
        <w:rPr>
          <w:highlight w:val="yellow"/>
        </w:rPr>
        <w:t xml:space="preserve">dispersion index predicts held-out IG/HY instability (ROC-AUC 0.94) but is ordinally equivalent to</w:t>
      </w:r>
      <w:r>
        <w:rPr>
          <w:highlight w:val="yellow"/>
        </w:rPr>
        <w:t xml:space="preserve"> </w:t>
      </w:r>
      <w:r>
        <w:rPr>
          <w:highlight w:val="yellow"/>
        </w:rPr>
        <w:t xml:space="preserve">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giving the</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w:t>
      </w:r>
      <w:r>
        <w:rPr>
          <w:highlight w:val="yellow"/>
        </w:rPr>
        <w:t xml:space="preserve"> </w:t>
      </w:r>
      <w:r>
        <w:rPr>
          <w:highlight w:val="yellow"/>
        </w:rPr>
        <w:t xml:space="preserve">substantive content and are analysed</w:t>
      </w:r>
      <w:r>
        <w:t xml:space="preserve"> </w:t>
      </w:r>
      <w:r>
        <w:t xml:space="preserve">(Section 6.3</w:t>
      </w:r>
      <w:r>
        <w:rPr>
          <w:highlight w:val="yellow"/>
        </w:rPr>
        <w:t xml:space="preserve">), reported in the abstract and throughout</w:t>
      </w:r>
      <w:r>
        <w:t xml:space="preserve"> </w:t>
      </w:r>
      <w:r>
        <w:t xml:space="preserve">Section 3</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is dependent on the modeling choice, but is low for all three</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t xml:space="preserve"> </w:t>
      </w:r>
      <w:r>
        <w:t xml:space="preserve">of sample, confirming that individual-axis attribution is not identified and that the decomposition should</w:t>
      </w:r>
      <w:r>
        <w:t xml:space="preserve"> </w:t>
      </w:r>
      <w:r>
        <w:t xml:space="preserve">be read in a descriptive way.</w:t>
      </w:r>
    </w:p>
    <w:p>
      <w:pPr>
        <w:pStyle w:val="BodyText"/>
      </w:pP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estimate is changing</w:t>
      </w:r>
      <w:r>
        <w:t xml:space="preserve"> </w:t>
      </w:r>
      <w:r>
        <w:t xml:space="preserve">with the model and remains small throughout. This illustrates that per-axis attribution is not identified under the design.</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estimate is changing with the model and remains small throughout. This illustrates that per-axis attribution is not identified under the design."/>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11).</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5"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 and</w:t>
      </w:r>
      <w:r>
        <w:t xml:space="preserve"> </w:t>
      </w:r>
      <w:r>
        <w:t xml:space="preserve">Section 4.3</w:t>
      </w:r>
      <w:r>
        <w:t xml:space="preserve"> </w:t>
      </w:r>
      <w:r>
        <w:rPr>
          <w:highlight w:val="yellow"/>
        </w:rPr>
        <w:t xml:space="preserve">shows it is</w:t>
      </w:r>
      <w:r>
        <w:rPr>
          <w:highlight w:val="yellow"/>
        </w:rPr>
        <w:t xml:space="preserve"> </w:t>
      </w:r>
      <w:r>
        <w:rPr>
          <w:highlight w:val="yellow"/>
        </w:rPr>
        <w:t xml:space="preserve">ordinally equivalent to counting dissents at the resolutions tested.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the index carries no information</w:t>
      </w:r>
      <w:r>
        <w:rPr>
          <w:highlight w:val="yellow"/>
        </w:rPr>
        <w:t xml:space="preserve"> </w:t>
      </w:r>
      <w:r>
        <w:rPr>
          <w:highlight w:val="yellow"/>
        </w:rPr>
        <w:t xml:space="preserve">beyond</w:t>
      </w:r>
      <w:r>
        <w:t xml:space="preserve"> </w:t>
      </w:r>
      <m:oMath>
        <m:r>
          <m:t>d</m:t>
        </m:r>
      </m:oMath>
      <w:r>
        <w:t xml:space="preserve"> </w:t>
      </w:r>
      <w:r>
        <w:rPr>
          <w:highlight w:val="yellow"/>
        </w:rPr>
        <w:t xml:space="preserve">at these resolutions.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w:t>
      </w:r>
      <w:r>
        <w:rPr>
          <w:highlight w:val="yellow"/>
        </w:rPr>
        <w:t xml:space="preserve"> </w:t>
      </w:r>
      <w:r>
        <w:rPr>
          <w:highlight w:val="yellow"/>
        </w:rPr>
        <w:t xml:space="preserve">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and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0.6667, flat in the</w:t>
      </w:r>
      <w:r>
        <w:rPr>
          <w:highlight w:val="yellow"/>
        </w:rPr>
        <w:t xml:space="preserve"> </w:t>
      </w:r>
      <w:r>
        <w:rPr>
          <w:highlight w:val="yellow"/>
        </w:rPr>
        <w:t xml:space="preserve">threshold probability, against 0.5000 for</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at</w:t>
      </w:r>
      <w:r>
        <w:t xml:space="preserve"> </w:t>
      </w:r>
      <m:oMath>
        <m:sSub>
          <m:e>
            <m:r>
              <m:t>p</m:t>
            </m:r>
          </m:e>
          <m:sub>
            <m:r>
              <m:t>t</m:t>
            </m:r>
          </m:sub>
        </m:sSub>
        <m:r>
          <m:rPr>
            <m:sty m:val="p"/>
          </m:rPr>
          <m:t>=</m:t>
        </m:r>
        <m:r>
          <m:t>0.60</m:t>
        </m:r>
      </m:oMath>
      <w:r>
        <w:t xml:space="preserve"> </w:t>
      </w:r>
      <w:r>
        <w:t xml:space="preserve">(Table 9</w:t>
      </w:r>
      <w:r>
        <w:rPr>
          <w:highlight w:val="yellow"/>
        </w:rPr>
        <w:t xml:space="preserv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4"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3" w:name="fig:governance"/>
    <w:tbl>
      <w:tblPr>
        <w:tblStyle w:val="FigureTable"/>
        <w:tblW w:type="auto" w:w="0"/>
        <w:jc w:val="center"/>
        <w:tblLook w:firstRow="0" w:lastRow="0" w:firstColumn="0" w:lastColumn="0"/>
      </w:tblPr>
      <w:tblGrid/>
    </w:tbl>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3"/>
    <w:bookmarkEnd w:id="64"/>
    <w:bookmarkEnd w:id="65"/>
    <w:bookmarkStart w:id="69"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6"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6"/>
    <w:bookmarkStart w:id="67"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67"/>
    <w:bookmarkStart w:id="68"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68"/>
    <w:bookmarkEnd w:id="69"/>
    <w:bookmarkStart w:id="79" w:name="methods"/>
    <w:p>
      <w:pPr>
        <w:pStyle w:val="Heading1"/>
      </w:pPr>
      <w:r>
        <w:rPr>
          <w:rStyle w:val="SectionNumber"/>
        </w:rPr>
        <w:t xml:space="preserve">6</w:t>
      </w:r>
      <w:r>
        <w:tab/>
      </w:r>
      <w:r>
        <w:t xml:space="preserve">Methods</w:t>
      </w:r>
    </w:p>
    <w:bookmarkStart w:id="71"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0"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0"/>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1"/>
    <w:bookmarkStart w:id="74"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2"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2"/>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3"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3"/>
    <w:bookmarkEnd w:id="74"/>
    <w:bookmarkStart w:id="76"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5"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5"/>
    <w:bookmarkEnd w:id="76"/>
    <w:bookmarkStart w:id="77"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77"/>
    <w:bookmarkStart w:id="78"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78"/>
    <w:bookmarkEnd w:id="79"/>
    <w:bookmarkStart w:id="80"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0"/>
    <w:bookmarkStart w:id="81" w:name="declaration-of-competing-interest"/>
    <w:p>
      <w:pPr>
        <w:pStyle w:val="Heading1"/>
      </w:pPr>
      <w:r>
        <w:t xml:space="preserve">Declaration of competing interest</w:t>
      </w:r>
    </w:p>
    <w:p>
      <w:pPr>
        <w:pStyle w:val="FirstParagraph"/>
      </w:pPr>
      <w:r>
        <w:t xml:space="preserve">S.C. and R.C. each declare no competing interests.</w:t>
      </w:r>
    </w:p>
    <w:bookmarkEnd w:id="81"/>
    <w:bookmarkStart w:id="82" w:name="funding"/>
    <w:p>
      <w:pPr>
        <w:pStyle w:val="Heading1"/>
      </w:pPr>
      <w:r>
        <w:t xml:space="preserve">Funding</w:t>
      </w:r>
    </w:p>
    <w:p>
      <w:pPr>
        <w:pStyle w:val="FirstParagraph"/>
      </w:pPr>
      <w:r>
        <w:t xml:space="preserve">This research received no external funding.</w:t>
      </w:r>
    </w:p>
    <w:bookmarkEnd w:id="82"/>
    <w:bookmarkStart w:id="83"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3"/>
    <w:bookmarkStart w:id="84"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4"/>
    <w:bookmarkStart w:id="85"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2026-10-14T22:24:52Z</dcterms:created>
  <dcterms:modified xsi:type="dcterms:W3CDTF">2026-10-14T22:24:52Z</dcterms:modified>
</cp:coreProperties>
</file>

<file path=docProps/custom.xml><?xml version="1.0" encoding="utf-8"?>
<Properties xmlns="http://schemas.openxmlformats.org/officeDocument/2006/custom-properties" xmlns:vt="http://schemas.openxmlformats.org/officeDocument/2006/docPropsVTypes"/>
</file>