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The same-provider pairing</w:t>
      </w:r>
      <w:r>
        <w:t xml:space="preserve"> </w:t>
      </w:r>
      <w:r>
        <w:t xml:space="preserve">and the cross-provider pairing answer those items at 0.951 and 0.955 mean member accuracy</w:t>
      </w:r>
      <w:r>
        <w:t xml:space="preserve"> </w:t>
      </w:r>
      <w:r>
        <w:t xml:space="preserve">respectively, a gap of 0.005. The same-provider Gemini pair has error correlation 0.954; the</w:t>
      </w:r>
      <w:r>
        <w:t xml:space="preserve"> </w:t>
      </w:r>
      <w:r>
        <w:t xml:space="preserve">cross-provider Gemini-Grok pairing has 0.607, a difference of 0.347 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the provider-associated ordering persists after approximate</w:t>
      </w:r>
      <w:r>
        <w:t xml:space="preserve"> </w:t>
      </w:r>
      <w:r>
        <w:t xml:space="preserve">capability matching, while provider remains confounded with other model-specific</w:t>
      </w:r>
      <w:r>
        <w:t xml:space="preserve"> </w:t>
      </w:r>
      <w:r>
        <w:t xml:space="preserve">characteristics and is not isolated causally.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[0.3035, 0.3689] for equities,</w:t>
      </w:r>
      <w:r>
        <w:t xml:space="preserve"> </w:t>
      </w:r>
      <w:r>
        <w:t xml:space="preserve">[0.2989, 0.3656] for dates and [0.2786, 0.3877] two-way. The two-way interval is the widest, as</w:t>
      </w:r>
      <w:r>
        <w:t xml:space="preserve"> </w:t>
      </w:r>
      <w:r>
        <w:t xml:space="preserve">expected when two crossed dependence structures are admitted at once, and all three exclude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19"/>
        </w:numPr>
      </w:pPr>
      <w:r>
        <w:t xml:space="preserve">The reviewer is right that the earlier equity interval, [0.3131, 0.3628], contradicted the</w:t>
      </w:r>
      <w:r>
        <w:t xml:space="preserve"> </w:t>
      </w:r>
      <w:r>
        <w:t xml:space="preserve">primary [0.3035, 0.3689] reported in the abstract, Table 2, the Results and the Conclusion.</w:t>
      </w:r>
      <w:r>
        <w:t xml:space="preserve"> </w:t>
      </w:r>
      <w:r>
        <w:t xml:space="preserve">They were presented as the same estimand and should have agreed exactly. They did not because</w:t>
      </w:r>
      <w:r>
        <w:t xml:space="preserve"> </w:t>
      </w:r>
      <w:r>
        <w:t xml:space="preserve">the two were computed by different procedures: the primary bootstrap resamples equities with</w:t>
      </w:r>
      <w:r>
        <w:t xml:space="preserve"> </w:t>
      </w:r>
      <w:r>
        <w:t xml:space="preserve">replacement and counts an equity drawn twice as two clusters, while the robustness table</w:t>
      </w:r>
      <w:r>
        <w:t xml:space="preserve"> </w:t>
      </w:r>
      <w:r>
        <w:t xml:space="preserve">treated each draw as a set, so a repeated draw counted once and every draw used only the</w:t>
      </w:r>
      <w:r>
        <w:t xml:space="preserve"> </w:t>
      </w:r>
      <w:r>
        <w:t xml:space="preserve">roughly 63 distinct equities of a 100-draw multiset. That is subsampling, not a cluster</w:t>
      </w:r>
      <w:r>
        <w:t xml:space="preserve"> </w:t>
      </w:r>
      <w:r>
        <w:t xml:space="preserve">bootstrap, and it understated the variance. The robustness table now honours multiplicity and</w:t>
      </w:r>
      <w:r>
        <w:t xml:space="preserve"> </w:t>
      </w:r>
      <w:r>
        <w:t xml:space="preserve">uses the pre-registered equity ordering, so its equity row reproduces the primary interval</w:t>
      </w:r>
      <w:r>
        <w:t xml:space="preserve"> </w:t>
      </w:r>
      <w:r>
        <w:t xml:space="preserve">exactly; the code asserts that equality on every run and fails if it is ever broken. The date</w:t>
      </w:r>
      <w:r>
        <w:t xml:space="preserve"> </w:t>
      </w:r>
      <w:r>
        <w:t xml:space="preserve">and two-way intervals widen for the same reason. No point estimate changed and every interval</w:t>
      </w:r>
      <w:r>
        <w:t xml:space="preserve"> </w:t>
      </w:r>
      <w:r>
        <w:t xml:space="preserve">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Compact"/>
        <w:numPr>
          <w:ilvl w:val="0"/>
          <w:numId w:val="1019"/>
        </w:numPr>
      </w:pPr>
      <w:r>
        <w:t xml:space="preserve">On scope, the reviewer asked that all main and exploratory intervals account for equity and</w:t>
      </w:r>
      <w:r>
        <w:t xml:space="preserve"> </w:t>
      </w:r>
      <w:r>
        <w:t xml:space="preserve">date dependence. The two-way scheme is applied to the primary endpoint and, in this revision,</w:t>
      </w:r>
      <w:r>
        <w:t xml:space="preserve"> </w:t>
      </w:r>
      <w:r>
        <w:t xml:space="preserve">to the two exploratory contrasts that carry an inferential claim: the pile-on contrast widens</w:t>
      </w:r>
      <w:r>
        <w:t xml:space="preserve"> </w:t>
      </w:r>
      <w:r>
        <w:t xml:space="preserve">from [0.160, 0.216] to [0.140, 0.232] and still excludes zero, and the AURC contrast widens</w:t>
      </w:r>
      <w:r>
        <w:t xml:space="preserve"> </w:t>
      </w:r>
      <w:r>
        <w:t xml:space="preserve">from [-0.059, 0.060] to [-0.113, 0.115] and still contains zero. Neither conclusion changes.</w:t>
      </w:r>
      <w:r>
        <w:t xml:space="preserve"> </w:t>
      </w:r>
      <w:r>
        <w:t xml:space="preserve">The remaining exploratory quantities are reported as descriptive statistics without an</w:t>
      </w:r>
      <w:r>
        <w:t xml:space="preserve"> </w:t>
      </w:r>
      <w:r>
        <w:t xml:space="preserve">inferential claim attached, and retain the pre-registered paired equity-clustered bootstrap;</w:t>
      </w:r>
      <w:r>
        <w:t xml:space="preserve"> </w:t>
      </w:r>
      <w:r>
        <w:t xml:space="preserve">they are interpreted as exploratory throughout and we do not draw conclusions from them that</w:t>
      </w:r>
      <w:r>
        <w:t xml:space="preserve"> </w:t>
      </w:r>
      <w:r>
        <w:t xml:space="preserve">a wider interval could overturn.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points. Three were acted on in the previous revision; the fourth,</w:t>
      </w:r>
      <w:r>
        <w:t xml:space="preserve"> </w:t>
      </w:r>
      <w:r>
        <w:t xml:space="preserve">uncertainty for the pile-on statistic, was claimed but not delivered, and the reviewer is</w:t>
      </w:r>
      <w:r>
        <w:t xml:space="preserve"> </w:t>
      </w:r>
      <w:r>
        <w:t xml:space="preserve">correct to press it. It is now provided.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Pile-on now carries uncertainty. The rate at which the remaining agents endorse an incorrect</w:t>
      </w:r>
      <w:r>
        <w:t xml:space="preserve"> </w:t>
      </w:r>
      <w:r>
        <w:t xml:space="preserve">majority is 0.824 for HOM and 0.636 for HET; a paired equity-clustered bootstrap over the same</w:t>
      </w:r>
      <w:r>
        <w:t xml:space="preserve"> </w:t>
      </w:r>
      <w:r>
        <w:t xml:space="preserve">100 equities, 2,000 draws, using the resampling scheme of the primary endpoint, gives a</w:t>
      </w:r>
      <w:r>
        <w:t xml:space="preserve"> </w:t>
      </w:r>
      <w:r>
        <w:t xml:space="preserve">HOM-HET difference of 0.189 (95% CI [0.160, 0.216]). The draw is shared between the two arms</w:t>
      </w:r>
      <w:r>
        <w:t xml:space="preserve"> </w:t>
      </w:r>
      <w:r>
        <w:t xml:space="preserve">and the difference taken within it, because the two configurations are measured on the same</w:t>
      </w:r>
      <w:r>
        <w:t xml:space="preserve"> </w:t>
      </w:r>
      <w:r>
        <w:t xml:space="preserve">equities and resampling them independently would add back the between-arm variance the design</w:t>
      </w:r>
      <w:r>
        <w:t xml:space="preserve"> </w:t>
      </w:r>
      <w:r>
        <w:t xml:space="preserve">removes.</w:t>
      </w:r>
    </w:p>
    <w:p>
      <w:pPr>
        <w:pStyle w:val="Compact"/>
        <w:numPr>
          <w:ilvl w:val="0"/>
          <w:numId w:val="1023"/>
        </w:numPr>
      </w:pPr>
      <w:r>
        <w:t xml:space="preserve">Paired clustered uncertainty for AURC is also feasible and is now reported: the HOM-HET</w:t>
      </w:r>
      <w:r>
        <w:t xml:space="preserve"> </w:t>
      </w:r>
      <w:r>
        <w:t xml:space="preserve">difference is -0.001 (95% CI [-0.059, 0.060]). The interval contains zero, so these data do</w:t>
      </w:r>
      <w:r>
        <w:t xml:space="preserve"> </w:t>
      </w:r>
      <w:r>
        <w:t xml:space="preserve">not establish a difference in selective-prediction quality between the two configurations, and</w:t>
      </w:r>
      <w:r>
        <w:t xml:space="preserve"> </w:t>
      </w:r>
      <w:r>
        <w:t xml:space="preserve">the manuscript now says exactly that rather than comparing the three AURC values informally.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Added paired equity-clustered bootstrap confidence intervals for the pile-on contrast and for</w:t>
      </w:r>
      <w:r>
        <w:t xml:space="preserve"> </w:t>
      </w:r>
      <w:r>
        <w:t xml:space="preserve">the AURC contrast, and reported both in the Results.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Two of the bars were</w:t>
      </w:r>
      <w:r>
        <w:t xml:space="preserve"> </w:t>
      </w:r>
      <w:r>
        <w:t xml:space="preserve">the pilot’s HOM-HET contrast under shared and independent seeding on the same grid and model</w:t>
      </w:r>
      <w:r>
        <w:t xml:space="preserve"> </w:t>
      </w:r>
      <w:r>
        <w:t xml:space="preserve">set. The third was the confirmatory study’s within-minus-cross-run difference for HOM, which</w:t>
      </w:r>
      <w:r>
        <w:t xml:space="preserve"> </w:t>
      </w:r>
      <w:r>
        <w:t xml:space="preserve">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done exactly what the reviewer asked. Figure 3 now contains only the two like-for-like</w:t>
      </w:r>
      <w:r>
        <w:t xml:space="preserve"> </w:t>
      </w:r>
      <w:r>
        <w:t xml:space="preserve">pilot quantities, so every bar in it measures the same estimand: Delta-kappa(HOM-HET) on the</w:t>
      </w:r>
      <w:r>
        <w:t xml:space="preserve"> </w:t>
      </w:r>
      <w:r>
        <w:t xml:space="preserve">same 8-equity pilot grid and the same model set, differing only in whether the five agents in</w:t>
      </w:r>
      <w:r>
        <w:t xml:space="preserve"> </w:t>
      </w:r>
      <w:r>
        <w:t xml:space="preserve">a cell share one seed (0.485) or draw independent seeds (0.113). The full-study</w:t>
      </w:r>
      <w:r>
        <w:t xml:space="preserve"> </w:t>
      </w:r>
      <w:r>
        <w:t xml:space="preserve">within-minus-cross-run diagnostic has been removed from the figure and is reported separately</w:t>
      </w:r>
      <w:r>
        <w:t xml:space="preserve"> </w:t>
      </w:r>
      <w:r>
        <w:t xml:space="preserve">in Table 6, where it is identified as a diagnostic rather than a contrast.</w:t>
      </w:r>
    </w:p>
    <w:p>
      <w:pPr>
        <w:pStyle w:val="Compact"/>
        <w:numPr>
          <w:ilvl w:val="0"/>
          <w:numId w:val="1025"/>
        </w:numPr>
      </w:pPr>
      <w:r>
        <w:t xml:space="preserve">An earlier revision kept all three bars and relabelled them instead. That was not what the</w:t>
      </w:r>
      <w:r>
        <w:t xml:space="preserve"> </w:t>
      </w:r>
      <w:r>
        <w:t xml:space="preserve">reviewer requested and we have not retained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Reduced Figure 3 to the two like-for-like pilot bars and moved the full-study</w:t>
      </w:r>
      <w:r>
        <w:t xml:space="preserve"> </w:t>
      </w:r>
      <w:r>
        <w:t xml:space="preserve">within-minus-cross-run diagnostic to Table 6; rewrote the caption accordingly.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2026-10-01T22:24:59Z</dcterms:created>
  <dcterms:modified xsi:type="dcterms:W3CDTF">2026-10-01T22:24:59Z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