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the classifier-ensemble result that diversity and accuracy are</w:t>
      </w:r>
      <w:r>
        <w:t xml:space="preserve"> </w:t>
      </w:r>
      <w:r>
        <w:t xml:space="preserve">related but not interchangeable.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bootstrap, which resamples the two margins separately, and the multiway-inference</w:t>
      </w:r>
      <w:r>
        <w:t xml:space="preserve"> </w:t>
      </w:r>
      <w:r>
        <w:t xml:space="preserve">literature for non-nested clustering dimensions. We state explicitly that our procedure is</w:t>
      </w:r>
      <w:r>
        <w:t xml:space="preserve"> </w:t>
      </w:r>
      <w:r>
        <w:t xml:space="preserve">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Within each (configuration, equity, date, run) cell we form, for every unordered pair of</w:t>
      </w:r>
      <w:r>
        <w:t xml:space="preserve"> </w:t>
      </w:r>
      <w:r>
        <w:t xml:space="preserve">agent positions, the pair of binary error indicators against the realized forward-return</w:t>
      </w:r>
      <w:r>
        <w:t xml:space="preserve"> </w:t>
      </w:r>
      <w:r>
        <w:t xml:space="preserve">sign. Those pairs are pooled over all cells and all agent-position pairs within a</w:t>
      </w:r>
      <w:r>
        <w:t xml:space="preserve"> </w:t>
      </w:r>
      <w:r>
        <w:t xml:space="preserve">configuration, and φ is the Pearson correlation of the pooled set, so one φ is reported per</w:t>
      </w:r>
      <w:r>
        <w:t xml:space="preserve"> </w:t>
      </w:r>
      <w:r>
        <w:t xml:space="preserve">configuration rather than one per agent pair. Error correlation decreases from 0.984 for HOM</w:t>
      </w:r>
      <w:r>
        <w:t xml:space="preserve"> </w:t>
      </w:r>
      <w:r>
        <w:t xml:space="preserve">to 0.742 for HET-LITE and 0.530 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Each records the</w:t>
      </w:r>
      <w:r>
        <w:t xml:space="preserve"> </w:t>
      </w:r>
      <w:r>
        <w:t xml:space="preserve">UTC freeze time, the commit that carried the frozen artifacts, and the SHA-256 of the</w:t>
      </w:r>
      <w:r>
        <w:t xml:space="preserve"> </w:t>
      </w:r>
      <w:r>
        <w:t xml:space="preserve">configuration, agent and analysis code, prompt template, pre-registration, grid and model</w:t>
      </w:r>
      <w:r>
        <w:t xml:space="preserve"> </w:t>
      </w:r>
      <w:r>
        <w:t xml:space="preserve">manifest; the cross-domain replication has its own receipt,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2026-10-02T15:32:34Z</dcterms:created>
  <dcterms:modified xsi:type="dcterms:W3CDTF">2026-10-02T15:32:34Z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