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Cross-provider</w:t>
      </w:r>
      <w:r>
        <w:t xml:space="preserve"> </w:t>
      </w:r>
      <w:r>
        <w:t xml:space="preserve">heterogeneity significantly reduces within-ensemble agreement, with a primary</w:t>
      </w:r>
      <w:r>
        <w:t xml:space="preserve"> </w:t>
      </w:r>
      <w:r>
        <w:t xml:space="preserve">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Capability-matched analyses further show that capability differences alone do not</w:t>
      </w:r>
      <w:r>
        <w:t xml:space="preserve"> </w:t>
      </w:r>
      <w:r>
        <w:t xml:space="preserve">explain the observed contrast, although provider remains confounded with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Algorithmic monoculture, inter-rater agreement, large language models, model</w:t>
      </w:r>
      <w:r>
        <w:t xml:space="preserve"> </w:t>
      </w:r>
      <w:r>
        <w:t xml:space="preserve">heterogeneity, 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reduces within-ensemble 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effect of</w:t>
      </w:r>
      <w:r>
        <w:t xml:space="preserve"> </w:t>
      </w:r>
      <w:r>
        <w:t xml:space="preserve">cross-provider heterogeneity on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cross-provider heterogeneity affects</w:t>
      </w:r>
      <w:r>
        <w:t xml:space="preserve"> </w:t>
      </w:r>
      <w:r>
        <w:t xml:space="preserve">agreement, statistical uncertainty, and inference cost.</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oMath>
      <w:r>
        <w:t xml:space="preserve">.</w:t>
      </w:r>
      <w:r>
        <w:t xml:space="preserve"> </w:t>
      </w:r>
      <w:r>
        <w:t xml:space="preserve">Positive values indicate that increasing cross-provider heterogeneity reduces</w:t>
      </w:r>
      <w:r>
        <w:t xml:space="preserve"> </w:t>
      </w:r>
      <w:r>
        <w:t xml:space="preserve">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uncertainty-quantification"/>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We therefore assess the primary contrast under three resampling schemes: equity</w:t>
      </w:r>
      <w:r>
        <w:t xml:space="preserve"> </w:t>
      </w:r>
      <w:r>
        <w:t xml:space="preserve">clustering with 100 clusters, date clustering with 12 clusters, and a two-way</w:t>
      </w:r>
      <w:r>
        <w:t xml:space="preserve"> </w:t>
      </w:r>
      <w:r>
        <w:t xml:space="preserve">procedure in which equities and dates are resampled independently and their</w:t>
      </w:r>
      <w:r>
        <w:t xml:space="preserve"> </w:t>
      </w:r>
      <w:r>
        <w:t xml:space="preserve">intersections are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reduces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cross-provider heterogeneity reduces within-ensemble agreement is</w:t>
      </w:r>
      <w:r>
        <w:t xml:space="preserve"> </w:t>
      </w:r>
      <w:r>
        <w:t xml:space="preserve">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Agreement</w:t>
      </w:r>
      <w:r>
        <w:t xml:space="preserve"> </w:t>
      </w:r>
      <w:r>
        <w:t xml:space="preserve">therefore decreases at each observed increase in heterogeneity, from HOM to</w:t>
      </w:r>
      <w:r>
        <w:t xml:space="preserve"> </w:t>
      </w:r>
      <w:r>
        <w:t xml:space="preserve">HET-LITE and from HET-LITE to HET. These results establish a monotonic</w:t>
      </w:r>
      <w:r>
        <w:t xml:space="preserve"> </w:t>
      </w:r>
      <w:r>
        <w:t xml:space="preserve">relationship between provider heterogeneity and reduced within-ensemble</w:t>
      </w:r>
      <w:r>
        <w:t xml:space="preserve"> </w:t>
      </w:r>
      <w:r>
        <w:t xml:space="preserve">agreement in the evaluated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Clusters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w:r>
              <w:t xml:space="preserve">1200</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For each pair of agents within an ensemble cell, we compute</w:t>
      </w:r>
      <w:r>
        <w:t xml:space="preserve"> </w:t>
      </w:r>
      <m:oMath>
        <m:r>
          <m:t>ϕ</m:t>
        </m:r>
      </m:oMath>
      <w:r>
        <w:t xml:space="preserve"> </w:t>
      </w:r>
      <w:r>
        <w:t xml:space="preserve">between binary</w:t>
      </w:r>
      <w:r>
        <w:t xml:space="preserve"> </w:t>
      </w:r>
      <w:r>
        <w:t xml:space="preserve">error indicators defined relative to the realized forward-return sign.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5.9</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This replication supports the observed ordering across two substantially</w:t>
      </w:r>
      <w:r>
        <w:t xml:space="preserve"> </w:t>
      </w:r>
      <w:r>
        <w:t xml:space="preserve">different domains. It does not establish that heterogeneity improves predictive</w:t>
      </w:r>
      <w:r>
        <w:t xml:space="preserve"> </w:t>
      </w:r>
      <w:r>
        <w:t xml:space="preserve">accuracy.</w:t>
      </w:r>
    </w:p>
    <w:bookmarkStart w:id="66" w:name="selective-prediction"/>
    <w:p>
      <w:pPr>
        <w:pStyle w:val="Heading4"/>
      </w:pPr>
      <w:r>
        <w:t xml:space="preserve">Selective prediction</w:t>
      </w:r>
    </w:p>
    <w:p>
      <w:pPr>
        <w:pStyle w:val="FirstParagraph"/>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which excludes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indicating that capability differences alone do not account for the</w:t>
      </w:r>
      <w:r>
        <w:t xml:space="preserve"> </w:t>
      </w:r>
      <w:r>
        <w:t xml:space="preserve">primary contrast. Provider nevertheless remains confounded with other</w:t>
      </w:r>
      <w:r>
        <w:t xml:space="preserve"> </w:t>
      </w:r>
      <w:r>
        <w:t xml:space="preserve">model-specific characteristics and is not identified as an independent causal</w:t>
      </w:r>
      <w:r>
        <w:t xml:space="preserve"> </w:t>
      </w:r>
      <w:r>
        <w:t xml:space="preserve">factor. The capability-matched control therefore reduces, but does not eliminate,</w:t>
      </w:r>
      <w:r>
        <w:t xml:space="preserve"> </w:t>
      </w:r>
      <w:r>
        <w:t xml:space="preserve">the capability-tier confound, because matching is approximate and covers only two</w:t>
      </w:r>
      <w:r>
        <w:t xml:space="preserve"> </w:t>
      </w:r>
      <w:r>
        <w:t xml:space="preserve">providers. (The reproduction of</w:t>
      </w:r>
      <w:r>
        <w:t xml:space="preserve"> </w:t>
      </w:r>
      <m:oMath>
        <m:sSub>
          <m:e>
            <m:r>
              <m:t>κ</m:t>
            </m:r>
          </m:e>
          <m:sub>
            <m:r>
              <m:rPr>
                <m:sty m:val="p"/>
              </m:rPr>
              <m:t>H</m:t>
            </m:r>
            <m:r>
              <m:rPr>
                <m:sty m:val="p"/>
              </m:rPr>
              <m:t>O</m:t>
            </m:r>
            <m:r>
              <m:rPr>
                <m:sty m:val="p"/>
              </m:rPr>
              <m:t>M</m:t>
            </m:r>
          </m:sub>
        </m:sSub>
        <m:r>
          <m:rPr>
            <m:sty m:val="p"/>
          </m:rPr>
          <m:t>=</m:t>
        </m:r>
        <m:r>
          <m:t>0.552</m:t>
        </m:r>
      </m:oMath>
      <w:r>
        <w:t xml:space="preserve"> </w:t>
      </w:r>
      <w:r>
        <w:t xml:space="preserve">to four decimals</w:t>
      </w:r>
      <w:r>
        <w:t xml:space="preserve"> </w:t>
      </w:r>
      <w:r>
        <w:t xml:space="preserve">across two independently collected datasets also re-confirms determinism of the</w:t>
      </w:r>
      <w:r>
        <w:t xml:space="preserve"> </w:t>
      </w:r>
      <w:r>
        <w:t xml:space="preserve">homogeneous 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article does not propose a new ensemble algorithm, so a direct 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contribution is therefore a measurement framework that separates output</w:t>
      </w:r>
      <w:r>
        <w:t xml:space="preserve"> </w:t>
      </w:r>
      <w:r>
        <w:t xml:space="preserve">agreement from error correlation, controls the shared-seed artifact observed in</w:t>
      </w:r>
      <w:r>
        <w:t xml:space="preserve"> </w:t>
      </w:r>
      <w:r>
        <w:t xml:space="preserve">repeated model sampling, quantifies uncertainty, and incorporates inference cost.</w:t>
      </w:r>
      <w:r>
        <w:t xml:space="preserve"> </w:t>
      </w:r>
      <w:r>
        <w:t xml:space="preserve">These measurements complement performance-based evaluations rather than</w:t>
      </w:r>
      <w:r>
        <w:t xml:space="preserve"> </w:t>
      </w:r>
      <w:r>
        <w:t xml:space="preserve">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cross-provider heterogeneity</w:t>
      </w:r>
      <w:r>
        <w:t xml:space="preserve"> </w:t>
      </w:r>
      <w:r>
        <w:t xml:space="preserve">substantially reduces within-ensemble agreement but does not produce a</w:t>
      </w:r>
      <w:r>
        <w:t xml:space="preserve"> </w:t>
      </w:r>
      <w:r>
        <w:t xml:space="preserve">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5.10</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5.9</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cross-provider</w:t>
      </w:r>
      <w:r>
        <w:t xml:space="preserve"> </w:t>
      </w:r>
      <w:r>
        <w:t xml:space="preserve">heterogeneity affects agreement and inference cost in LLM ensembles.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effect, indicating that capability differences alone do not account for</w:t>
      </w:r>
      <w:r>
        <w:t xml:space="preserve"> </w:t>
      </w:r>
      <w:r>
        <w:t xml:space="preserve">the observed contrast. Provider nevertheless remains confounded with other</w:t>
      </w:r>
      <w:r>
        <w:t xml:space="preserve"> </w:t>
      </w:r>
      <w:r>
        <w:t xml:space="preserve">model-specific characteristics and is not identified as an independent causal</w:t>
      </w:r>
      <w:r>
        <w:t xml:space="preserve"> </w:t>
      </w:r>
      <w:r>
        <w:t xml:space="preserve">factor.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verifying sampling independence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97"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96"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1"/>
    <w:bookmarkStart w:id="82"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2"/>
    <w:bookmarkStart w:id="83"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3"/>
    <w:bookmarkStart w:id="84"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4"/>
    <w:bookmarkStart w:id="85"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5"/>
    <w:bookmarkStart w:id="86"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6"/>
    <w:bookmarkStart w:id="87"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7"/>
    <w:bookmarkStart w:id="88"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88"/>
    <w:bookmarkStart w:id="89"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89"/>
    <w:bookmarkStart w:id="90"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0"/>
    <w:bookmarkStart w:id="91"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1"/>
    <w:bookmarkStart w:id="92"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2"/>
    <w:bookmarkStart w:id="93"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3"/>
    <w:bookmarkStart w:id="94"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4"/>
    <w:bookmarkStart w:id="95"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5"/>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2026-10-02T03:24:56Z</dcterms:created>
  <dcterms:modified xsi:type="dcterms:W3CDTF">2026-10-02T03:24:56Z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Cross-provider heterogeneity significantly reduces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Capability-matched analyses further show that capability differences alone do not explain the observed contrast, although provider remains confounded with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