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 [20].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</w:t>
      </w:r>
      <w:r>
        <w:t xml:space="preserve"> </w:t>
      </w:r>
      <w:r>
        <w:t xml:space="preserve">HOM to 0.742 for HET-LITE and 0.530 for HET. The HOM-HET contrast is 0.454 with a 95%</w:t>
      </w:r>
      <w:r>
        <w:t xml:space="preserve"> </w:t>
      </w:r>
      <w:r>
        <w:t xml:space="preserve">confidence interval of [0.376, 0.534]. Under two-way resampling, the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We do not present the lower error correlation as a performance claim. The</w:t>
      </w:r>
      <w:r>
        <w:t xml:space="preserve"> </w:t>
      </w:r>
      <w:r>
        <w:t xml:space="preserve">classifier-ensemble literature establishes that diversity and ensemble accuracy are related</w:t>
      </w:r>
      <w:r>
        <w:t xml:space="preserve"> </w:t>
      </w:r>
      <w:r>
        <w:t xml:space="preserve">but not interchangeable [17], and Section V-C and the Conclusion now say so explicitly.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 [20].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2026-10-02T16:41:57Z</dcterms:created>
  <dcterms:modified xsi:type="dcterms:W3CDTF">2026-10-02T16:41:57Z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