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reduced agreement alone does not establish a downstream benefit. We therefore</w:t>
      </w:r>
      <w:r>
        <w:t xml:space="preserve"> </w:t>
      </w:r>
      <w:r>
        <w:t xml:space="preserve">added a selective-prediction analysis using mean agent conviction. AURC is 0.553 for HOM,</w:t>
      </w:r>
      <w:r>
        <w:t xml:space="preserve"> </w:t>
      </w:r>
      <w:r>
        <w:t xml:space="preserve">0.568 for HET-LITE, and 0.554 for HET; the HOM-HET difference is -0.001 with a 95%</w:t>
      </w:r>
      <w:r>
        <w:t xml:space="preserve"> </w:t>
      </w:r>
      <w:r>
        <w:t xml:space="preserve">equity-clustered interval of [-0.059, 0.060] and a two-way interval of [-0.113, 0.115].</w:t>
      </w:r>
    </w:p>
    <w:p>
      <w:pPr>
        <w:pStyle w:val="Compact"/>
        <w:numPr>
          <w:ilvl w:val="0"/>
          <w:numId w:val="1001"/>
        </w:numPr>
      </w:pPr>
      <w:r>
        <w:t xml:space="preserve">Restricting evaluation to the most confident half of decisions does not materially reduce</w:t>
      </w:r>
      <w:r>
        <w:t xml:space="preserve"> </w:t>
      </w:r>
      <w:r>
        <w:t xml:space="preserve">selective risk, so we do not claim improved calibration or abstention quality.</w:t>
      </w:r>
    </w:p>
    <w:p>
      <w:pPr>
        <w:pStyle w:val="Compact"/>
        <w:numPr>
          <w:ilvl w:val="0"/>
          <w:numId w:val="1001"/>
        </w:numPr>
      </w:pPr>
      <w:r>
        <w:t xml:space="preserve">As a separate exploratory outcome, HOM produces unanimous incorrect directional decisions at</w:t>
      </w:r>
      <w:r>
        <w:t xml:space="preserve"> </w:t>
      </w:r>
      <w:r>
        <w:t xml:space="preserve">1.84 times the rate of HET, with equity-clustered and two-way 95% intervals of [1.42, 2.52]</w:t>
      </w:r>
      <w:r>
        <w:t xml:space="preserve"> </w:t>
      </w:r>
      <w:r>
        <w:t xml:space="preserve">and [1.13, 3.06], respectively. Because this analysis is post hoc and unadjusted for</w:t>
      </w:r>
      <w:r>
        <w:t xml:space="preserve"> </w:t>
      </w:r>
      <w:r>
        <w:t xml:space="preserve">multiplicity, we treat it as hypothesis-generating rather than confirmatory.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unanimous-incorrect ratio with equity-clustered and two-way confidence intervals and to</w:t>
      </w:r>
      <w:r>
        <w:t xml:space="preserve"> </w:t>
      </w:r>
      <w:r>
        <w:t xml:space="preserve">state explicitly that the analysis is exploratory.</w:t>
      </w:r>
    </w:p>
    <w:p>
      <w:pPr>
        <w:pStyle w:val="Compact"/>
        <w:numPr>
          <w:ilvl w:val="0"/>
          <w:numId w:val="100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that the frontier</w:t>
      </w:r>
      <w:r>
        <w:t xml:space="preserve"> </w:t>
      </w:r>
      <w:r>
        <w:t xml:space="preserve">quantifies the cost associated with greater behavioral diversity and does not by itself</w:t>
      </w:r>
      <w:r>
        <w:t xml:space="preserve"> </w:t>
      </w:r>
      <w:r>
        <w:t xml:space="preserve">establish improved downstream decision quality.</w:t>
      </w:r>
    </w:p>
    <w:p>
      <w:pPr>
        <w:pStyle w:val="Compact"/>
        <w:numPr>
          <w:ilvl w:val="0"/>
          <w:numId w:val="1002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is now a standalone subsection rather than part of the</w:t>
      </w:r>
      <w:r>
        <w:t xml:space="preserve"> </w:t>
      </w:r>
      <w:r>
        <w:t xml:space="preserve">clinical replication, since its equity-clustered and two-way intervals concern the financial</w:t>
      </w:r>
      <w:r>
        <w:t xml:space="preserve"> </w:t>
      </w:r>
      <w:r>
        <w:t xml:space="preserve">experiment. It defines the decision unit, the HOLD and undefined-sign exclusions, the</w:t>
      </w:r>
      <w:r>
        <w:t xml:space="preserve"> </w:t>
      </w:r>
      <w:r>
        <w:t xml:space="preserve">coverage denominator, the conviction ranking, selective risk, the trapezoidal AURC, the</w:t>
      </w:r>
      <w:r>
        <w:t xml:space="preserve"> </w:t>
      </w:r>
      <w:r>
        <w:t xml:space="preserve">within-draw paired contrast, and the bootstrap, and it follows the risk-coverage framework</w:t>
      </w:r>
      <w:r>
        <w:t xml:space="preserve"> </w:t>
      </w:r>
      <w:r>
        <w:t xml:space="preserve">of El-Yaniv and Wiener [19].</w:t>
      </w:r>
    </w:p>
    <w:p>
      <w:pPr>
        <w:pStyle w:val="Compact"/>
        <w:numPr>
          <w:ilvl w:val="0"/>
          <w:numId w:val="1002"/>
        </w:numPr>
      </w:pPr>
      <w:r>
        <w:t xml:space="preserve">Reference [19], El-Yaniv and Wiener on selective prediction, was added to the reference list</w:t>
      </w:r>
      <w:r>
        <w:t xml:space="preserve"> </w:t>
      </w:r>
      <w:r>
        <w:t xml:space="preserve">as the source of the risk-coverage framework used in this analysis.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A fully three-provider tier-matched design remains unavailable because an equivalent</w:t>
      </w:r>
      <w:r>
        <w:t xml:space="preserve"> </w:t>
      </w:r>
      <w:r>
        <w:t xml:space="preserve">efficient-tier xAI model was not available.</w:t>
      </w:r>
    </w:p>
    <w:p>
      <w:pPr>
        <w:pStyle w:val="Compact"/>
        <w:numPr>
          <w:ilvl w:val="0"/>
          <w:numId w:val="1003"/>
        </w:numPr>
      </w:pPr>
      <w:r>
        <w:t xml:space="preserve">We therefore added an approximate capability comparison in the clinical replication: one</w:t>
      </w:r>
      <w:r>
        <w:t xml:space="preserve"> </w:t>
      </w:r>
      <w:r>
        <w:t xml:space="preserve">same-provider pair and one cross-provider pair have nearly identical mean member accuracy,</w:t>
      </w:r>
      <w:r>
        <w:t xml:space="preserve"> </w:t>
      </w:r>
      <w:r>
        <w:t xml:space="preserve">0.951 and 0.955, while their error correlations are 0.954 and 0.607, a difference of 0.347</w:t>
      </w:r>
      <w:r>
        <w:t xml:space="preserve"> </w:t>
      </w:r>
      <w:r>
        <w:t xml:space="preserve">(95% CI [0.207, 0.507]).</w:t>
      </w:r>
    </w:p>
    <w:p>
      <w:pPr>
        <w:pStyle w:val="Compact"/>
        <w:numPr>
          <w:ilvl w:val="0"/>
          <w:numId w:val="1003"/>
        </w:numPr>
      </w:pPr>
      <w:r>
        <w:t xml:space="preserve">This reduces the capability confound but does not eliminate confounding between provider and</w:t>
      </w:r>
      <w:r>
        <w:t xml:space="preserve"> </w:t>
      </w:r>
      <w:r>
        <w:t xml:space="preserve">other model-specific characteristics; we therefore do not identify provider as an</w:t>
      </w:r>
      <w:r>
        <w:t xml:space="preserve"> </w:t>
      </w:r>
      <w:r>
        <w:t xml:space="preserve">independent 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04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control, which preserves approximately 94% of the primary agreement contrast</w:t>
      </w:r>
      <w:r>
        <w:t xml:space="preserve"> </w:t>
      </w:r>
      <w:r>
        <w:t xml:space="preserve">while holding model tier approximately constant.</w:t>
      </w:r>
    </w:p>
    <w:p>
      <w:pPr>
        <w:pStyle w:val="Compact"/>
        <w:numPr>
          <w:ilvl w:val="0"/>
          <w:numId w:val="1004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remains confounded with model identity, training</w:t>
      </w:r>
      <w:r>
        <w:t xml:space="preserve"> </w:t>
      </w:r>
      <w:r>
        <w:t xml:space="preserve">data, architecture, alignment, and effective capability.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added a pre-registered replication using 537 questions from the MMLU</w:t>
      </w:r>
      <w:r>
        <w:t xml:space="preserve"> </w:t>
      </w:r>
      <w:r>
        <w:t xml:space="preserve">professional-medicine and clinical-knowledge subsets, changing the task from three</w:t>
      </w:r>
      <w:r>
        <w:t xml:space="preserve"> </w:t>
      </w:r>
      <w:r>
        <w:t xml:space="preserve">BUY/HOLD/SELL labels to four-option clinical questions.</w:t>
      </w:r>
    </w:p>
    <w:p>
      <w:pPr>
        <w:pStyle w:val="Compact"/>
        <w:numPr>
          <w:ilvl w:val="0"/>
          <w:numId w:val="1005"/>
        </w:numPr>
      </w:pPr>
      <w:r>
        <w:t xml:space="preserve">The ordering reproduces: agreement decreases by Δκ = 0.072 (95% CI [0.040, 0.104]) and error</w:t>
      </w:r>
      <w:r>
        <w:t xml:space="preserve"> </w:t>
      </w:r>
      <w:r>
        <w:t xml:space="preserve">correlation by Δφ = 0.393 (95% CI [0.325, 0.459]), compared with 0.336 and 0.454 in finance.</w:t>
      </w:r>
    </w:p>
    <w:p>
      <w:pPr>
        <w:pStyle w:val="Compact"/>
        <w:numPr>
          <w:ilvl w:val="0"/>
          <w:numId w:val="1005"/>
        </w:numPr>
      </w:pPr>
      <w:r>
        <w:t xml:space="preserve">The agreement effect is therefore materially smaller across domains, and we do not claim</w:t>
      </w:r>
      <w:r>
        <w:t xml:space="preserve"> </w:t>
      </w:r>
      <w:r>
        <w:t xml:space="preserve">magnitude invariance. Ensemble size, prompt format, aggregation rule, and model mixtures</w:t>
      </w:r>
      <w:r>
        <w:t xml:space="preserve"> </w:t>
      </w:r>
      <w:r>
        <w:t xml:space="preserve">remain fixed and are stated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06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distinguish the dimensions tested across domains from those that remain fixed.</w:t>
      </w:r>
    </w:p>
    <w:p>
      <w:pPr>
        <w:pStyle w:val="Compact"/>
        <w:numPr>
          <w:ilvl w:val="0"/>
          <w:numId w:val="1006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06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from which the clinical items are drawn.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now treat the consensus analysis explicitly as exploratory. The HOM-to-HET</w:t>
      </w:r>
      <w:r>
        <w:t xml:space="preserve"> </w:t>
      </w:r>
      <w:r>
        <w:t xml:space="preserve">unanimous-incorrect ratio is 1.84, with an equity-clustered 95% interval of [1.42, 2.52] and</w:t>
      </w:r>
      <w:r>
        <w:t xml:space="preserve"> </w:t>
      </w:r>
      <w:r>
        <w:t xml:space="preserve">a two-way interval of [1.13, 3.06].</w:t>
      </w:r>
    </w:p>
    <w:p>
      <w:pPr>
        <w:pStyle w:val="Compact"/>
        <w:numPr>
          <w:ilvl w:val="0"/>
          <w:numId w:val="1007"/>
        </w:numPr>
      </w:pPr>
      <w:r>
        <w:t xml:space="preserve">Because the statistic and configuration comparison were selected post hoc and no</w:t>
      </w:r>
      <w:r>
        <w:t xml:space="preserve"> </w:t>
      </w:r>
      <w:r>
        <w:t xml:space="preserve">multiplicity adjustment is applied, these intervals are not interpreted as confirmatory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07"/>
        </w:numPr>
      </w:pPr>
      <w:r>
        <w:t xml:space="preserve">HET-LITE is no longer presented as a recommended design; its apparent cost efficiency is</w:t>
      </w:r>
      <w:r>
        <w:t xml:space="preserve"> </w:t>
      </w:r>
      <w:r>
        <w:t xml:space="preserve">treated only as a hypothesis for prospective confirmatory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the unanimous-incorrect ratio.</w:t>
      </w:r>
    </w:p>
    <w:p>
      <w:pPr>
        <w:pStyle w:val="Compact"/>
        <w:numPr>
          <w:ilvl w:val="0"/>
          <w:numId w:val="1008"/>
        </w:numPr>
      </w:pPr>
      <w:r>
        <w:t xml:space="preserve">Section V-H was also revised to state the post hoc status of the analysis, note the absence</w:t>
      </w:r>
      <w:r>
        <w:t xml:space="preserve"> </w:t>
      </w:r>
      <w:r>
        <w:t xml:space="preserve">of multiplicity adjustment, and remove the HET-LITE design recommendation.</w:t>
      </w:r>
    </w:p>
    <w:p>
      <w:pPr>
        <w:pStyle w:val="Compact"/>
        <w:numPr>
          <w:ilvl w:val="0"/>
          <w:numId w:val="1008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was revised so that the HET-LITE result is described as</w:t>
      </w:r>
      <w:r>
        <w:t xml:space="preserve"> </w:t>
      </w:r>
      <w:r>
        <w:t xml:space="preserve">hypothesis-generating rather than deployment guidance.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added a pair-type sensitivity analysis. Same-model agreement is 0.800 in HOM, 0.794 in</w:t>
      </w:r>
      <w:r>
        <w:t xml:space="preserve"> </w:t>
      </w:r>
      <w:r>
        <w:t xml:space="preserve">HET-LITE, and 0.862 in HET, while different-model agreement is 0.455 in HET-LITE and 0.490</w:t>
      </w:r>
      <w:r>
        <w:t xml:space="preserve"> </w:t>
      </w:r>
      <w:r>
        <w:t xml:space="preserve">in HET. The reduction in ensemble agreement is therefore associated with the introduction of</w:t>
      </w:r>
      <w:r>
        <w:t xml:space="preserve"> </w:t>
      </w:r>
      <w:r>
        <w:t xml:space="preserve">different-model pairs rather than a systematic reduction among repeated instances of the</w:t>
      </w:r>
      <w:r>
        <w:t xml:space="preserve"> </w:t>
      </w:r>
      <w:r>
        <w:t xml:space="preserve">same model.</w:t>
      </w:r>
    </w:p>
    <w:p>
      <w:pPr>
        <w:pStyle w:val="Compact"/>
        <w:numPr>
          <w:ilvl w:val="0"/>
          <w:numId w:val="1009"/>
        </w:numPr>
      </w:pPr>
      <w:r>
        <w:t xml:space="preserve">We also clarify that distinct per-agent seeds remove the specific shared-seed artifact</w:t>
      </w:r>
      <w:r>
        <w:t xml:space="preserve"> </w:t>
      </w:r>
      <w:r>
        <w:t xml:space="preserve">observed in the pilot but do not establish statistical independence of model responses.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“Sensitivity:</w:t>
      </w:r>
      <w:r>
        <w:t xml:space="preserve"> </w:t>
      </w:r>
      <w:r>
        <w:t xml:space="preserve">agreement by pair type,”</w:t>
      </w:r>
      <w:r>
        <w:t xml:space="preserve"> </w:t>
      </w:r>
      <w:r>
        <w:t xml:space="preserve">was added to report the same-model and different-model pairwise</w:t>
      </w:r>
      <w:r>
        <w:t xml:space="preserve"> </w:t>
      </w:r>
      <w:r>
        <w:t xml:space="preserve">agreement results.</w:t>
      </w:r>
    </w:p>
    <w:p>
      <w:pPr>
        <w:pStyle w:val="Compact"/>
        <w:numPr>
          <w:ilvl w:val="0"/>
          <w:numId w:val="1010"/>
        </w:numPr>
      </w:pPr>
      <w:r>
        <w:t xml:space="preserve">Section V-E, subsection</w:t>
      </w:r>
      <w:r>
        <w:t xml:space="preserve"> </w:t>
      </w:r>
      <w:r>
        <w:t xml:space="preserve">“What unique seeds do and do not establish,”</w:t>
      </w:r>
      <w:r>
        <w:t xml:space="preserve"> </w:t>
      </w:r>
      <w:r>
        <w:t xml:space="preserve">was added to state</w:t>
      </w:r>
      <w:r>
        <w:t xml:space="preserve"> </w:t>
      </w:r>
      <w:r>
        <w:t xml:space="preserve">explicitly that distinct per-agent seeds do not prove statistical independence.</w:t>
      </w:r>
    </w:p>
    <w:p>
      <w:pPr>
        <w:pStyle w:val="Compact"/>
        <w:numPr>
          <w:ilvl w:val="0"/>
          <w:numId w:val="1010"/>
        </w:numPr>
      </w:pPr>
      <w:r>
        <w:t xml:space="preserve">Figure 2 was revised to describe the change as assignment of a distinct reproducible seed to</w:t>
      </w:r>
      <w:r>
        <w:t xml:space="preserve"> </w:t>
      </w:r>
      <w:r>
        <w:t xml:space="preserve">each agent and explicitly states that this does not establish statistical independence.</w:t>
      </w:r>
    </w:p>
    <w:p>
      <w:pPr>
        <w:pStyle w:val="Compact"/>
        <w:numPr>
          <w:ilvl w:val="0"/>
          <w:numId w:val="1010"/>
        </w:numPr>
      </w:pPr>
      <w:r>
        <w:t xml:space="preserve">Table 6 retains the within-run versus cross-run diagnostic and identifies the heterogeneous</w:t>
      </w:r>
      <w:r>
        <w:t xml:space="preserve"> </w:t>
      </w:r>
      <w:r>
        <w:t xml:space="preserve">results as secondary consistency checks rather than direct independence tests.</w:t>
      </w:r>
    </w:p>
    <w:p>
      <w:pPr>
        <w:pStyle w:val="Compact"/>
        <w:numPr>
          <w:ilvl w:val="0"/>
          <w:numId w:val="1010"/>
        </w:numPr>
      </w:pPr>
      <w:r>
        <w:t xml:space="preserve">The Conclusion no longer refers to verifying sampling independence; it now describes</w:t>
      </w:r>
      <w:r>
        <w:t xml:space="preserve"> </w:t>
      </w:r>
      <w:r>
        <w:t xml:space="preserve">checking for residual within-run dependence and avoiding shared-seed artifacts, matching</w:t>
      </w:r>
      <w:r>
        <w:t xml:space="preserve"> </w:t>
      </w:r>
      <w:r>
        <w:t xml:space="preserve">Section III-C. The claim that reproducing kappa_HOM across datasets re-confirms determinism</w:t>
      </w:r>
      <w:r>
        <w:t xml:space="preserve"> </w:t>
      </w:r>
      <w:r>
        <w:t xml:space="preserve">has been removed and replaced with a consistency check, since reproducing an aggregate</w:t>
      </w:r>
      <w:r>
        <w:t xml:space="preserve"> </w:t>
      </w:r>
      <w:r>
        <w:t xml:space="preserve">statistic does not demonstrate determinism.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clarified that per-call cost is computed from metered prompt and completion tokens using</w:t>
      </w:r>
      <w:r>
        <w:t xml:space="preserve"> </w:t>
      </w:r>
      <w:r>
        <w:t xml:space="preserve">the model-registry rates, summed across the five agents within each ensemble decision, and</w:t>
      </w:r>
      <w:r>
        <w:t xml:space="preserve"> </w:t>
      </w:r>
      <w:r>
        <w:t xml:space="preserve">then averaged across cells.</w:t>
      </w:r>
    </w:p>
    <w:p>
      <w:pPr>
        <w:pStyle w:val="Compact"/>
        <w:numPr>
          <w:ilvl w:val="0"/>
          <w:numId w:val="1011"/>
        </w:numPr>
      </w:pPr>
      <w:r>
        <w:t xml:space="preserve">The resulting costs are $6.48 x 10^-4 for HOM, $1.52 x 10^-3 for HET-LITE, and $2.84 x 10^-3</w:t>
      </w:r>
      <w:r>
        <w:t xml:space="preserve"> </w:t>
      </w:r>
      <w:r>
        <w:t xml:space="preserve">for HET, so HOM-to-HET increases inference cost by approximately 4.4x.</w:t>
      </w:r>
    </w:p>
    <w:p>
      <w:pPr>
        <w:pStyle w:val="Compact"/>
        <w:numPr>
          <w:ilvl w:val="0"/>
          <w:numId w:val="1011"/>
        </w:numPr>
      </w:pPr>
      <w:r>
        <w:t xml:space="preserve">Prices are fixed at those applicable during collection; no discount, batching, or caching</w:t>
      </w:r>
      <w:r>
        <w:t xml:space="preserve"> </w:t>
      </w:r>
      <w:r>
        <w:t xml:space="preserve">adjustment is applied, and failed requests with no billable completion are excluded.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the token accounting,</w:t>
      </w:r>
      <w:r>
        <w:t xml:space="preserve"> </w:t>
      </w:r>
      <w:r>
        <w:t xml:space="preserve">aggregation, and pricing assumptions explicitly.</w:t>
      </w:r>
    </w:p>
    <w:p>
      <w:pPr>
        <w:pStyle w:val="Compact"/>
        <w:numPr>
          <w:ilvl w:val="0"/>
          <w:numId w:val="1012"/>
        </w:numPr>
      </w:pPr>
      <w:r>
        <w:t xml:space="preserve">Table 4 reports the corresponding per-ensemble-decision cost for each of the three</w:t>
      </w:r>
      <w:r>
        <w:t xml:space="preserve"> </w:t>
      </w:r>
      <w:r>
        <w:t xml:space="preserve">configurations.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Index Terms have been reduced to five terms.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The manuscript Index Terms were revised to: ensemble learning, error correlation, large</w:t>
      </w:r>
      <w:r>
        <w:t xml:space="preserve"> </w:t>
      </w:r>
      <w:r>
        <w:t xml:space="preserve">language models, model heterogeneity, and multi-agent systems. The five terms are listed</w:t>
      </w:r>
      <w:r>
        <w:t xml:space="preserve"> </w:t>
      </w:r>
      <w:r>
        <w:t xml:space="preserve">alphabetically, as IEEE Access requires.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This study does not propose a new ensemble algorithm, so a leaderboard-style</w:t>
      </w:r>
      <w:r>
        <w:t xml:space="preserve"> </w:t>
      </w:r>
      <w:r>
        <w:t xml:space="preserve">task-performance comparison with existing ensemble methods would address a different</w:t>
      </w:r>
      <w:r>
        <w:t xml:space="preserve"> </w:t>
      </w:r>
      <w:r>
        <w:t xml:space="preserve">question. Prior work typically evaluates mixture-of-agents, debate, or ensemble-selection</w:t>
      </w:r>
      <w:r>
        <w:t xml:space="preserve"> </w:t>
      </w:r>
      <w:r>
        <w:t xml:space="preserve">methods through downstream performance, whereas we hold the task, prompt, information set,</w:t>
      </w:r>
      <w:r>
        <w:t xml:space="preserve"> </w:t>
      </w:r>
      <w:r>
        <w:t xml:space="preserve">and aggregation rule fixed and study how ensemble composition relates to agreement, error</w:t>
      </w:r>
      <w:r>
        <w:t xml:space="preserve"> </w:t>
      </w:r>
      <w:r>
        <w:t xml:space="preserve">dependence, and cost.</w:t>
      </w:r>
    </w:p>
    <w:p>
      <w:pPr>
        <w:pStyle w:val="Compact"/>
        <w:numPr>
          <w:ilvl w:val="0"/>
          <w:numId w:val="1015"/>
        </w:numPr>
      </w:pPr>
      <w:r>
        <w:t xml:space="preserve">The appropriate comparison is therefore methodological: our framework separates output</w:t>
      </w:r>
      <w:r>
        <w:t xml:space="preserve"> </w:t>
      </w:r>
      <w:r>
        <w:t xml:space="preserve">agreement from error correlation, controls the shared-seed artifact, quantifies statistical</w:t>
      </w:r>
      <w:r>
        <w:t xml:space="preserve"> </w:t>
      </w:r>
      <w:r>
        <w:t xml:space="preserve">uncertainty, and incorporates inference cost.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was added to explain the basis of</w:t>
      </w:r>
      <w:r>
        <w:t xml:space="preserve"> </w:t>
      </w:r>
      <w:r>
        <w:t xml:space="preserve">comparison with existing ensemble approaches.</w:t>
      </w:r>
    </w:p>
    <w:p>
      <w:pPr>
        <w:pStyle w:val="Compact"/>
        <w:numPr>
          <w:ilvl w:val="0"/>
          <w:numId w:val="1016"/>
        </w:numPr>
      </w:pPr>
      <w:r>
        <w:t xml:space="preserve">Section II-A,</w:t>
      </w:r>
      <w:r>
        <w:t xml:space="preserve"> </w:t>
      </w:r>
      <w:r>
        <w:t xml:space="preserve">“LLM Ensembles and Mixture-of-Agents,”</w:t>
      </w:r>
      <w:r>
        <w:t xml:space="preserve"> </w:t>
      </w:r>
      <w:r>
        <w:t xml:space="preserve">provides the corresponding literature</w:t>
      </w:r>
      <w:r>
        <w:t xml:space="preserve"> </w:t>
      </w:r>
      <w:r>
        <w:t xml:space="preserve">context for mixture-of-agents, diversity-based selection, and heterogeneous ensemble</w:t>
      </w:r>
      <w:r>
        <w:t xml:space="preserve"> </w:t>
      </w:r>
      <w:r>
        <w:t xml:space="preserve">approaches.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now states the distinction as one of</w:t>
      </w:r>
      <w:r>
        <w:t xml:space="preserve"> </w:t>
      </w:r>
      <w:r>
        <w:t xml:space="preserve">estimand rather than quality: prior aggregation and selection work asks whether a method</w:t>
      </w:r>
      <w:r>
        <w:t xml:space="preserve"> </w:t>
      </w:r>
      <w:r>
        <w:t xml:space="preserve">improves downstream performance, while this study holds the task, prompt, information set</w:t>
      </w:r>
      <w:r>
        <w:t xml:space="preserve"> </w:t>
      </w:r>
      <w:r>
        <w:t xml:space="preserve">and aggregation rule fixed and asks how ensemble composition relates to agreement, error</w:t>
      </w:r>
      <w:r>
        <w:t xml:space="preserve"> </w:t>
      </w:r>
      <w:r>
        <w:t xml:space="preserve">dependence and cost. It identifies the four methodological axes on which the comparison is</w:t>
      </w:r>
      <w:r>
        <w:t xml:space="preserve"> </w:t>
      </w:r>
      <w:r>
        <w:t xml:space="preserve">appropriate, and cites Kuncheva and Whitaker [17] for the classifier-ensemble result that</w:t>
      </w:r>
      <w:r>
        <w:t xml:space="preserve"> </w:t>
      </w:r>
      <w:r>
        <w:t xml:space="preserve">diversity and accuracy are related but not interchangeable, which is why reduced agreement</w:t>
      </w:r>
      <w:r>
        <w:t xml:space="preserve"> </w:t>
      </w:r>
      <w:r>
        <w:t xml:space="preserve">is not treated here as evidence of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that provider is not experimentally separable from model identity, capability,</w:t>
      </w:r>
      <w:r>
        <w:t xml:space="preserve"> </w:t>
      </w:r>
      <w:r>
        <w:t xml:space="preserve">training data, architecture, alignment procedure, and other model-specific characteristics</w:t>
      </w:r>
      <w:r>
        <w:t xml:space="preserve"> </w:t>
      </w:r>
      <w:r>
        <w:t xml:space="preserve">in the primary design. We therefore interpret the comparisons as configuration-specific</w:t>
      </w:r>
      <w:r>
        <w:t xml:space="preserve"> </w:t>
      </w:r>
      <w:r>
        <w:t xml:space="preserve">observational findings rather than isolated causal provider effects.</w:t>
      </w:r>
    </w:p>
    <w:p>
      <w:pPr>
        <w:pStyle w:val="Compact"/>
        <w:numPr>
          <w:ilvl w:val="0"/>
          <w:numId w:val="1017"/>
        </w:numPr>
      </w:pPr>
      <w:r>
        <w:t xml:space="preserve">The pre-registered financial capability control preserves approximately 94% of the primary</w:t>
      </w:r>
      <w:r>
        <w:t xml:space="preserve"> </w:t>
      </w:r>
      <w:r>
        <w:t xml:space="preserve">agreement contrast under approximate tier matching, and the clinical replication provides an</w:t>
      </w:r>
      <w:r>
        <w:t xml:space="preserve"> </w:t>
      </w:r>
      <w:r>
        <w:t xml:space="preserve">additional approximate capability-matched comparison with similar member accuracy but</w:t>
      </w:r>
      <w:r>
        <w:t xml:space="preserve"> </w:t>
      </w:r>
      <w:r>
        <w:t xml:space="preserve">substantially different error correlation.</w:t>
      </w:r>
    </w:p>
    <w:p>
      <w:pPr>
        <w:pStyle w:val="Compact"/>
        <w:numPr>
          <w:ilvl w:val="0"/>
          <w:numId w:val="1017"/>
        </w:numPr>
      </w:pPr>
      <w:r>
        <w:t xml:space="preserve">These controls narrow the capability confound but do not identify provider as an independent</w:t>
      </w:r>
      <w:r>
        <w:t xml:space="preserve"> </w:t>
      </w:r>
      <w:r>
        <w:t xml:space="preserve">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V-F,</w:t>
      </w:r>
      <w:r>
        <w:t xml:space="preserve"> </w:t>
      </w:r>
      <w:r>
        <w:t xml:space="preserve">“Provider-Pair Agreement,”</w:t>
      </w:r>
      <w:r>
        <w:t xml:space="preserve"> </w:t>
      </w:r>
      <w:r>
        <w:t xml:space="preserve">was rewritten as a configuration-specific</w:t>
      </w:r>
      <w:r>
        <w:t xml:space="preserve"> </w:t>
      </w:r>
      <w:r>
        <w:t xml:space="preserve">observational analysis and now states explicitly that provider is bundled with other model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1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18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control.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cannot be isolated causally in the present design.</w:t>
      </w:r>
    </w:p>
    <w:p>
      <w:pPr>
        <w:pStyle w:val="Compact"/>
        <w:numPr>
          <w:ilvl w:val="0"/>
          <w:numId w:val="1018"/>
        </w:numPr>
      </w:pPr>
      <w:r>
        <w:t xml:space="preserve">Causal attribution to provider has been removed throughout rather than only in the</w:t>
      </w:r>
      <w:r>
        <w:t xml:space="preserve"> </w:t>
      </w:r>
      <w:r>
        <w:t xml:space="preserve">provider-pair subsection. The Abstract, Introduction, the metrics definition, Section V-A,</w:t>
      </w:r>
      <w:r>
        <w:t xml:space="preserve"> </w:t>
      </w:r>
      <w:r>
        <w:t xml:space="preserve">the Discussion and the Conclusion now describe an association across the evaluated</w:t>
      </w:r>
      <w:r>
        <w:t xml:space="preserve"> </w:t>
      </w:r>
      <w:r>
        <w:t xml:space="preserve">configurations. The phrase</w:t>
      </w:r>
      <w:r>
        <w:t xml:space="preserve"> </w:t>
      </w:r>
      <w:r>
        <w:t xml:space="preserve">“capability differences alone do not explain the observed</w:t>
      </w:r>
      <w:r>
        <w:t xml:space="preserve"> </w:t>
      </w:r>
      <w:r>
        <w:t xml:space="preserve">contrast”</w:t>
      </w:r>
      <w:r>
        <w:t xml:space="preserve"> </w:t>
      </w:r>
      <w:r>
        <w:t xml:space="preserve">has been replaced in all three places it appeared with the statement that the</w:t>
      </w:r>
      <w:r>
        <w:t xml:space="preserve"> </w:t>
      </w:r>
      <w:r>
        <w:t xml:space="preserve">contrast remains substantial under approximate capability matching, although that control</w:t>
      </w:r>
      <w:r>
        <w:t xml:space="preserve"> </w:t>
      </w:r>
      <w:r>
        <w:t xml:space="preserve">does not isolate provider from other model-specific characteristics.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Equity remains the pre-registered primary resampling unit because observations are repeated</w:t>
      </w:r>
      <w:r>
        <w:t xml:space="preserve"> </w:t>
      </w:r>
      <w:r>
        <w:t xml:space="preserve">within securities, while analysis date is a crossed dependence dimension because all</w:t>
      </w:r>
      <w:r>
        <w:t xml:space="preserve"> </w:t>
      </w:r>
      <w:r>
        <w:t xml:space="preserve">securities evaluated on the same date share market conditions. We therefore independently</w:t>
      </w:r>
      <w:r>
        <w:t xml:space="preserve"> </w:t>
      </w:r>
      <w:r>
        <w:t xml:space="preserve">resample equities and dates with replacement, preserving multiplicity on both margins.</w:t>
      </w:r>
    </w:p>
    <w:p>
      <w:pPr>
        <w:pStyle w:val="Compact"/>
        <w:numPr>
          <w:ilvl w:val="0"/>
          <w:numId w:val="1019"/>
        </w:numPr>
      </w:pPr>
      <w:r>
        <w:t xml:space="preserve">The primary HOM-HET contrast remains Δκ = 0.3363, with 95% intervals of [0.3035, 0.3689]</w:t>
      </w:r>
      <w:r>
        <w:t xml:space="preserve"> </w:t>
      </w:r>
      <w:r>
        <w:t xml:space="preserve">under equity clustering, [0.2989, 0.3656] under date clustering, and [0.2786, 0.3877] under</w:t>
      </w:r>
      <w:r>
        <w:t xml:space="preserve"> </w:t>
      </w:r>
      <w:r>
        <w:t xml:space="preserve">two-way resampling. All pre-registered secondary and exploratory inferential contrasts were</w:t>
      </w:r>
      <w:r>
        <w:t xml:space="preserve"> </w:t>
      </w:r>
      <w:r>
        <w:t xml:space="preserve">regenerated under the appropriate scheme, and no substantive conclusion changes.</w:t>
      </w:r>
    </w:p>
    <w:p>
      <w:pPr>
        <w:pStyle w:val="Compact"/>
        <w:numPr>
          <w:ilvl w:val="0"/>
          <w:numId w:val="1019"/>
        </w:numPr>
      </w:pPr>
      <w:r>
        <w:t xml:space="preserve">The temperature analysis remains equity-clustered because its two analysis dates are</w:t>
      </w:r>
      <w:r>
        <w:t xml:space="preserve"> </w:t>
      </w:r>
      <w:r>
        <w:t xml:space="preserve">insufficient for two-way inference; the clinical replication instead resamples MMLU items</w:t>
      </w:r>
      <w:r>
        <w:t xml:space="preserve"> </w:t>
      </w:r>
      <w:r>
        <w:t xml:space="preserve">because the financial equity-date structure does not apply.</w:t>
      </w:r>
    </w:p>
    <w:p>
      <w:pPr>
        <w:pStyle w:val="Compact"/>
        <w:numPr>
          <w:ilvl w:val="0"/>
          <w:numId w:val="1019"/>
        </w:numPr>
      </w:pPr>
      <w:r>
        <w:t xml:space="preserve">During this revision we also identified and corrected an implementation that had collapsed</w:t>
      </w:r>
      <w:r>
        <w:t xml:space="preserve"> </w:t>
      </w:r>
      <w:r>
        <w:t xml:space="preserve">repeated sampled equities to a set, thereby losing bootstrap multiplicity and understating</w:t>
      </w:r>
      <w:r>
        <w:t xml:space="preserve"> </w:t>
      </w:r>
      <w:r>
        <w:t xml:space="preserve">variance. The corrected code preserves multiplicity on both margins and now asserts this</w:t>
      </w:r>
      <w:r>
        <w:t xml:space="preserve"> </w:t>
      </w:r>
      <w:r>
        <w:t xml:space="preserve">property automatically.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III-D,</w:t>
      </w:r>
      <w:r>
        <w:t xml:space="preserve"> </w:t>
      </w:r>
      <w:r>
        <w:t xml:space="preserve">“Uncertainty Quantification,”</w:t>
      </w:r>
      <w:r>
        <w:t xml:space="preserve"> </w:t>
      </w:r>
      <w:r>
        <w:t xml:space="preserve">justifies equity as the primary cluster,</w:t>
      </w:r>
      <w:r>
        <w:t xml:space="preserve"> </w:t>
      </w:r>
      <w:r>
        <w:t xml:space="preserve">identifies date as the crossed dimension, and defines the date-clustered and two-way</w:t>
      </w:r>
      <w:r>
        <w:t xml:space="preserve"> </w:t>
      </w:r>
      <w:r>
        <w:t xml:space="preserve">procedures.</w:t>
      </w:r>
    </w:p>
    <w:p>
      <w:pPr>
        <w:pStyle w:val="Compact"/>
        <w:numPr>
          <w:ilvl w:val="0"/>
          <w:numId w:val="1020"/>
        </w:numPr>
      </w:pPr>
      <w:r>
        <w:t xml:space="preserve">Table 5 reports the primary contrast under equity, date, and two-way resampling.</w:t>
      </w:r>
    </w:p>
    <w:p>
      <w:pPr>
        <w:pStyle w:val="Compact"/>
        <w:numPr>
          <w:ilvl w:val="0"/>
          <w:numId w:val="1020"/>
        </w:numPr>
      </w:pPr>
      <w:r>
        <w:t xml:space="preserve">Section V-A,</w:t>
      </w:r>
      <w:r>
        <w:t xml:space="preserve"> </w:t>
      </w:r>
      <w:r>
        <w:t xml:space="preserve">“Heterogeneity and Ensemble Agreement (Primary),”</w:t>
      </w:r>
      <w:r>
        <w:t xml:space="preserve"> </w:t>
      </w:r>
      <w:r>
        <w:t xml:space="preserve">now reports the two-way</w:t>
      </w:r>
      <w:r>
        <w:t xml:space="preserve"> </w:t>
      </w:r>
      <w:r>
        <w:t xml:space="preserve">intervals for both pre-registered secondary contrasts alongside Table 2.</w:t>
      </w:r>
    </w:p>
    <w:p>
      <w:pPr>
        <w:pStyle w:val="Compact"/>
        <w:numPr>
          <w:ilvl w:val="0"/>
          <w:numId w:val="1020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now reports the two-way interval for</w:t>
      </w:r>
      <w:r>
        <w:t xml:space="preserve"> </w:t>
      </w:r>
      <w:r>
        <w:t xml:space="preserve">the capability-matched contrast.</w:t>
      </w:r>
    </w:p>
    <w:p>
      <w:pPr>
        <w:pStyle w:val="Compact"/>
        <w:numPr>
          <w:ilvl w:val="0"/>
          <w:numId w:val="1020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reports two-way intervals</w:t>
      </w:r>
      <w:r>
        <w:t xml:space="preserve"> </w:t>
      </w:r>
      <w:r>
        <w:t xml:space="preserve">for both error-correlation specifications.</w:t>
      </w:r>
    </w:p>
    <w:p>
      <w:pPr>
        <w:pStyle w:val="Compact"/>
        <w:numPr>
          <w:ilvl w:val="0"/>
          <w:numId w:val="1020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reports two-way intervals for the</w:t>
      </w:r>
      <w:r>
        <w:t xml:space="preserve"> </w:t>
      </w:r>
      <w:r>
        <w:t xml:space="preserve">unanimous-incorrect ratio and the pile-on contrast.</w:t>
      </w:r>
    </w:p>
    <w:p>
      <w:pPr>
        <w:pStyle w:val="Compact"/>
        <w:numPr>
          <w:ilvl w:val="0"/>
          <w:numId w:val="1020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reports the two-way AURC interval.</w:t>
      </w:r>
    </w:p>
    <w:p>
      <w:pPr>
        <w:pStyle w:val="Compact"/>
        <w:numPr>
          <w:ilvl w:val="0"/>
          <w:numId w:val="1020"/>
        </w:numPr>
      </w:pPr>
      <w:r>
        <w:t xml:space="preserve">Section V-L,</w:t>
      </w:r>
      <w:r>
        <w:t xml:space="preserve"> </w:t>
      </w:r>
      <w:r>
        <w:t xml:space="preserve">“Robustness: Temperature Sensitivity,”</w:t>
      </w:r>
      <w:r>
        <w:t xml:space="preserve"> </w:t>
      </w:r>
      <w:r>
        <w:t xml:space="preserve">states that the subgrid spans two</w:t>
      </w:r>
      <w:r>
        <w:t xml:space="preserve"> </w:t>
      </w:r>
      <w:r>
        <w:t xml:space="preserve">analysis dates, which is too few clusters for date-clustered or two-way inference, and that</w:t>
      </w:r>
      <w:r>
        <w:t xml:space="preserve"> </w:t>
      </w:r>
      <w:r>
        <w:t xml:space="preserve">the analysis therefore contributes no independent multiway evidence.</w:t>
      </w:r>
    </w:p>
    <w:p>
      <w:pPr>
        <w:pStyle w:val="Compact"/>
        <w:numPr>
          <w:ilvl w:val="0"/>
          <w:numId w:val="1020"/>
        </w:numPr>
      </w:pPr>
      <w:r>
        <w:t xml:space="preserve">Section III-D now gives the methodological precedent for the crossed procedure: the</w:t>
      </w:r>
      <w:r>
        <w:t xml:space="preserve"> </w:t>
      </w:r>
      <w:r>
        <w:t xml:space="preserve">pigeonhole bootstrap [14], which resamples the two margins separately, and the</w:t>
      </w:r>
      <w:r>
        <w:t xml:space="preserve"> </w:t>
      </w:r>
      <w:r>
        <w:t xml:space="preserve">multiway-inference literature for non-nested clustering dimensions [15]. We state</w:t>
      </w:r>
      <w:r>
        <w:t xml:space="preserve"> </w:t>
      </w:r>
      <w:r>
        <w:t xml:space="preserve">explicitly that our procedure is not an implementation of a multiway variance estimator.</w:t>
      </w:r>
    </w:p>
    <w:p>
      <w:pPr>
        <w:pStyle w:val="Compact"/>
        <w:numPr>
          <w:ilvl w:val="0"/>
          <w:numId w:val="1020"/>
        </w:numPr>
      </w:pPr>
      <w:r>
        <w:t xml:space="preserve">Table 5 previously labelled the two-way row</w:t>
      </w:r>
      <w:r>
        <w:t xml:space="preserve"> </w:t>
      </w:r>
      <w:r>
        <w:t xml:space="preserve">“1200 clusters”</w:t>
      </w:r>
      <w:r>
        <w:t xml:space="preserve">, which can be read as 1,200</w:t>
      </w:r>
      <w:r>
        <w:t xml:space="preserve"> </w:t>
      </w:r>
      <w:r>
        <w:t xml:space="preserve">independent clusters. It now reads</w:t>
      </w:r>
      <w:r>
        <w:t xml:space="preserve"> </w:t>
      </w:r>
      <w:r>
        <w:t xml:space="preserve">“100 x 12”</w:t>
      </w:r>
      <w:r>
        <w:t xml:space="preserve"> </w:t>
      </w:r>
      <w:r>
        <w:t xml:space="preserve">under a</w:t>
      </w:r>
      <w:r>
        <w:t xml:space="preserve"> </w:t>
      </w:r>
      <w:r>
        <w:t xml:space="preserve">“Resampled units”</w:t>
      </w:r>
      <w:r>
        <w:t xml:space="preserve"> </w:t>
      </w:r>
      <w:r>
        <w:t xml:space="preserve">column. The point</w:t>
      </w:r>
      <w:r>
        <w:t xml:space="preserve"> </w:t>
      </w:r>
      <w:r>
        <w:t xml:space="preserve">estimate and interval are unchanged.</w:t>
      </w:r>
    </w:p>
    <w:p>
      <w:pPr>
        <w:pStyle w:val="Compact"/>
        <w:numPr>
          <w:ilvl w:val="0"/>
          <w:numId w:val="1020"/>
        </w:numPr>
      </w:pPr>
      <w:r>
        <w:t xml:space="preserve">References [14], Owen’s pigeonhole bootstrap, and [15], Cameron, Gelbach and Miller on</w:t>
      </w:r>
      <w:r>
        <w:t xml:space="preserve"> </w:t>
      </w:r>
      <w:r>
        <w:t xml:space="preserve">multiway clustering, were added to the reference list as the methodological precedent for</w:t>
      </w:r>
      <w:r>
        <w:t xml:space="preserve"> </w:t>
      </w:r>
      <w:r>
        <w:t xml:space="preserve">the crossed resampling procedure.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took the reviewer’s second option and now measure error dependence directly using φ</w:t>
      </w:r>
      <w:r>
        <w:t xml:space="preserve"> </w:t>
      </w:r>
      <w:r>
        <w:t xml:space="preserve">correlations between paired binary error indicators. Error correlation decreases from 0.984</w:t>
      </w:r>
      <w:r>
        <w:t xml:space="preserve"> </w:t>
      </w:r>
      <w:r>
        <w:t xml:space="preserve">for HOM to 0.742 for HET-LITE and 0.530 for HET, giving a HOM-HET contrast of 0.454 (95% CI</w:t>
      </w:r>
      <w:r>
        <w:t xml:space="preserve"> </w:t>
      </w:r>
      <w:r>
        <w:t xml:space="preserve">[0.376, 0.534]; two-way [0.328, 0.586]).</w:t>
      </w:r>
    </w:p>
    <w:p>
      <w:pPr>
        <w:pStyle w:val="Compact"/>
        <w:numPr>
          <w:ilvl w:val="0"/>
          <w:numId w:val="1021"/>
        </w:numPr>
      </w:pPr>
      <w:r>
        <w:t xml:space="preserve">Counting HOLD as an error to hold the evaluated subset fixed gives the same ordering, with a</w:t>
      </w:r>
      <w:r>
        <w:t xml:space="preserve"> </w:t>
      </w:r>
      <w:r>
        <w:t xml:space="preserve">HOM-HET contrast of 0.309 (95% CI [0.262, 0.354]; two-way [0.227, 0.387]). Mean per-agent</w:t>
      </w:r>
      <w:r>
        <w:t xml:space="preserve"> </w:t>
      </w:r>
      <w:r>
        <w:t xml:space="preserve">error rates remain similar, so the reduction reflects lower error dependence rather than</w:t>
      </w:r>
      <w:r>
        <w:t xml:space="preserve"> </w:t>
      </w:r>
      <w:r>
        <w:t xml:space="preserve">differences in average correctness.</w:t>
      </w:r>
    </w:p>
    <w:p>
      <w:pPr>
        <w:pStyle w:val="Compact"/>
        <w:numPr>
          <w:ilvl w:val="0"/>
          <w:numId w:val="1021"/>
        </w:numPr>
      </w:pPr>
      <w:r>
        <w:t xml:space="preserve">The manuscript now explicitly distinguishes output agreement, error correlation, sampling</w:t>
      </w:r>
      <w:r>
        <w:t xml:space="preserve"> </w:t>
      </w:r>
      <w:r>
        <w:t xml:space="preserve">independence, model diversity, and provider diversity;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refers specifically</w:t>
      </w:r>
      <w:r>
        <w:t xml:space="preserve"> </w:t>
      </w:r>
      <w:r>
        <w:t xml:space="preserve">to reduced error correlation measured by φ, while κ measures categorical agreement.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added to define the five</w:t>
      </w:r>
      <w:r>
        <w:t xml:space="preserve"> </w:t>
      </w:r>
      <w:r>
        <w:t xml:space="preserve">concepts and report the φ analysis under both treatments of HOLD.</w:t>
      </w:r>
    </w:p>
    <w:p>
      <w:pPr>
        <w:pStyle w:val="Compact"/>
        <w:numPr>
          <w:ilvl w:val="0"/>
          <w:numId w:val="1022"/>
        </w:numPr>
      </w:pPr>
      <w:r>
        <w:t xml:space="preserve">Section V-A was retitled</w:t>
      </w:r>
      <w:r>
        <w:t xml:space="preserve"> </w:t>
      </w:r>
      <w:r>
        <w:t xml:space="preserve">“Heterogeneity and Ensemble Agreement (Primary)”</w:t>
      </w:r>
      <w:r>
        <w:t xml:space="preserve"> </w:t>
      </w:r>
      <w:r>
        <w:t xml:space="preserve">so that the κ</w:t>
      </w:r>
      <w:r>
        <w:t xml:space="preserve"> </w:t>
      </w:r>
      <w:r>
        <w:t xml:space="preserve">result is named as an agreement result and the heading itself carries no causal verb.</w:t>
      </w:r>
    </w:p>
    <w:p>
      <w:pPr>
        <w:pStyle w:val="Compact"/>
        <w:numPr>
          <w:ilvl w:val="0"/>
          <w:numId w:val="1022"/>
        </w:numPr>
      </w:pPr>
      <w:r>
        <w:t xml:space="preserve">The Abstract was revised to report the φ contrast alongside the κ contrast and to</w:t>
      </w:r>
      <w:r>
        <w:t xml:space="preserve"> </w:t>
      </w:r>
      <w:r>
        <w:t xml:space="preserve">distinguish reduced error dependence from reduced agreement.</w:t>
      </w:r>
    </w:p>
    <w:p>
      <w:pPr>
        <w:pStyle w:val="Compact"/>
        <w:numPr>
          <w:ilvl w:val="0"/>
          <w:numId w:val="1022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and Section VIII,</w:t>
      </w:r>
      <w:r>
        <w:t xml:space="preserve"> </w:t>
      </w:r>
      <w:r>
        <w:t xml:space="preserve">“Conclusion,”</w:t>
      </w:r>
      <w:r>
        <w:t xml:space="preserve"> </w:t>
      </w:r>
      <w:r>
        <w:t xml:space="preserve">were revised so that decorrelation</w:t>
      </w:r>
      <w:r>
        <w:t xml:space="preserve"> </w:t>
      </w:r>
      <w:r>
        <w:t xml:space="preserve">claims refer to error dependence rather than categorical agreement. The Conclusion now</w:t>
      </w:r>
      <w:r>
        <w:t xml:space="preserve"> </w:t>
      </w:r>
      <w:r>
        <w:t xml:space="preserve">states that model diversity can reduce both output agreement and error correlation.</w:t>
      </w:r>
    </w:p>
    <w:p>
      <w:pPr>
        <w:pStyle w:val="Compact"/>
        <w:numPr>
          <w:ilvl w:val="0"/>
          <w:numId w:val="1022"/>
        </w:numPr>
      </w:pPr>
      <w:r>
        <w:t xml:space="preserve">Section V-C now states the phi computation exactly as implemented: within each</w:t>
      </w:r>
      <w:r>
        <w:t xml:space="preserve"> </w:t>
      </w:r>
      <w:r>
        <w:t xml:space="preserve">(configuration, equity, date, run) cell we form, for every unordered pair of agent</w:t>
      </w:r>
      <w:r>
        <w:t xml:space="preserve"> </w:t>
      </w:r>
      <w:r>
        <w:t xml:space="preserve">positions, the pair of binary error indicators against the realized forward-return sign;</w:t>
      </w:r>
      <w:r>
        <w:t xml:space="preserve"> </w:t>
      </w:r>
      <w:r>
        <w:t xml:space="preserve">those pairs are pooled over all cells and all agent-position pairs within a configuration,</w:t>
      </w:r>
      <w:r>
        <w:t xml:space="preserve"> </w:t>
      </w:r>
      <w:r>
        <w:t xml:space="preserve">and phi is the Pearson correlation of the pooled set, so one phi is reported per</w:t>
      </w:r>
      <w:r>
        <w:t xml:space="preserve"> </w:t>
      </w:r>
      <w:r>
        <w:t xml:space="preserve">configuration rather than one per agent pair. The previous wording implied a correlation per</w:t>
      </w:r>
      <w:r>
        <w:t xml:space="preserve"> </w:t>
      </w:r>
      <w:r>
        <w:t xml:space="preserve">pair, which a single paired observation cannot support.</w:t>
      </w:r>
    </w:p>
    <w:p>
      <w:pPr>
        <w:pStyle w:val="Compact"/>
        <w:numPr>
          <w:ilvl w:val="0"/>
          <w:numId w:val="1022"/>
        </w:numPr>
      </w:pPr>
      <w:r>
        <w:t xml:space="preserve">Reference [17], Kuncheva and Whitaker on the relationship between ensemble diversity and</w:t>
      </w:r>
      <w:r>
        <w:t xml:space="preserve"> </w:t>
      </w:r>
      <w:r>
        <w:t xml:space="preserve">accuracy, was added to the reference list to support the separation of reduced error</w:t>
      </w:r>
      <w:r>
        <w:t xml:space="preserve"> </w:t>
      </w:r>
      <w:r>
        <w:t xml:space="preserve">dependence from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selective-prediction analysis with paired clustered inference. The HOM-HET AURC</w:t>
      </w:r>
      <w:r>
        <w:t xml:space="preserve"> </w:t>
      </w:r>
      <w:r>
        <w:t xml:space="preserve">difference is -0.001, with an equity-clustered 95% interval of [-0.059, 0.060] and a two-way</w:t>
      </w:r>
      <w:r>
        <w:t xml:space="preserve"> </w:t>
      </w:r>
      <w:r>
        <w:t xml:space="preserve">interval of [-0.113, 0.115], both containing zero.</w:t>
      </w:r>
    </w:p>
    <w:p>
      <w:pPr>
        <w:pStyle w:val="Compact"/>
        <w:numPr>
          <w:ilvl w:val="0"/>
          <w:numId w:val="1023"/>
        </w:numPr>
      </w:pPr>
      <w:r>
        <w:t xml:space="preserve">We also report uncertainty for the exploratory consensus outcomes: the unanimous-incorrect</w:t>
      </w:r>
      <w:r>
        <w:t xml:space="preserve"> </w:t>
      </w:r>
      <w:r>
        <w:t xml:space="preserve">ratio is 1.84 with intervals [1.42, 2.52] and [1.13, 3.06], while the pile-on difference is</w:t>
      </w:r>
      <w:r>
        <w:t xml:space="preserve"> </w:t>
      </w:r>
      <w:r>
        <w:t xml:space="preserve">0.189 with intervals [0.160, 0.216] and [0.140, 0.232] under equity and two-way resampling,</w:t>
      </w:r>
      <w:r>
        <w:t xml:space="preserve"> </w:t>
      </w:r>
      <w:r>
        <w:t xml:space="preserve">respectively.</w:t>
      </w:r>
    </w:p>
    <w:p>
      <w:pPr>
        <w:pStyle w:val="Compact"/>
        <w:numPr>
          <w:ilvl w:val="0"/>
          <w:numId w:val="1023"/>
        </w:numPr>
      </w:pPr>
      <w:r>
        <w:t xml:space="preserve">As a common-subset robustness check, counting HOLD as an error yields a HOM-HET φ contrast</w:t>
      </w:r>
      <w:r>
        <w:t xml:space="preserve"> </w:t>
      </w:r>
      <w:r>
        <w:t xml:space="preserve">of 0.309 with equity and two-way intervals of [0.262, 0.354] and [0.227, 0.387]. Wilson</w:t>
      </w:r>
      <w:r>
        <w:t xml:space="preserve"> </w:t>
      </w:r>
      <w:r>
        <w:t xml:space="preserve">intervals are now retained only as descriptive summaries.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added to report risk-coverage analysis</w:t>
      </w:r>
      <w:r>
        <w:t xml:space="preserve"> </w:t>
      </w:r>
      <w:r>
        <w:t xml:space="preserve">and paired clustered AURC inference.</w:t>
      </w:r>
    </w:p>
    <w:p>
      <w:pPr>
        <w:pStyle w:val="Compact"/>
        <w:numPr>
          <w:ilvl w:val="0"/>
          <w:numId w:val="1024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unanimous incorrect decisions and pile-on.</w:t>
      </w:r>
    </w:p>
    <w:p>
      <w:pPr>
        <w:pStyle w:val="Compact"/>
        <w:numPr>
          <w:ilvl w:val="0"/>
          <w:numId w:val="1024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reports the common-subset error-correlation analysis with HOLD counted as an error.</w:t>
      </w:r>
    </w:p>
    <w:p>
      <w:pPr>
        <w:pStyle w:val="Compact"/>
        <w:numPr>
          <w:ilvl w:val="0"/>
          <w:numId w:val="1024"/>
        </w:numPr>
      </w:pPr>
      <w:r>
        <w:t xml:space="preserve">Section V-G,</w:t>
      </w:r>
      <w:r>
        <w:t xml:space="preserve"> </w:t>
      </w:r>
      <w:r>
        <w:t xml:space="preserve">“Secondary Directional-Accuracy Analysis,”</w:t>
      </w:r>
      <w:r>
        <w:t xml:space="preserve"> </w:t>
      </w:r>
      <w:r>
        <w:t xml:space="preserve">retains the directional hit-rate</w:t>
      </w:r>
      <w:r>
        <w:t xml:space="preserve"> </w:t>
      </w:r>
      <w:r>
        <w:t xml:space="preserve">analysis as secondary and does not use overlapping marginal Wilson intervals as the</w:t>
      </w:r>
      <w:r>
        <w:t xml:space="preserve"> </w:t>
      </w:r>
      <w:r>
        <w:t xml:space="preserve">principal inferential evidence.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We now state explicitly that distinct per-agent seeds remove the demonstrated shared-seed</w:t>
      </w:r>
      <w:r>
        <w:t xml:space="preserve"> </w:t>
      </w:r>
      <w:r>
        <w:t xml:space="preserve">artifact but do not establish statistical independence.</w:t>
      </w:r>
    </w:p>
    <w:p>
      <w:pPr>
        <w:pStyle w:val="Compact"/>
        <w:numPr>
          <w:ilvl w:val="0"/>
          <w:numId w:val="1025"/>
        </w:numPr>
      </w:pPr>
      <w:r>
        <w:t xml:space="preserve">The confirmatory grid contains 54,000 valid outputs and required 94,566 API requests; of the</w:t>
      </w:r>
      <w:r>
        <w:t xml:space="preserve"> </w:t>
      </w:r>
      <w:r>
        <w:t xml:space="preserve">40,566 unsuccessful requests, 40,544 were rate-limit or quota responses and 22 were</w:t>
      </w:r>
      <w:r>
        <w:t xml:space="preserve"> </w:t>
      </w:r>
      <w:r>
        <w:t xml:space="preserve">transport or schema failures. Every attempt is retained in the released log together with</w:t>
      </w:r>
      <w:r>
        <w:t xml:space="preserve"> </w:t>
      </w:r>
      <w:r>
        <w:t xml:space="preserve">request settings, prompts, model identifiers, seeds, prices, archived responses, and frozen</w:t>
      </w:r>
      <w:r>
        <w:t xml:space="preserve"> </w:t>
      </w:r>
      <w:r>
        <w:t xml:space="preserve">analysis materials.</w:t>
      </w:r>
    </w:p>
    <w:p>
      <w:pPr>
        <w:pStyle w:val="Compact"/>
        <w:numPr>
          <w:ilvl w:val="0"/>
          <w:numId w:val="1025"/>
        </w:numPr>
      </w:pPr>
      <w:r>
        <w:t xml:space="preserve">Figure 3 now compares only like-for-like pilot quantities on the same grid and model set:</w:t>
      </w:r>
      <w:r>
        <w:t xml:space="preserve"> </w:t>
      </w:r>
      <w:r>
        <w:t xml:space="preserve">the HOM-HET agreement contrast is 0.485 under a shared seed and 0.113 under distinct</w:t>
      </w:r>
      <w:r>
        <w:t xml:space="preserve"> </w:t>
      </w:r>
      <w:r>
        <w:t xml:space="preserve">per-agent seeds. The full-study within-minus-cross-run diagnostic is reported separately in</w:t>
      </w:r>
      <w:r>
        <w:t xml:space="preserve"> </w:t>
      </w:r>
      <w:r>
        <w:t xml:space="preserve">Table 6.</w:t>
      </w:r>
    </w:p>
    <w:p>
      <w:pPr>
        <w:pStyle w:val="Compact"/>
        <w:numPr>
          <w:ilvl w:val="0"/>
          <w:numId w:val="1025"/>
        </w:numPr>
      </w:pPr>
      <w:r>
        <w:t xml:space="preserve">The released package also contains timestamped cryptographic freeze receipts for both the</w:t>
      </w:r>
      <w:r>
        <w:t xml:space="preserve"> </w:t>
      </w:r>
      <w:r>
        <w:t xml:space="preserve">confirmatory study and the cross-domain replication, with the latter recorded before any API</w:t>
      </w:r>
      <w:r>
        <w:t xml:space="preserve"> </w:t>
      </w:r>
      <w:r>
        <w:t xml:space="preserve">call for that arm.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III-C,</w:t>
      </w:r>
      <w:r>
        <w:t xml:space="preserve"> </w:t>
      </w:r>
      <w:r>
        <w:t xml:space="preserve">“Independent-Draw Estimand,”</w:t>
      </w:r>
      <w:r>
        <w:t xml:space="preserve"> </w:t>
      </w:r>
      <w:r>
        <w:t xml:space="preserve">was revised to document the per-agent seed</w:t>
      </w:r>
      <w:r>
        <w:t xml:space="preserve"> </w:t>
      </w:r>
      <w:r>
        <w:t xml:space="preserve">construction and the limits of seed-based reproducibility.</w:t>
      </w:r>
    </w:p>
    <w:p>
      <w:pPr>
        <w:pStyle w:val="Compact"/>
        <w:numPr>
          <w:ilvl w:val="0"/>
          <w:numId w:val="1026"/>
        </w:numPr>
      </w:pPr>
      <w:r>
        <w:t xml:space="preserve">Section IV-C,</w:t>
      </w:r>
      <w:r>
        <w:t xml:space="preserve"> </w:t>
      </w:r>
      <w:r>
        <w:t xml:space="preserve">“Models,”</w:t>
      </w:r>
      <w:r>
        <w:t xml:space="preserve"> </w:t>
      </w:r>
      <w:r>
        <w:t xml:space="preserve">records the model identifiers, provider assignments, inference</w:t>
      </w:r>
      <w:r>
        <w:t xml:space="preserve"> </w:t>
      </w:r>
      <w:r>
        <w:t xml:space="preserve">settings, timestamps, seeds, prompt hashes, token usage, costs, and archived responses.</w:t>
      </w:r>
    </w:p>
    <w:p>
      <w:pPr>
        <w:pStyle w:val="Compact"/>
        <w:numPr>
          <w:ilvl w:val="0"/>
          <w:numId w:val="1026"/>
        </w:numPr>
      </w:pPr>
      <w:r>
        <w:t xml:space="preserve">Section IV-D,</w:t>
      </w:r>
      <w:r>
        <w:t xml:space="preserve"> </w:t>
      </w:r>
      <w:r>
        <w:t xml:space="preserve">“Pre-Registration, Freezing, and Reproducibility,”</w:t>
      </w:r>
      <w:r>
        <w:t xml:space="preserve"> </w:t>
      </w:r>
      <w:r>
        <w:t xml:space="preserve">documents the frozen</w:t>
      </w:r>
      <w:r>
        <w:t xml:space="preserve"> </w:t>
      </w:r>
      <w:r>
        <w:t xml:space="preserve">design, pre-registration hash, immutable dataset, and deterministic analysis pipeline.</w:t>
      </w:r>
    </w:p>
    <w:p>
      <w:pPr>
        <w:pStyle w:val="Compact"/>
        <w:numPr>
          <w:ilvl w:val="0"/>
          <w:numId w:val="1026"/>
        </w:numPr>
      </w:pPr>
      <w:r>
        <w:t xml:space="preserve">Section IV-E,</w:t>
      </w:r>
      <w:r>
        <w:t xml:space="preserve"> </w:t>
      </w:r>
      <w:r>
        <w:t xml:space="preserve">“Collection Provenance and Retry Accounting,”</w:t>
      </w:r>
      <w:r>
        <w:t xml:space="preserve"> </w:t>
      </w:r>
      <w:r>
        <w:t xml:space="preserve">was added to report the 94,566</w:t>
      </w:r>
      <w:r>
        <w:t xml:space="preserve"> </w:t>
      </w:r>
      <w:r>
        <w:t xml:space="preserve">attempted requests, 54,000 valid outputs, failure breakdown, and retained attempt history.</w:t>
      </w:r>
    </w:p>
    <w:p>
      <w:pPr>
        <w:pStyle w:val="Compact"/>
        <w:numPr>
          <w:ilvl w:val="0"/>
          <w:numId w:val="1026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was revised to distinguish</w:t>
      </w:r>
      <w:r>
        <w:t xml:space="preserve"> </w:t>
      </w:r>
      <w:r>
        <w:t xml:space="preserve">removal of the shared-seed artifact from proof of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2 was revised to show the distinct per-agent seed construction and explicitly state</w:t>
      </w:r>
      <w:r>
        <w:t xml:space="preserve"> </w:t>
      </w:r>
      <w:r>
        <w:t xml:space="preserve">that this does not establish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3 was reduced to the two directly comparable pilot HOM-HET agreement contrasts.</w:t>
      </w:r>
    </w:p>
    <w:p>
      <w:pPr>
        <w:pStyle w:val="Compact"/>
        <w:numPr>
          <w:ilvl w:val="0"/>
          <w:numId w:val="1026"/>
        </w:numPr>
      </w:pPr>
      <w:r>
        <w:t xml:space="preserve">Table 6 reports the full-study within-run versus cross-run diagnostic separately.</w:t>
      </w:r>
    </w:p>
    <w:p>
      <w:pPr>
        <w:pStyle w:val="Compact"/>
        <w:numPr>
          <w:ilvl w:val="0"/>
          <w:numId w:val="1026"/>
        </w:numPr>
      </w:pPr>
      <w:r>
        <w:t xml:space="preserve">Section IV-D now identifies the freeze receipts in the released package. The confirmatory</w:t>
      </w:r>
      <w:r>
        <w:t xml:space="preserve"> </w:t>
      </w:r>
      <w:r>
        <w:t xml:space="preserve">freeze is timestamped 2026-07-03T20:41:51.396959+00:00 and records the SHA-256 of the</w:t>
      </w:r>
      <w:r>
        <w:t xml:space="preserve"> </w:t>
      </w:r>
      <w:r>
        <w:t xml:space="preserve">configuration, agent and analysis code, prompt template, pre-registration, grid, and model</w:t>
      </w:r>
      <w:r>
        <w:t xml:space="preserve"> </w:t>
      </w:r>
      <w:r>
        <w:t xml:space="preserve">manifest together with the commit that carried them. The cross-domain replication has its</w:t>
      </w:r>
      <w:r>
        <w:t xml:space="preserve"> </w:t>
      </w:r>
      <w:r>
        <w:t xml:space="preserve">own receipt timestamped 2026-09-29T14:47:54.287335+00:00, recorded before any API call for</w:t>
      </w:r>
      <w:r>
        <w:t xml:space="preserve"> </w:t>
      </w:r>
      <w:r>
        <w:t xml:space="preserve">that arm.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added a pre-registered replication using 537 MMLU professional-medicine and</w:t>
      </w:r>
      <w:r>
        <w:t xml:space="preserve"> </w:t>
      </w:r>
      <w:r>
        <w:t xml:space="preserve">clinical-knowledge questions with four response options rather than the three financial</w:t>
      </w:r>
      <w:r>
        <w:t xml:space="preserve"> </w:t>
      </w:r>
      <w:r>
        <w:t xml:space="preserve">labels.</w:t>
      </w:r>
    </w:p>
    <w:p>
      <w:pPr>
        <w:pStyle w:val="Compact"/>
        <w:numPr>
          <w:ilvl w:val="0"/>
          <w:numId w:val="1027"/>
        </w:numPr>
      </w:pPr>
      <w:r>
        <w:t xml:space="preserve">The main ordering reproduces: agreement decreases by Δκ = 0.072 (95% CI [0.040, 0.104]) and</w:t>
      </w:r>
      <w:r>
        <w:t xml:space="preserve"> </w:t>
      </w:r>
      <w:r>
        <w:t xml:space="preserve">error correlation by Δφ = 0.393 (95% CI [0.325, 0.459]). The agreement contrast is</w:t>
      </w:r>
      <w:r>
        <w:t xml:space="preserve"> </w:t>
      </w:r>
      <w:r>
        <w:t xml:space="preserve">substantially smaller than in finance, so we do not claim magnitude invariance across tasks.</w:t>
      </w:r>
    </w:p>
    <w:p>
      <w:pPr>
        <w:pStyle w:val="Compact"/>
        <w:numPr>
          <w:ilvl w:val="0"/>
          <w:numId w:val="1027"/>
        </w:numPr>
      </w:pPr>
      <w:r>
        <w:t xml:space="preserve">Prompt format, five-agent ensemble size, majority-vote aggregation, and the tested model</w:t>
      </w:r>
      <w:r>
        <w:t xml:space="preserve"> </w:t>
      </w:r>
      <w:r>
        <w:t xml:space="preserve">mixtures remain fixed and are explicitly stated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2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state that the ordering has been evaluated across two substantially different tasks while</w:t>
      </w:r>
      <w:r>
        <w:t xml:space="preserve"> </w:t>
      </w:r>
      <w:r>
        <w:t xml:space="preserve">prompt format, ensemble size, aggregation rule, and model mixtures remain fixed.</w:t>
      </w:r>
    </w:p>
    <w:p>
      <w:pPr>
        <w:pStyle w:val="Compact"/>
        <w:numPr>
          <w:ilvl w:val="0"/>
          <w:numId w:val="1028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28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used for this replication.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2026-10-04T21:00:59Z</dcterms:created>
  <dcterms:modified xsi:type="dcterms:W3CDTF">2026-10-04T21:00:59Z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