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 We therefore</w:t>
      </w:r>
      <w:r>
        <w:t xml:space="preserve"> </w:t>
      </w:r>
      <w:r>
        <w:t xml:space="preserve">added a selective-prediction analysis using mean agent conviction. AURC is 0.553 for HOM,</w:t>
      </w:r>
      <w:r>
        <w:t xml:space="preserve"> </w:t>
      </w:r>
      <w:r>
        <w:t xml:space="preserve">0.568 for HET-LITE, and 0.554 for HET; the HOM-HET difference is -0.001 with a 95%</w:t>
      </w:r>
      <w:r>
        <w:t xml:space="preserve"> </w:t>
      </w:r>
      <w:r>
        <w:t xml:space="preserve">equity-clustered interval of [-0.059, 0.060] and a two-way interval of [-0.113, 0.115].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risk, so we do not claim improved calibration or abstention quality.</w:t>
      </w:r>
    </w:p>
    <w:p>
      <w:pPr>
        <w:pStyle w:val="Compact"/>
        <w:numPr>
          <w:ilvl w:val="0"/>
          <w:numId w:val="1001"/>
        </w:numPr>
      </w:pPr>
      <w:r>
        <w:t xml:space="preserve">As a separate exploratory outcome, HOM produces unanimous incorrect directional decisions at</w:t>
      </w:r>
      <w:r>
        <w:t xml:space="preserve"> </w:t>
      </w:r>
      <w:r>
        <w:t xml:space="preserve">1.84 times the rate of HET, with equity-clustered and two-way 95% intervals of [1.42, 2.52]</w:t>
      </w:r>
      <w:r>
        <w:t xml:space="preserve"> </w:t>
      </w:r>
      <w:r>
        <w:t xml:space="preserve">and [1.13, 3.06], respectively. Because this analysis is post hoc and unadjusted for</w:t>
      </w:r>
      <w:r>
        <w:t xml:space="preserve"> </w:t>
      </w:r>
      <w:r>
        <w:t xml:space="preserve">multiplicity, we treat it as hypothesis-generating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 [19].</w:t>
      </w:r>
    </w:p>
    <w:p>
      <w:pPr>
        <w:pStyle w:val="Compact"/>
        <w:numPr>
          <w:ilvl w:val="0"/>
          <w:numId w:val="1002"/>
        </w:numPr>
      </w:pPr>
      <w:r>
        <w:t xml:space="preserve">Reference [19], El-Yaniv and Wiener on selective prediction, was added to the reference list</w:t>
      </w:r>
      <w:r>
        <w:t xml:space="preserve"> </w:t>
      </w:r>
      <w:r>
        <w:t xml:space="preserve">as the source of the risk-coverage framework used in this analysis.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therefore added an approximate capability comparison in the clinical replication: one</w:t>
      </w:r>
      <w:r>
        <w:t xml:space="preserve"> </w:t>
      </w:r>
      <w:r>
        <w:t xml:space="preserve">same-provider pair and one cross-provider pair have nearly identical mean member accuracy,</w:t>
      </w:r>
      <w:r>
        <w:t xml:space="preserve"> </w:t>
      </w:r>
      <w:r>
        <w:t xml:space="preserve">0.951 and 0.955, while their error correlations are 0.954 and 0.607, a difference of 0.347</w:t>
      </w:r>
      <w:r>
        <w:t xml:space="preserve"> </w:t>
      </w:r>
      <w:r>
        <w:t xml:space="preserve">(95% CI [0.207, 0.507]).</w:t>
      </w:r>
    </w:p>
    <w:p>
      <w:pPr>
        <w:pStyle w:val="Compact"/>
        <w:numPr>
          <w:ilvl w:val="0"/>
          <w:numId w:val="1003"/>
        </w:numPr>
      </w:pPr>
      <w:r>
        <w:t xml:space="preserve">This reduces the capability confound but does not eliminate confounding between provider and</w:t>
      </w:r>
      <w:r>
        <w:t xml:space="preserve"> </w:t>
      </w:r>
      <w:r>
        <w:t xml:space="preserve">other model-specific characteristics; we therefore do not identify provider as an</w:t>
      </w:r>
      <w:r>
        <w:t xml:space="preserve"> </w:t>
      </w:r>
      <w:r>
        <w:t xml:space="preserve">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subsets, changing the task from three</w:t>
      </w:r>
      <w:r>
        <w:t xml:space="preserve"> </w:t>
      </w:r>
      <w:r>
        <w:t xml:space="preserve">BUY/HOLD/SELL labels to four-option clinical questions.</w:t>
      </w:r>
    </w:p>
    <w:p>
      <w:pPr>
        <w:pStyle w:val="Compact"/>
        <w:numPr>
          <w:ilvl w:val="0"/>
          <w:numId w:val="1005"/>
        </w:numPr>
      </w:pPr>
      <w:r>
        <w:t xml:space="preserve">The ordering reproduces: agreement decreases by Δκ = 0.072 (95% CI [0.040, 0.104]) and error</w:t>
      </w:r>
      <w:r>
        <w:t xml:space="preserve"> </w:t>
      </w:r>
      <w:r>
        <w:t xml:space="preserve">correlation by Δφ = 0.393 (95% CI [0.325, 0.459]), compared with 0.336 and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effect is therefore materially smaller across domains, and we do not claim</w:t>
      </w:r>
      <w:r>
        <w:t xml:space="preserve"> </w:t>
      </w:r>
      <w:r>
        <w:t xml:space="preserve">magnitude invariance. Ensemble size, prompt format, aggregation rule, and model mixtures</w:t>
      </w:r>
      <w:r>
        <w:t xml:space="preserve"> </w:t>
      </w:r>
      <w:r>
        <w:t xml:space="preserve">remain fixed and are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06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from which the clinical items are drawn.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 The HOM-to-HET</w:t>
      </w:r>
      <w:r>
        <w:t xml:space="preserve"> </w:t>
      </w:r>
      <w:r>
        <w:t xml:space="preserve">unanimous-incorrect ratio is 1.84, with an equity-clustered 95%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07"/>
        </w:numPr>
      </w:pPr>
      <w:r>
        <w:t xml:space="preserve">Because the statistic and configuration comparison were selected post hoc and no</w:t>
      </w:r>
      <w:r>
        <w:t xml:space="preserve"> </w:t>
      </w:r>
      <w:r>
        <w:t xml:space="preserve">multiplicity adjustment is applied, these intervals are not interpreted as confirmatory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design; its apparent cost efficiency is</w:t>
      </w:r>
      <w:r>
        <w:t xml:space="preserve"> </w:t>
      </w:r>
      <w:r>
        <w:t xml:space="preserve">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pair-type sensitivity analysis. Same-model agreement is 0.800 in HOM, 0.794 in</w:t>
      </w:r>
      <w:r>
        <w:t xml:space="preserve"> </w:t>
      </w:r>
      <w:r>
        <w:t xml:space="preserve">HET-LITE, and 0.862 in HET, while different-model agreement is 0.455 in HET-LITE and 0.490</w:t>
      </w:r>
      <w:r>
        <w:t xml:space="preserve"> </w:t>
      </w:r>
      <w:r>
        <w:t xml:space="preserve">in HET. The reduction in ensemble agreement is therefore associated with the introduction of</w:t>
      </w:r>
      <w:r>
        <w:t xml:space="preserve"> </w:t>
      </w:r>
      <w:r>
        <w:t xml:space="preserve">different-model pairs rather than a systematic reduction among repeated instances of the</w:t>
      </w:r>
      <w:r>
        <w:t xml:space="preserve"> </w:t>
      </w:r>
      <w:r>
        <w:t xml:space="preserve">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distinct per-agent seeds remove the specific shared-seed artifact</w:t>
      </w:r>
      <w:r>
        <w:t xml:space="preserve"> </w:t>
      </w:r>
      <w:r>
        <w:t xml:space="preserve">observed in the pilot but do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that per-call cost is computed from metered prompt and completion tokens using</w:t>
      </w:r>
      <w:r>
        <w:t xml:space="preserve"> </w:t>
      </w:r>
      <w:r>
        <w:t xml:space="preserve">the model-registry rates, summed across the five agents within each ensemble decision, and</w:t>
      </w:r>
      <w:r>
        <w:t xml:space="preserve"> </w:t>
      </w:r>
      <w:r>
        <w:t xml:space="preserve">then averaged across cells.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HET, so HOM-to-HET increases inference cost by approximately 4.4x.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collection; no discount, batching, or caching</w:t>
      </w:r>
      <w:r>
        <w:t xml:space="preserve"> </w:t>
      </w:r>
      <w:r>
        <w:t xml:space="preserve">adjustment is applied, and failed requests with no billable completion are 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Index Terms have been reduced to five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ensemble learning, error correlation, large</w:t>
      </w:r>
      <w:r>
        <w:t xml:space="preserve"> </w:t>
      </w:r>
      <w:r>
        <w:t xml:space="preserve">language models, model heterogeneity, and multi-agent systems. The five terms are listed</w:t>
      </w:r>
      <w:r>
        <w:t xml:space="preserve"> </w:t>
      </w:r>
      <w:r>
        <w:t xml:space="preserve">alphabetically, as IEEE Access requires.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study does not propose a new ensemble algorithm, so a leaderboard-style</w:t>
      </w:r>
      <w:r>
        <w:t xml:space="preserve"> </w:t>
      </w:r>
      <w:r>
        <w:t xml:space="preserve">task-performance comparison with existing ensemble methods would address a different</w:t>
      </w:r>
      <w:r>
        <w:t xml:space="preserve"> </w:t>
      </w:r>
      <w:r>
        <w:t xml:space="preserve">question. Prior work typically evaluates mixture-of-agents, debate, or ensemble-selection</w:t>
      </w:r>
      <w:r>
        <w:t xml:space="preserve"> </w:t>
      </w:r>
      <w:r>
        <w:t xml:space="preserve">methods through downstream performance, whereas we hold the task, prompt, information set,</w:t>
      </w:r>
      <w:r>
        <w:t xml:space="preserve"> </w:t>
      </w:r>
      <w:r>
        <w:t xml:space="preserve">and aggregation rule fixed and study how ensemble composition relates to agreement, error</w:t>
      </w:r>
      <w:r>
        <w:t xml:space="preserve"> </w:t>
      </w:r>
      <w:r>
        <w:t xml:space="preserve">dependence, and cost.</w:t>
      </w:r>
    </w:p>
    <w:p>
      <w:pPr>
        <w:pStyle w:val="Compact"/>
        <w:numPr>
          <w:ilvl w:val="0"/>
          <w:numId w:val="1015"/>
        </w:numPr>
      </w:pPr>
      <w:r>
        <w:t xml:space="preserve">The appropriate comparison is therefore methodological: our framework separates output</w:t>
      </w:r>
      <w:r>
        <w:t xml:space="preserve"> </w:t>
      </w:r>
      <w:r>
        <w:t xml:space="preserve">agreement from error correlation, controls the shared-seed artifact, quantifies statistical</w:t>
      </w:r>
      <w:r>
        <w:t xml:space="preserve"> </w:t>
      </w:r>
      <w:r>
        <w:t xml:space="preserve">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Kuncheva and Whitaker [17] for the classifier-ensemble result that</w:t>
      </w:r>
      <w:r>
        <w:t xml:space="preserve"> </w:t>
      </w:r>
      <w:r>
        <w:t xml:space="preserve">diversity and accuracy are related but not interchangeable, which is why reduced agreement</w:t>
      </w:r>
      <w:r>
        <w:t xml:space="preserve"> </w:t>
      </w:r>
      <w:r>
        <w:t xml:space="preserve">is not treated here as evidence of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 We therefore interpret the comparisons as configuration-specific</w:t>
      </w:r>
      <w:r>
        <w:t xml:space="preserve"> </w:t>
      </w:r>
      <w:r>
        <w:t xml:space="preserve">observational 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under approximate tier matching, and the clinical replication provides an</w:t>
      </w:r>
      <w:r>
        <w:t xml:space="preserve"> </w:t>
      </w:r>
      <w:r>
        <w:t xml:space="preserve">additional approximate capability-matched comparison with similar member accuracy but</w:t>
      </w:r>
      <w:r>
        <w:t xml:space="preserve"> </w:t>
      </w:r>
      <w:r>
        <w:t xml:space="preserve">substantially different error correlation.</w:t>
      </w:r>
    </w:p>
    <w:p>
      <w:pPr>
        <w:pStyle w:val="Compact"/>
        <w:numPr>
          <w:ilvl w:val="0"/>
          <w:numId w:val="1017"/>
        </w:numPr>
      </w:pPr>
      <w:r>
        <w:t xml:space="preserve">These controls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remains the pre-registered primary resampling unit because observations are repeated</w:t>
      </w:r>
      <w:r>
        <w:t xml:space="preserve"> </w:t>
      </w:r>
      <w:r>
        <w:t xml:space="preserve">within securities, while analysis date is a crossed dependence dimension because all</w:t>
      </w:r>
      <w:r>
        <w:t xml:space="preserve"> </w:t>
      </w:r>
      <w:r>
        <w:t xml:space="preserve">securities evaluated on the same date share market conditions. We therefore independently</w:t>
      </w:r>
      <w:r>
        <w:t xml:space="preserve"> </w:t>
      </w:r>
      <w:r>
        <w:t xml:space="preserve">resample equities and dates with replacement, preserving multiplicity on both margins.</w:t>
      </w:r>
    </w:p>
    <w:p>
      <w:pPr>
        <w:pStyle w:val="Compact"/>
        <w:numPr>
          <w:ilvl w:val="0"/>
          <w:numId w:val="1019"/>
        </w:numPr>
      </w:pPr>
      <w:r>
        <w:t xml:space="preserve">The primary HOM-HET contrast remains Δκ = 0.3363, with 95% intervals of [0.3035, 0.3689]</w:t>
      </w:r>
      <w:r>
        <w:t xml:space="preserve"> </w:t>
      </w:r>
      <w:r>
        <w:t xml:space="preserve">under equity clustering, [0.2989, 0.3656] under date clustering, and [0.2786, 0.3877] under</w:t>
      </w:r>
      <w:r>
        <w:t xml:space="preserve"> </w:t>
      </w:r>
      <w:r>
        <w:t xml:space="preserve">two-way resampling. All pre-registered secondary and exploratory inferential contrasts were</w:t>
      </w:r>
      <w:r>
        <w:t xml:space="preserve"> </w:t>
      </w:r>
      <w:r>
        <w:t xml:space="preserve">regenerated under the appropriate scheme, and no substantive conclusion changes.</w:t>
      </w:r>
    </w:p>
    <w:p>
      <w:pPr>
        <w:pStyle w:val="Compact"/>
        <w:numPr>
          <w:ilvl w:val="0"/>
          <w:numId w:val="1019"/>
        </w:numPr>
      </w:pPr>
      <w:r>
        <w:t xml:space="preserve">The temperature analysis remains equity-clustered because its two analysis dates are</w:t>
      </w:r>
      <w:r>
        <w:t xml:space="preserve"> </w:t>
      </w:r>
      <w:r>
        <w:t xml:space="preserve">insufficient for two-way inference; the clinical replication instead resamples MMLU items</w:t>
      </w:r>
      <w:r>
        <w:t xml:space="preserve"> </w:t>
      </w:r>
      <w:r>
        <w:t xml:space="preserve">because the financial equity-date structure does not apply.</w:t>
      </w:r>
    </w:p>
    <w:p>
      <w:pPr>
        <w:pStyle w:val="Compact"/>
        <w:numPr>
          <w:ilvl w:val="0"/>
          <w:numId w:val="1019"/>
        </w:numPr>
      </w:pPr>
      <w:r>
        <w:t xml:space="preserve">During this revision we also identified and corrected an implementation that had collapsed</w:t>
      </w:r>
      <w:r>
        <w:t xml:space="preserve"> </w:t>
      </w:r>
      <w:r>
        <w:t xml:space="preserve">repeated sampled equities to a set, thereby losing bootstrap multiplicity and understating</w:t>
      </w:r>
      <w:r>
        <w:t xml:space="preserve"> </w:t>
      </w:r>
      <w:r>
        <w:t xml:space="preserve">variance. The corrected code preserves multiplicity on both margins and now asserts this</w:t>
      </w:r>
      <w:r>
        <w:t xml:space="preserve"> </w:t>
      </w:r>
      <w:r>
        <w:t xml:space="preserve">property automatically.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and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 [14], which resamples the two margins separately, and the</w:t>
      </w:r>
      <w:r>
        <w:t xml:space="preserve"> </w:t>
      </w:r>
      <w:r>
        <w:t xml:space="preserve">multiway-inference literature for non-nested clustering dimensions [15]. We state</w:t>
      </w:r>
      <w:r>
        <w:t xml:space="preserve"> </w:t>
      </w:r>
      <w:r>
        <w:t xml:space="preserve">explicitly that our procedure is 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Compact"/>
        <w:numPr>
          <w:ilvl w:val="0"/>
          <w:numId w:val="1020"/>
        </w:numPr>
      </w:pPr>
      <w:r>
        <w:t xml:space="preserve">References [14], Owen’s pigeonhole bootstrap, and [15], Cameron, Gelbach and Miller on</w:t>
      </w:r>
      <w:r>
        <w:t xml:space="preserve"> </w:t>
      </w:r>
      <w:r>
        <w:t xml:space="preserve">multiway clustering, were added to the reference list as the methodological precedent for</w:t>
      </w:r>
      <w:r>
        <w:t xml:space="preserve"> </w:t>
      </w:r>
      <w:r>
        <w:t xml:space="preserve">the crossed resampling procedure.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reviewer’s second option and now measure error dependence directly using φ</w:t>
      </w:r>
      <w:r>
        <w:t xml:space="preserve"> </w:t>
      </w:r>
      <w:r>
        <w:t xml:space="preserve">correlations between paired binary error indicators. Error correlation decreases from 0.984</w:t>
      </w:r>
      <w:r>
        <w:t xml:space="preserve"> </w:t>
      </w:r>
      <w:r>
        <w:t xml:space="preserve">for HOM to 0.742 for HET-LITE and 0.530 for HET, giving a HOM-HET contrast of 0.454 (95% CI</w:t>
      </w:r>
      <w:r>
        <w:t xml:space="preserve"> </w:t>
      </w:r>
      <w:r>
        <w:t xml:space="preserve">[0.376, 0.534]; two-way [0.328, 0.586]).</w:t>
      </w:r>
    </w:p>
    <w:p>
      <w:pPr>
        <w:pStyle w:val="Compact"/>
        <w:numPr>
          <w:ilvl w:val="0"/>
          <w:numId w:val="1021"/>
        </w:numPr>
      </w:pPr>
      <w:r>
        <w:t xml:space="preserve">Counting HOLD as an error to hold the evaluated subset fixed gives the same ordering, with a</w:t>
      </w:r>
      <w:r>
        <w:t xml:space="preserve"> </w:t>
      </w:r>
      <w:r>
        <w:t xml:space="preserve">HOM-HET contrast of 0.309 (95% CI [0.262, 0.354]; two-way [0.227, 0.387]). Mean per-agent</w:t>
      </w:r>
      <w:r>
        <w:t xml:space="preserve"> </w:t>
      </w:r>
      <w:r>
        <w:t xml:space="preserve">error rates remain similar, so the reduction reflects lower error dependence rather than</w:t>
      </w:r>
      <w:r>
        <w:t xml:space="preserve"> </w:t>
      </w:r>
      <w:r>
        <w:t xml:space="preserve">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explicitly distinguishes output agreement, error correlation, sampling</w:t>
      </w:r>
      <w:r>
        <w:t xml:space="preserve"> </w:t>
      </w:r>
      <w:r>
        <w:t xml:space="preserve">independence, model diversity, and provider diversity;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refers specifically</w:t>
      </w:r>
      <w:r>
        <w:t xml:space="preserve"> </w:t>
      </w:r>
      <w:r>
        <w:t xml:space="preserve">to reduced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and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named as an agreement result and the heading itself carries no causal verb.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Compact"/>
        <w:numPr>
          <w:ilvl w:val="0"/>
          <w:numId w:val="1022"/>
        </w:numPr>
      </w:pPr>
      <w:r>
        <w:t xml:space="preserve">Reference [17], Kuncheva and Whitaker on the relationship between ensemble diversity and</w:t>
      </w:r>
      <w:r>
        <w:t xml:space="preserve"> </w:t>
      </w:r>
      <w:r>
        <w:t xml:space="preserve">accuracy, was added to the reference list to support the separation of reduced error</w:t>
      </w:r>
      <w:r>
        <w:t xml:space="preserve"> </w:t>
      </w:r>
      <w:r>
        <w:t xml:space="preserve">dependence from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selective-prediction analysis with paired clustered inference. The HOM-HET AURC</w:t>
      </w:r>
      <w:r>
        <w:t xml:space="preserve"> </w:t>
      </w:r>
      <w:r>
        <w:t xml:space="preserve">difference is -0.001, with an equity-clustered 95% interval of [-0.059, 0.060] and a two-way</w:t>
      </w:r>
      <w:r>
        <w:t xml:space="preserve"> </w:t>
      </w:r>
      <w:r>
        <w:t xml:space="preserve">interval of [-0.113, 0.115], both containing zero.</w:t>
      </w:r>
    </w:p>
    <w:p>
      <w:pPr>
        <w:pStyle w:val="Compact"/>
        <w:numPr>
          <w:ilvl w:val="0"/>
          <w:numId w:val="1023"/>
        </w:numPr>
      </w:pPr>
      <w:r>
        <w:t xml:space="preserve">We also report uncertainty for the exploratory consensus outcomes: the unanimous-incorrect</w:t>
      </w:r>
      <w:r>
        <w:t xml:space="preserve"> </w:t>
      </w:r>
      <w:r>
        <w:t xml:space="preserve">ratio is 1.84 with intervals [1.42, 2.52] and [1.13, 3.06], while the pile-on difference is</w:t>
      </w:r>
      <w:r>
        <w:t xml:space="preserve"> </w:t>
      </w:r>
      <w:r>
        <w:t xml:space="preserve">0.189 with intervals [0.160, 0.216] and [0.140, 0.232] under equity and two-way resampling,</w:t>
      </w:r>
      <w:r>
        <w:t xml:space="preserve"> </w:t>
      </w:r>
      <w:r>
        <w:t xml:space="preserve">respectively.</w:t>
      </w:r>
    </w:p>
    <w:p>
      <w:pPr>
        <w:pStyle w:val="Compact"/>
        <w:numPr>
          <w:ilvl w:val="0"/>
          <w:numId w:val="1023"/>
        </w:numPr>
      </w:pPr>
      <w:r>
        <w:t xml:space="preserve">As a common-subset robustness check, counting HOLD as an error yields a HOM-HET φ contrast</w:t>
      </w:r>
      <w:r>
        <w:t xml:space="preserve"> </w:t>
      </w:r>
      <w:r>
        <w:t xml:space="preserve">of 0.309 with equity and two-way intervals of [0.262, 0.354] and [0.227, 0.387]. Wilson</w:t>
      </w:r>
      <w:r>
        <w:t xml:space="preserve"> </w:t>
      </w:r>
      <w:r>
        <w:t xml:space="preserve">intervals are now retained only as descriptive summaries.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reports the 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We now state explicitly that distinct per-agent seeds remove the demonstrated shared-seed</w:t>
      </w:r>
      <w:r>
        <w:t xml:space="preserve"> </w:t>
      </w:r>
      <w:r>
        <w:t xml:space="preserve">artifact but do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valid outputs and required 94,566 API requests; of the</w:t>
      </w:r>
      <w:r>
        <w:t xml:space="preserve"> </w:t>
      </w:r>
      <w:r>
        <w:t xml:space="preserve">40,566 unsuccessful requests, 40,544 were rate-limit or quota responses and 22 were</w:t>
      </w:r>
      <w:r>
        <w:t xml:space="preserve"> </w:t>
      </w:r>
      <w:r>
        <w:t xml:space="preserve">transport or schema failures. Every attempt is retained in the released log together with</w:t>
      </w:r>
      <w:r>
        <w:t xml:space="preserve"> </w:t>
      </w:r>
      <w:r>
        <w:t xml:space="preserve">request settings, prompts, model identifiers, seeds, prices, archived responses, and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compares only like-for-like pilot quantities on the same grid and model set:</w:t>
      </w:r>
      <w:r>
        <w:t xml:space="preserve"> </w:t>
      </w:r>
      <w:r>
        <w:t xml:space="preserve">the HOM-HET agreement contrast is 0.485 under a shared seed and 0.113 under distinct</w:t>
      </w:r>
      <w:r>
        <w:t xml:space="preserve"> </w:t>
      </w:r>
      <w:r>
        <w:t xml:space="preserve">per-agent seeds. The full-study within-minus-cross-run diagnostic is reported separately in</w:t>
      </w:r>
      <w:r>
        <w:t xml:space="preserve"> </w:t>
      </w:r>
      <w:r>
        <w:t xml:space="preserve">Table 6.</w:t>
      </w:r>
    </w:p>
    <w:p>
      <w:pPr>
        <w:pStyle w:val="Compact"/>
        <w:numPr>
          <w:ilvl w:val="0"/>
          <w:numId w:val="1025"/>
        </w:numPr>
      </w:pPr>
      <w:r>
        <w:t xml:space="preserve">The released package also contains timestamped cryptographic freeze receipts for both the</w:t>
      </w:r>
      <w:r>
        <w:t xml:space="preserve"> </w:t>
      </w:r>
      <w:r>
        <w:t xml:space="preserve">confirmatory study and the cross-domain replication, with the latter recorded before any API</w:t>
      </w:r>
      <w:r>
        <w:t xml:space="preserve"> </w:t>
      </w:r>
      <w:r>
        <w:t xml:space="preserve">call for that arm.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package. The confirmatory</w:t>
      </w:r>
      <w:r>
        <w:t xml:space="preserve"> </w:t>
      </w:r>
      <w:r>
        <w:t xml:space="preserve">freeze is timestamped 2026-07-03T20:41:51.396959+00:00 and records the SHA-256 of the</w:t>
      </w:r>
      <w:r>
        <w:t xml:space="preserve"> </w:t>
      </w:r>
      <w:r>
        <w:t xml:space="preserve">configuration, agent and analysis code, prompt template, pre-registration, grid, and model</w:t>
      </w:r>
      <w:r>
        <w:t xml:space="preserve"> </w:t>
      </w:r>
      <w:r>
        <w:t xml:space="preserve">manifest together with the commit that carried them. The cross-domain replication has its</w:t>
      </w:r>
      <w:r>
        <w:t xml:space="preserve"> </w:t>
      </w:r>
      <w:r>
        <w:t xml:space="preserve">own receipt timestamped 2026-09-29T14:47:54.287335+00:00, recorded before any API call for</w:t>
      </w:r>
      <w:r>
        <w:t xml:space="preserve"> </w:t>
      </w:r>
      <w:r>
        <w:t xml:space="preserve">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MMLU professional-medicine and</w:t>
      </w:r>
      <w:r>
        <w:t xml:space="preserve"> </w:t>
      </w:r>
      <w:r>
        <w:t xml:space="preserve">clinical-knowledge questions with four response options rather than the three financial</w:t>
      </w:r>
      <w:r>
        <w:t xml:space="preserve"> </w:t>
      </w:r>
      <w:r>
        <w:t xml:space="preserve">labels.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reproduces: agreement decreases by Δκ = 0.072 (95% CI [0.040, 0.104]) and</w:t>
      </w:r>
      <w:r>
        <w:t xml:space="preserve"> </w:t>
      </w:r>
      <w:r>
        <w:t xml:space="preserve">error correlation by Δφ = 0.393 (95% CI [0.325, 0.459]). The agreement contrast is</w:t>
      </w:r>
      <w:r>
        <w:t xml:space="preserve"> </w:t>
      </w:r>
      <w:r>
        <w:t xml:space="preserve">substantially smaller than in finance, so we do not claim magnitude invariance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explicitly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28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used for this replication.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2026-10-04T21:35:40Z</dcterms:created>
  <dcterms:modified xsi:type="dcterms:W3CDTF">2026-10-04T21:35:40Z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