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Five references are added, each cited to support a specific answer: [14] Owen’s pigeonhole</w:t>
      </w:r>
      <w:r>
        <w:t xml:space="preserve"> </w:t>
      </w:r>
      <w:r>
        <w:t xml:space="preserve">bootstrap and [15] Cameron, Gelbach and Miller on multiway clustering, for the crossed resampling</w:t>
      </w:r>
      <w:r>
        <w:t xml:space="preserve"> </w:t>
      </w:r>
      <w:r>
        <w:t xml:space="preserve">procedure requested in Reviewer 3’s Concern 2; [17] Kuncheva and Whitaker on diversity and</w:t>
      </w:r>
      <w:r>
        <w:t xml:space="preserve"> </w:t>
      </w:r>
      <w:r>
        <w:t xml:space="preserve">ensemble accuracy, for Reviewer 2’s Concern 2 and the separation of agreement from accuracy; [19]</w:t>
      </w:r>
      <w:r>
        <w:t xml:space="preserve"> </w:t>
      </w:r>
      <w:r>
        <w:t xml:space="preserve">El-Yaniv and Wiener on selective prediction, for the risk-coverage analysis requested in Reviewer</w:t>
      </w:r>
      <w:r>
        <w:t xml:space="preserve"> </w:t>
      </w:r>
      <w:r>
        <w:t xml:space="preserve">1’s Concern 1; and [20] Hendrycks et al. for the MMLU benchmark used in the clinical replication.</w:t>
      </w:r>
      <w:r>
        <w:t xml:space="preserve"> </w:t>
      </w:r>
      <w:r>
        <w:t xml:space="preserve">No previous reference was removed, and the reference list is numbered in order of first mention.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 [20].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the classifier-ensemble result that diversity and accuracy are</w:t>
      </w:r>
      <w:r>
        <w:t xml:space="preserve"> </w:t>
      </w:r>
      <w:r>
        <w:t xml:space="preserve">related but not interchangeable.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Within each (configuration, equity, date, run) cell we form, for every unordered pair of</w:t>
      </w:r>
      <w:r>
        <w:t xml:space="preserve"> </w:t>
      </w:r>
      <w:r>
        <w:t xml:space="preserve">agent positions, the pair of binary error indicators against the realized forward-return</w:t>
      </w:r>
      <w:r>
        <w:t xml:space="preserve"> </w:t>
      </w:r>
      <w:r>
        <w:t xml:space="preserve">sign. Those pairs are pooled over all cells and all agent-position pairs within a</w:t>
      </w:r>
      <w:r>
        <w:t xml:space="preserve"> </w:t>
      </w:r>
      <w:r>
        <w:t xml:space="preserve">configuration, and φ is the Pearson correlation of the pooled set, so one φ is reported per</w:t>
      </w:r>
      <w:r>
        <w:t xml:space="preserve"> </w:t>
      </w:r>
      <w:r>
        <w:t xml:space="preserve">configuration rather than one per agent pair. Error correlation decreases from 0.984 for</w:t>
      </w:r>
      <w:r>
        <w:t xml:space="preserve"> </w:t>
      </w:r>
      <w:r>
        <w:t xml:space="preserve">HOM to 0.742 for HET-LITE and 0.530 for HET. The HOM-HET contrast is 0.454 with a 95%</w:t>
      </w:r>
      <w:r>
        <w:t xml:space="preserve"> </w:t>
      </w:r>
      <w:r>
        <w:t xml:space="preserve">confidence interval of [0.376, 0.534]. Under two-way resampling, the interval is</w:t>
      </w:r>
      <w:r>
        <w:t xml:space="preserve"> </w:t>
      </w:r>
      <w:r>
        <w:t xml:space="preserve">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We do not present the lower error correlation as a performance claim. The</w:t>
      </w:r>
      <w:r>
        <w:t xml:space="preserve"> </w:t>
      </w:r>
      <w:r>
        <w:t xml:space="preserve">classifier-ensemble literature establishes that diversity and ensemble accuracy are related</w:t>
      </w:r>
      <w:r>
        <w:t xml:space="preserve"> </w:t>
      </w:r>
      <w:r>
        <w:t xml:space="preserve">but not interchangeable [17], and Section V-C and the Conclusion now say so explicitly.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 [20].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2026-10-02T15:50:51Z</dcterms:created>
  <dcterms:modified xsi:type="dcterms:W3CDTF">2026-10-02T15:50:51Z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