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Original Manuscript ID: Access-2026-38801</w:t>
      </w:r>
      <w:r>
        <w:t xml:space="preserve"> </w:t>
      </w:r>
      <w:r>
        <w:t xml:space="preserve">Original Article Title:</w:t>
      </w:r>
      <w:r>
        <w:t xml:space="preserve"> </w:t>
      </w:r>
      <w:r>
        <w:t xml:space="preserve">“The Price of De-correlation: Quantifying the Agreement-Cost Trade-off in Heterogeneous Large Language Model Ensembles”</w:t>
      </w:r>
    </w:p>
    <w:p>
      <w:pPr>
        <w:pStyle w:val="BodyText"/>
      </w:pPr>
      <w:r>
        <w:t xml:space="preserve">[GAP]</w:t>
      </w:r>
    </w:p>
    <w:p>
      <w:pPr>
        <w:pStyle w:val="BodyText"/>
      </w:pPr>
      <w:r>
        <w:t xml:space="preserve">To: IEEE Access Editor</w:t>
      </w:r>
      <w:r>
        <w:t xml:space="preserve"> </w:t>
      </w:r>
      <w:r>
        <w:t xml:space="preserve">Re: Response to reviewers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Thank you for allowing a resubmission of our manuscript, with an opportunity to address the</w:t>
      </w:r>
      <w:r>
        <w:t xml:space="preserve"> </w:t>
      </w:r>
      <w:r>
        <w:t xml:space="preserve">reviewers’ comments.</w:t>
      </w:r>
    </w:p>
    <w:p>
      <w:pPr>
        <w:pStyle w:val="BodyText"/>
      </w:pPr>
      <w:r>
        <w:t xml:space="preserve">We are uploading (a) our point-by-point response to the comments (below) (response to reviewers,</w:t>
      </w:r>
      <w:r>
        <w:t xml:space="preserve"> </w:t>
      </w:r>
      <w:r>
        <w:t xml:space="preserve">under</w:t>
      </w:r>
      <w:r>
        <w:t xml:space="preserve"> </w:t>
      </w:r>
      <w:r>
        <w:t xml:space="preserve">“Author’s Response Files”</w:t>
      </w:r>
      <w:r>
        <w:t xml:space="preserve">), (b) an updated manuscript with yellow highlighting indicating</w:t>
      </w:r>
      <w:r>
        <w:t xml:space="preserve"> </w:t>
      </w:r>
      <w:r>
        <w:t xml:space="preserve">changes (as</w:t>
      </w:r>
      <w:r>
        <w:t xml:space="preserve"> </w:t>
      </w:r>
      <w:r>
        <w:t xml:space="preserve">“Highlighted PDF”</w:t>
      </w:r>
      <w:r>
        <w:t xml:space="preserve">), and (c) a clean updated manuscript without highlights (</w:t>
      </w:r>
      <w:r>
        <w:t xml:space="preserve">“Main</w:t>
      </w:r>
      <w:r>
        <w:t xml:space="preserve"> </w:t>
      </w:r>
      <w:r>
        <w:t xml:space="preserve">Manuscript”</w:t>
      </w:r>
      <w:r>
        <w:t xml:space="preserve">).</w:t>
      </w:r>
    </w:p>
    <w:p>
      <w:pPr>
        <w:pStyle w:val="BodyText"/>
      </w:pPr>
      <w:r>
        <w:t xml:space="preserve">The revision adds two substantial pieces of evidence. First, we now measure the correlation</w:t>
      </w:r>
      <w:r>
        <w:t xml:space="preserve"> </w:t>
      </w:r>
      <w:r>
        <w:t xml:space="preserve">between agents’ errors directly rather than inferring it from label agreement, which is what the</w:t>
      </w:r>
      <w:r>
        <w:t xml:space="preserve"> </w:t>
      </w:r>
      <w:r>
        <w:t xml:space="preserve">term</w:t>
      </w:r>
      <w:r>
        <w:t xml:space="preserve"> </w:t>
      </w:r>
      <w:r>
        <w:t xml:space="preserve">“de-correlation”</w:t>
      </w:r>
      <w:r>
        <w:t xml:space="preserve"> </w:t>
      </w:r>
      <w:r>
        <w:t xml:space="preserve">in our title asserts. Second, we ran a pre-registered replication of the</w:t>
      </w:r>
      <w:r>
        <w:t xml:space="preserve"> </w:t>
      </w:r>
      <w:r>
        <w:t xml:space="preserve">entire protocol on a substantially different domain, 537 expert clinical-decision items, and</w:t>
      </w:r>
      <w:r>
        <w:t xml:space="preserve"> </w:t>
      </w:r>
      <w:r>
        <w:t xml:space="preserve">report it whatever the outcome. Every number below is regenerated by the released code from the</w:t>
      </w:r>
      <w:r>
        <w:t xml:space="preserve"> </w:t>
      </w:r>
      <w:r>
        <w:t xml:space="preserve">frozen data.</w:t>
      </w:r>
    </w:p>
    <w:p>
      <w:pPr>
        <w:pStyle w:val="BodyText"/>
      </w:pPr>
      <w:r>
        <w:t xml:space="preserve">[SIGNATURE]</w:t>
      </w:r>
      <w:r>
        <w:t xml:space="preserve"> </w:t>
      </w:r>
      <w:r>
        <w:t xml:space="preserve">Best regards,</w:t>
      </w:r>
      <w:r>
        <w:t xml:space="preserve"> </w:t>
      </w:r>
      <w:r>
        <w:t xml:space="preserve">Samir Chincholikar</w:t>
      </w:r>
      <w:r>
        <w:t xml:space="preserve"> </w:t>
      </w:r>
      <w:r>
        <w:t xml:space="preserve">Robin Chawla</w:t>
      </w:r>
    </w:p>
    <w:p>
      <w:pPr>
        <w:pStyle w:val="BodyText"/>
      </w:pPr>
      <w:r>
        <w:t xml:space="preserve">[PAGEBREAK]</w:t>
      </w:r>
    </w:p>
    <w:p>
      <w:pPr>
        <w:pStyle w:val="BodyText"/>
      </w:pPr>
      <w:r>
        <w:rPr>
          <w:b/>
          <w:color w:val="008000"/>
        </w:rPr>
        <w:t xml:space="preserve">Reviewer #1, Concern #1</w:t>
      </w:r>
    </w:p>
    <w:p>
      <w:pPr>
        <w:pStyle w:val="BodyText"/>
      </w:pPr>
      <w:r>
        <w:rPr>
          <w:b/>
          <w:color w:val="008000"/>
        </w:rPr>
        <w:t xml:space="preserve">Reviewer comment:</w:t>
      </w:r>
    </w:p>
    <w:p>
      <w:pPr>
        <w:pStyle w:val="BodyText"/>
      </w:pPr>
      <w:r>
        <w:rPr>
          <w:color w:val="008000"/>
        </w:rPr>
        <w:t xml:space="preserve">Reduced agreement is not shown to improve accuracy or any decision-relevant outcome. Link the</w:t>
      </w:r>
      <w:r>
        <w:rPr>
          <w:color w:val="008000"/>
        </w:rPr>
        <w:t xml:space="preserve"> </w:t>
      </w:r>
      <w:r>
        <w:rPr>
          <w:color w:val="008000"/>
        </w:rPr>
        <w:t xml:space="preserve">agreement-cost frontier to calibration, abstention, robustness, or tail-error reduction.</w:t>
      </w:r>
    </w:p>
    <w:p>
      <w:pPr>
        <w:pStyle w:val="BodyText"/>
      </w:pPr>
      <w:r>
        <w:rPr>
          <w:b/>
        </w:rPr>
        <w:t xml:space="preserve">Author response:</w:t>
      </w:r>
    </w:p>
    <w:p>
      <w:pPr>
        <w:pStyle w:val="Compact"/>
        <w:numPr>
          <w:ilvl w:val="0"/>
          <w:numId w:val="1001"/>
        </w:numPr>
      </w:pPr>
      <w:r>
        <w:t xml:space="preserve">We agree that reduced agreement alone does not establish a downstream benefit. We therefore</w:t>
      </w:r>
      <w:r>
        <w:t xml:space="preserve"> </w:t>
      </w:r>
      <w:r>
        <w:t xml:space="preserve">added a selective-prediction analysis using mean agent conviction. AURC is 0.553 for HOM,</w:t>
      </w:r>
      <w:r>
        <w:t xml:space="preserve"> </w:t>
      </w:r>
      <w:r>
        <w:t xml:space="preserve">0.568 for HET-LITE, and 0.554 for HET; the HOM-HET difference is -0.001 with a 95%</w:t>
      </w:r>
      <w:r>
        <w:t xml:space="preserve"> </w:t>
      </w:r>
      <w:r>
        <w:t xml:space="preserve">equity-clustered interval of [-0.059, 0.060] and a two-way interval of [-0.113, 0.115].</w:t>
      </w:r>
    </w:p>
    <w:p>
      <w:pPr>
        <w:pStyle w:val="Compact"/>
        <w:numPr>
          <w:ilvl w:val="0"/>
          <w:numId w:val="1001"/>
        </w:numPr>
      </w:pPr>
      <w:r>
        <w:t xml:space="preserve">Restricting evaluation to the most confident half of decisions does not materially reduce</w:t>
      </w:r>
      <w:r>
        <w:t xml:space="preserve"> </w:t>
      </w:r>
      <w:r>
        <w:t xml:space="preserve">selective risk, so we do not claim improved calibration or abstention quality.</w:t>
      </w:r>
    </w:p>
    <w:p>
      <w:pPr>
        <w:pStyle w:val="Compact"/>
        <w:numPr>
          <w:ilvl w:val="0"/>
          <w:numId w:val="1001"/>
        </w:numPr>
      </w:pPr>
      <w:r>
        <w:t xml:space="preserve">As a separate exploratory outcome, HOM produces unanimous incorrect directional decisions at</w:t>
      </w:r>
      <w:r>
        <w:t xml:space="preserve"> </w:t>
      </w:r>
      <w:r>
        <w:t xml:space="preserve">1.84 times the rate of HET, with equity-clustered and two-way 95% intervals of [1.42, 2.52]</w:t>
      </w:r>
      <w:r>
        <w:t xml:space="preserve"> </w:t>
      </w:r>
      <w:r>
        <w:t xml:space="preserve">and [1.13, 3.06], respectively. Because this analysis is post hoc and unadjusted for</w:t>
      </w:r>
      <w:r>
        <w:t xml:space="preserve"> </w:t>
      </w:r>
      <w:r>
        <w:t xml:space="preserve">multiplicity, we treat it as hypothesis-generating rather than confirmatory.</w:t>
      </w:r>
    </w:p>
    <w:p>
      <w:pPr>
        <w:pStyle w:val="FirstParagraph"/>
      </w:pPr>
      <w:r>
        <w:rPr>
          <w:b/>
        </w:rPr>
        <w:t xml:space="preserve">Author action:</w:t>
      </w:r>
    </w:p>
    <w:p>
      <w:pPr>
        <w:pStyle w:val="Compact"/>
        <w:numPr>
          <w:ilvl w:val="0"/>
          <w:numId w:val="1002"/>
        </w:numPr>
      </w:pPr>
      <w:r>
        <w:t xml:space="preserve">Section V-H,</w:t>
      </w:r>
      <w:r>
        <w:t xml:space="preserve"> </w:t>
      </w:r>
      <w:r>
        <w:t xml:space="preserve">“Exploratory Analysis of Consensus Errors,”</w:t>
      </w:r>
      <w:r>
        <w:t xml:space="preserve"> </w:t>
      </w:r>
      <w:r>
        <w:t xml:space="preserve">was revised to report the</w:t>
      </w:r>
      <w:r>
        <w:t xml:space="preserve"> </w:t>
      </w:r>
      <w:r>
        <w:t xml:space="preserve">unanimous-incorrect ratio with equity-clustered and two-way confidence intervals and to</w:t>
      </w:r>
      <w:r>
        <w:t xml:space="preserve"> </w:t>
      </w:r>
      <w:r>
        <w:t xml:space="preserve">state explicitly that the analysis is exploratory.</w:t>
      </w:r>
    </w:p>
    <w:p>
      <w:pPr>
        <w:pStyle w:val="Compact"/>
        <w:numPr>
          <w:ilvl w:val="0"/>
          <w:numId w:val="1002"/>
        </w:numPr>
      </w:pPr>
      <w:r>
        <w:t xml:space="preserve">Section V-D,</w:t>
      </w:r>
      <w:r>
        <w:t xml:space="preserve"> </w:t>
      </w:r>
      <w:r>
        <w:t xml:space="preserve">“The Agreement-Cost Frontier,”</w:t>
      </w:r>
      <w:r>
        <w:t xml:space="preserve"> </w:t>
      </w:r>
      <w:r>
        <w:t xml:space="preserve">was revised to state that the frontier</w:t>
      </w:r>
      <w:r>
        <w:t xml:space="preserve"> </w:t>
      </w:r>
      <w:r>
        <w:t xml:space="preserve">quantifies the cost associated with greater behavioral diversity and does not by itself</w:t>
      </w:r>
      <w:r>
        <w:t xml:space="preserve"> </w:t>
      </w:r>
      <w:r>
        <w:t xml:space="preserve">establish improved downstream decision quality.</w:t>
      </w:r>
    </w:p>
    <w:p>
      <w:pPr>
        <w:pStyle w:val="Compact"/>
        <w:numPr>
          <w:ilvl w:val="0"/>
          <w:numId w:val="1002"/>
        </w:numPr>
      </w:pPr>
      <w:r>
        <w:t xml:space="preserve">Section V-I,</w:t>
      </w:r>
      <w:r>
        <w:t xml:space="preserve"> </w:t>
      </w:r>
      <w:r>
        <w:t xml:space="preserve">“Selective Prediction,”</w:t>
      </w:r>
      <w:r>
        <w:t xml:space="preserve"> </w:t>
      </w:r>
      <w:r>
        <w:t xml:space="preserve">is now a standalone subsection rather than part of the</w:t>
      </w:r>
      <w:r>
        <w:t xml:space="preserve"> </w:t>
      </w:r>
      <w:r>
        <w:t xml:space="preserve">clinical replication, since its equity-clustered and two-way intervals concern the financial</w:t>
      </w:r>
      <w:r>
        <w:t xml:space="preserve"> </w:t>
      </w:r>
      <w:r>
        <w:t xml:space="preserve">experiment. It defines the decision unit, the HOLD and undefined-sign exclusions, the</w:t>
      </w:r>
      <w:r>
        <w:t xml:space="preserve"> </w:t>
      </w:r>
      <w:r>
        <w:t xml:space="preserve">coverage denominator, the conviction ranking, selective risk, the trapezoidal AURC, the</w:t>
      </w:r>
      <w:r>
        <w:t xml:space="preserve"> </w:t>
      </w:r>
      <w:r>
        <w:t xml:space="preserve">within-draw paired contrast, and the bootstrap, and it follows the risk-coverage framework</w:t>
      </w:r>
      <w:r>
        <w:t xml:space="preserve"> </w:t>
      </w:r>
      <w:r>
        <w:t xml:space="preserve">of El-Yaniv and Wiener [19].</w:t>
      </w:r>
    </w:p>
    <w:p>
      <w:pPr>
        <w:pStyle w:val="Compact"/>
        <w:numPr>
          <w:ilvl w:val="0"/>
          <w:numId w:val="1002"/>
        </w:numPr>
      </w:pPr>
      <w:r>
        <w:t xml:space="preserve">Reference [19], El-Yaniv and Wiener on selective prediction, was added to the reference list</w:t>
      </w:r>
      <w:r>
        <w:t xml:space="preserve"> </w:t>
      </w:r>
      <w:r>
        <w:t xml:space="preserve">as the source of the risk-coverage framework used in this analysis.</w:t>
      </w:r>
    </w:p>
    <w:p>
      <w:pPr>
        <w:pStyle w:val="FirstParagraph"/>
      </w:pPr>
      <w:r>
        <w:rPr>
          <w:b/>
          <w:color w:val="008000"/>
        </w:rPr>
        <w:t xml:space="preserve">Reviewer #1, Concern #2</w:t>
      </w:r>
    </w:p>
    <w:p>
      <w:pPr>
        <w:pStyle w:val="BodyText"/>
      </w:pPr>
      <w:r>
        <w:rPr>
          <w:b/>
          <w:color w:val="008000"/>
        </w:rPr>
        <w:t xml:space="preserve">Reviewer comment:</w:t>
      </w:r>
    </w:p>
    <w:p>
      <w:pPr>
        <w:pStyle w:val="BodyText"/>
      </w:pPr>
      <w:r>
        <w:rPr>
          <w:color w:val="008000"/>
        </w:rPr>
        <w:t xml:space="preserve">The tier-matched control covers only two providers and no xAI equivalent. A fully tier-matched</w:t>
      </w:r>
      <w:r>
        <w:rPr>
          <w:color w:val="008000"/>
        </w:rPr>
        <w:t xml:space="preserve"> </w:t>
      </w:r>
      <w:r>
        <w:rPr>
          <w:color w:val="008000"/>
        </w:rPr>
        <w:t xml:space="preserve">multi-provider design or model-level random effects is needed.</w:t>
      </w:r>
    </w:p>
    <w:p>
      <w:pPr>
        <w:pStyle w:val="BodyText"/>
      </w:pPr>
      <w:r>
        <w:rPr>
          <w:b/>
        </w:rPr>
        <w:t xml:space="preserve">Author response:</w:t>
      </w:r>
    </w:p>
    <w:p>
      <w:pPr>
        <w:pStyle w:val="Compact"/>
        <w:numPr>
          <w:ilvl w:val="0"/>
          <w:numId w:val="1003"/>
        </w:numPr>
      </w:pPr>
      <w:r>
        <w:t xml:space="preserve">A fully three-provider tier-matched design remains unavailable because an equivalent</w:t>
      </w:r>
      <w:r>
        <w:t xml:space="preserve"> </w:t>
      </w:r>
      <w:r>
        <w:t xml:space="preserve">efficient-tier xAI model was not available.</w:t>
      </w:r>
    </w:p>
    <w:p>
      <w:pPr>
        <w:pStyle w:val="Compact"/>
        <w:numPr>
          <w:ilvl w:val="0"/>
          <w:numId w:val="1003"/>
        </w:numPr>
      </w:pPr>
      <w:r>
        <w:t xml:space="preserve">We therefore added an approximate capability comparison in the clinical replication: one</w:t>
      </w:r>
      <w:r>
        <w:t xml:space="preserve"> </w:t>
      </w:r>
      <w:r>
        <w:t xml:space="preserve">same-provider pair and one cross-provider pair have nearly identical mean member accuracy,</w:t>
      </w:r>
      <w:r>
        <w:t xml:space="preserve"> </w:t>
      </w:r>
      <w:r>
        <w:t xml:space="preserve">0.951 and 0.955, while their error correlations are 0.954 and 0.607, a difference of 0.347</w:t>
      </w:r>
      <w:r>
        <w:t xml:space="preserve"> </w:t>
      </w:r>
      <w:r>
        <w:t xml:space="preserve">(95% CI [0.207, 0.507]).</w:t>
      </w:r>
    </w:p>
    <w:p>
      <w:pPr>
        <w:pStyle w:val="Compact"/>
        <w:numPr>
          <w:ilvl w:val="0"/>
          <w:numId w:val="1003"/>
        </w:numPr>
      </w:pPr>
      <w:r>
        <w:t xml:space="preserve">This reduces the capability confound but does not eliminate confounding between provider and</w:t>
      </w:r>
      <w:r>
        <w:t xml:space="preserve"> </w:t>
      </w:r>
      <w:r>
        <w:t xml:space="preserve">other model-specific characteristics; we therefore do not identify provider as an</w:t>
      </w:r>
      <w:r>
        <w:t xml:space="preserve"> </w:t>
      </w:r>
      <w:r>
        <w:t xml:space="preserve">independent causal factor.</w:t>
      </w:r>
    </w:p>
    <w:p>
      <w:pPr>
        <w:pStyle w:val="FirstParagraph"/>
      </w:pPr>
      <w:r>
        <w:rPr>
          <w:b/>
        </w:rPr>
        <w:t xml:space="preserve">Author action:</w:t>
      </w:r>
    </w:p>
    <w:p>
      <w:pPr>
        <w:pStyle w:val="Compact"/>
        <w:numPr>
          <w:ilvl w:val="0"/>
          <w:numId w:val="1004"/>
        </w:numPr>
      </w:pPr>
      <w:r>
        <w:t xml:space="preserve">Section V-J,</w:t>
      </w:r>
      <w:r>
        <w:t xml:space="preserve"> </w:t>
      </w:r>
      <w:r>
        <w:t xml:space="preserve">“Cross-Domain Replication: Clinical Knowledge,”</w:t>
      </w:r>
      <w:r>
        <w:t xml:space="preserve"> </w:t>
      </w:r>
      <w:r>
        <w:t xml:space="preserve">is new in this revision and</w:t>
      </w:r>
      <w:r>
        <w:t xml:space="preserve"> </w:t>
      </w:r>
      <w:r>
        <w:t xml:space="preserve">includes the approximate capability-matched same-provider versus cross-provider comparison.</w:t>
      </w:r>
    </w:p>
    <w:p>
      <w:pPr>
        <w:pStyle w:val="Compact"/>
        <w:numPr>
          <w:ilvl w:val="0"/>
          <w:numId w:val="1004"/>
        </w:numPr>
      </w:pPr>
      <w:r>
        <w:t xml:space="preserve">Section V-K,</w:t>
      </w:r>
      <w:r>
        <w:t xml:space="preserve"> </w:t>
      </w:r>
      <w:r>
        <w:t xml:space="preserve">“Robustness: Capability-Matched Control,”</w:t>
      </w:r>
      <w:r>
        <w:t xml:space="preserve"> </w:t>
      </w:r>
      <w:r>
        <w:t xml:space="preserve">retains the pre-registered financial</w:t>
      </w:r>
      <w:r>
        <w:t xml:space="preserve"> </w:t>
      </w:r>
      <w:r>
        <w:t xml:space="preserve">capability control, which preserves approximately 94% of the primary agreement contrast</w:t>
      </w:r>
      <w:r>
        <w:t xml:space="preserve"> </w:t>
      </w:r>
      <w:r>
        <w:t xml:space="preserve">while holding model tier approximately constant.</w:t>
      </w:r>
    </w:p>
    <w:p>
      <w:pPr>
        <w:pStyle w:val="Compact"/>
        <w:numPr>
          <w:ilvl w:val="0"/>
          <w:numId w:val="1004"/>
        </w:numPr>
      </w:pPr>
      <w:r>
        <w:t xml:space="preserve">Section VII,</w:t>
      </w:r>
      <w:r>
        <w:t xml:space="preserve"> </w:t>
      </w:r>
      <w:r>
        <w:t xml:space="preserve">“Threats to Validity,”</w:t>
      </w:r>
      <w:r>
        <w:t xml:space="preserve"> </w:t>
      </w:r>
      <w:r>
        <w:t xml:space="preserve">subsection</w:t>
      </w:r>
      <w:r>
        <w:t xml:space="preserve"> </w:t>
      </w:r>
      <w:r>
        <w:t xml:space="preserve">“Heterogeneity vs. capability confound,”</w:t>
      </w:r>
      <w:r>
        <w:t xml:space="preserve"> </w:t>
      </w:r>
      <w:r>
        <w:t xml:space="preserve">was</w:t>
      </w:r>
      <w:r>
        <w:t xml:space="preserve"> </w:t>
      </w:r>
      <w:r>
        <w:t xml:space="preserve">revised to state explicitly that provider remains confounded with model identity, training</w:t>
      </w:r>
      <w:r>
        <w:t xml:space="preserve"> </w:t>
      </w:r>
      <w:r>
        <w:t xml:space="preserve">data, architecture, alignment, and effective capability.</w:t>
      </w:r>
    </w:p>
    <w:p>
      <w:pPr>
        <w:pStyle w:val="FirstParagraph"/>
      </w:pPr>
      <w:r>
        <w:rPr>
          <w:b/>
          <w:color w:val="008000"/>
        </w:rPr>
        <w:t xml:space="preserve">Reviewer #1, Concern #3</w:t>
      </w:r>
    </w:p>
    <w:p>
      <w:pPr>
        <w:pStyle w:val="BodyText"/>
      </w:pPr>
      <w:r>
        <w:rPr>
          <w:b/>
          <w:color w:val="008000"/>
        </w:rPr>
        <w:t xml:space="preserve">Reviewer comment:</w:t>
      </w:r>
    </w:p>
    <w:p>
      <w:pPr>
        <w:pStyle w:val="BodyText"/>
      </w:pPr>
      <w:r>
        <w:rPr>
          <w:color w:val="008000"/>
        </w:rPr>
        <w:t xml:space="preserve">Findings come from one financial task, one prompt, three labels, and fixed five-agent ensembles.</w:t>
      </w:r>
      <w:r>
        <w:rPr>
          <w:color w:val="008000"/>
        </w:rPr>
        <w:t xml:space="preserve"> </w:t>
      </w:r>
      <w:r>
        <w:rPr>
          <w:color w:val="008000"/>
        </w:rPr>
        <w:t xml:space="preserve">Test other domains, ensemble sizes, aggregation rules, and label structures.</w:t>
      </w:r>
    </w:p>
    <w:p>
      <w:pPr>
        <w:pStyle w:val="BodyText"/>
      </w:pPr>
      <w:r>
        <w:rPr>
          <w:b/>
        </w:rPr>
        <w:t xml:space="preserve">Author response:</w:t>
      </w:r>
    </w:p>
    <w:p>
      <w:pPr>
        <w:pStyle w:val="Compact"/>
        <w:numPr>
          <w:ilvl w:val="0"/>
          <w:numId w:val="1005"/>
        </w:numPr>
      </w:pPr>
      <w:r>
        <w:t xml:space="preserve">We added a pre-registered replication using 537 questions from the MMLU</w:t>
      </w:r>
      <w:r>
        <w:t xml:space="preserve"> </w:t>
      </w:r>
      <w:r>
        <w:t xml:space="preserve">professional-medicine and clinical-knowledge subsets, changing the task from three</w:t>
      </w:r>
      <w:r>
        <w:t xml:space="preserve"> </w:t>
      </w:r>
      <w:r>
        <w:t xml:space="preserve">BUY/HOLD/SELL labels to four-option clinical questions.</w:t>
      </w:r>
    </w:p>
    <w:p>
      <w:pPr>
        <w:pStyle w:val="Compact"/>
        <w:numPr>
          <w:ilvl w:val="0"/>
          <w:numId w:val="1005"/>
        </w:numPr>
      </w:pPr>
      <w:r>
        <w:t xml:space="preserve">The ordering reproduces: agreement decreases by Δκ = 0.072 (95% CI [0.040, 0.104]) and error</w:t>
      </w:r>
      <w:r>
        <w:t xml:space="preserve"> </w:t>
      </w:r>
      <w:r>
        <w:t xml:space="preserve">correlation by Δφ = 0.393 (95% CI [0.325, 0.459]), compared with 0.336 and 0.454 in finance.</w:t>
      </w:r>
    </w:p>
    <w:p>
      <w:pPr>
        <w:pStyle w:val="Compact"/>
        <w:numPr>
          <w:ilvl w:val="0"/>
          <w:numId w:val="1005"/>
        </w:numPr>
      </w:pPr>
      <w:r>
        <w:t xml:space="preserve">The agreement effect is therefore materially smaller across domains, and we do not claim</w:t>
      </w:r>
      <w:r>
        <w:t xml:space="preserve"> </w:t>
      </w:r>
      <w:r>
        <w:t xml:space="preserve">magnitude invariance. Ensemble size, prompt format, aggregation rule, and model mixtures</w:t>
      </w:r>
      <w:r>
        <w:t xml:space="preserve"> </w:t>
      </w:r>
      <w:r>
        <w:t xml:space="preserve">remain fixed and are stated as limitations.</w:t>
      </w:r>
    </w:p>
    <w:p>
      <w:pPr>
        <w:pStyle w:val="FirstParagraph"/>
      </w:pPr>
      <w:r>
        <w:rPr>
          <w:b/>
        </w:rPr>
        <w:t xml:space="preserve">Author action:</w:t>
      </w:r>
    </w:p>
    <w:p>
      <w:pPr>
        <w:pStyle w:val="Compact"/>
        <w:numPr>
          <w:ilvl w:val="0"/>
          <w:numId w:val="1006"/>
        </w:numPr>
      </w:pPr>
      <w:r>
        <w:t xml:space="preserve">Section V-J,</w:t>
      </w:r>
      <w:r>
        <w:t xml:space="preserve"> </w:t>
      </w:r>
      <w:r>
        <w:t xml:space="preserve">“Cross-Domain Replication: Clinical Knowledge,”</w:t>
      </w:r>
      <w:r>
        <w:t xml:space="preserve"> </w:t>
      </w:r>
      <w:r>
        <w:t xml:space="preserve">was added to report the</w:t>
      </w:r>
      <w:r>
        <w:t xml:space="preserve"> </w:t>
      </w:r>
      <w:r>
        <w:t xml:space="preserve">pre-registered 537-item clinical replication.</w:t>
      </w:r>
    </w:p>
    <w:p>
      <w:pPr>
        <w:pStyle w:val="Compact"/>
        <w:numPr>
          <w:ilvl w:val="0"/>
          <w:numId w:val="1006"/>
        </w:numPr>
      </w:pPr>
      <w:r>
        <w:t xml:space="preserve">Section VII,</w:t>
      </w:r>
      <w:r>
        <w:t xml:space="preserve"> </w:t>
      </w:r>
      <w:r>
        <w:t xml:space="preserve">“Threats to Validity,”</w:t>
      </w:r>
      <w:r>
        <w:t xml:space="preserve"> </w:t>
      </w:r>
      <w:r>
        <w:t xml:space="preserve">subsection</w:t>
      </w:r>
      <w:r>
        <w:t xml:space="preserve"> </w:t>
      </w:r>
      <w:r>
        <w:t xml:space="preserve">“Scope and generalizability,”</w:t>
      </w:r>
      <w:r>
        <w:t xml:space="preserve"> </w:t>
      </w:r>
      <w:r>
        <w:t xml:space="preserve">was revised to</w:t>
      </w:r>
      <w:r>
        <w:t xml:space="preserve"> </w:t>
      </w:r>
      <w:r>
        <w:t xml:space="preserve">distinguish the dimensions tested across domains from those that remain fixed.</w:t>
      </w:r>
    </w:p>
    <w:p>
      <w:pPr>
        <w:pStyle w:val="Compact"/>
        <w:numPr>
          <w:ilvl w:val="0"/>
          <w:numId w:val="1006"/>
        </w:numPr>
      </w:pPr>
      <w:r>
        <w:t xml:space="preserve">The clinical replication pre-registration and freeze receipt were added to the released</w:t>
      </w:r>
      <w:r>
        <w:t xml:space="preserve"> </w:t>
      </w:r>
      <w:r>
        <w:t xml:space="preserve">reproducibility materials.</w:t>
      </w:r>
    </w:p>
    <w:p>
      <w:pPr>
        <w:pStyle w:val="Compact"/>
        <w:numPr>
          <w:ilvl w:val="0"/>
          <w:numId w:val="1006"/>
        </w:numPr>
      </w:pPr>
      <w:r>
        <w:t xml:space="preserve">Reference [20], Hendrycks et al., was added to the reference list as the source of the MMLU</w:t>
      </w:r>
      <w:r>
        <w:t xml:space="preserve"> </w:t>
      </w:r>
      <w:r>
        <w:t xml:space="preserve">benchmark from which the clinical items are drawn.</w:t>
      </w:r>
    </w:p>
    <w:p>
      <w:pPr>
        <w:pStyle w:val="FirstParagraph"/>
      </w:pPr>
      <w:r>
        <w:rPr>
          <w:b/>
          <w:color w:val="008000"/>
        </w:rPr>
        <w:t xml:space="preserve">Reviewer #1, Concern #4</w:t>
      </w:r>
    </w:p>
    <w:p>
      <w:pPr>
        <w:pStyle w:val="BodyText"/>
      </w:pPr>
      <w:r>
        <w:rPr>
          <w:b/>
          <w:color w:val="008000"/>
        </w:rPr>
        <w:t xml:space="preserve">Reviewer comment:</w:t>
      </w:r>
    </w:p>
    <w:p>
      <w:pPr>
        <w:pStyle w:val="BodyText"/>
      </w:pPr>
      <w:r>
        <w:rPr>
          <w:color w:val="008000"/>
        </w:rPr>
        <w:t xml:space="preserve">The 1.84x unanimous-incorrect finding and HET-LITE recommendation are post hoc, lack CIs/p-values,</w:t>
      </w:r>
      <w:r>
        <w:rPr>
          <w:color w:val="008000"/>
        </w:rPr>
        <w:t xml:space="preserve"> </w:t>
      </w:r>
      <w:r>
        <w:rPr>
          <w:color w:val="008000"/>
        </w:rPr>
        <w:t xml:space="preserve">and ignore multiplicity. Treat as hypothesis-generating only.</w:t>
      </w:r>
    </w:p>
    <w:p>
      <w:pPr>
        <w:pStyle w:val="BodyText"/>
      </w:pPr>
      <w:r>
        <w:rPr>
          <w:b/>
        </w:rPr>
        <w:t xml:space="preserve">Author response:</w:t>
      </w:r>
    </w:p>
    <w:p>
      <w:pPr>
        <w:pStyle w:val="Compact"/>
        <w:numPr>
          <w:ilvl w:val="0"/>
          <w:numId w:val="1007"/>
        </w:numPr>
      </w:pPr>
      <w:r>
        <w:t xml:space="preserve">We now treat the consensus analysis explicitly as exploratory. The HOM-to-HET</w:t>
      </w:r>
      <w:r>
        <w:t xml:space="preserve"> </w:t>
      </w:r>
      <w:r>
        <w:t xml:space="preserve">unanimous-incorrect ratio is 1.84, with an equity-clustered 95% interval of [1.42, 2.52] and</w:t>
      </w:r>
      <w:r>
        <w:t xml:space="preserve"> </w:t>
      </w:r>
      <w:r>
        <w:t xml:space="preserve">a two-way interval of [1.13, 3.06].</w:t>
      </w:r>
    </w:p>
    <w:p>
      <w:pPr>
        <w:pStyle w:val="Compact"/>
        <w:numPr>
          <w:ilvl w:val="0"/>
          <w:numId w:val="1007"/>
        </w:numPr>
      </w:pPr>
      <w:r>
        <w:t xml:space="preserve">Because the statistic and configuration comparison were selected post hoc and no</w:t>
      </w:r>
      <w:r>
        <w:t xml:space="preserve"> </w:t>
      </w:r>
      <w:r>
        <w:t xml:space="preserve">multiplicity adjustment is applied, these intervals are not interpreted as confirmatory</w:t>
      </w:r>
      <w:r>
        <w:t xml:space="preserve"> </w:t>
      </w:r>
      <w:r>
        <w:t xml:space="preserve">evidence.</w:t>
      </w:r>
    </w:p>
    <w:p>
      <w:pPr>
        <w:pStyle w:val="Compact"/>
        <w:numPr>
          <w:ilvl w:val="0"/>
          <w:numId w:val="1007"/>
        </w:numPr>
      </w:pPr>
      <w:r>
        <w:t xml:space="preserve">HET-LITE is no longer presented as a recommended design; its apparent cost efficiency is</w:t>
      </w:r>
      <w:r>
        <w:t xml:space="preserve"> </w:t>
      </w:r>
      <w:r>
        <w:t xml:space="preserve">treated only as a hypothesis for prospective confirmatory evaluation.</w:t>
      </w:r>
    </w:p>
    <w:p>
      <w:pPr>
        <w:pStyle w:val="FirstParagraph"/>
      </w:pPr>
      <w:r>
        <w:rPr>
          <w:b/>
        </w:rPr>
        <w:t xml:space="preserve">Author action:</w:t>
      </w:r>
    </w:p>
    <w:p>
      <w:pPr>
        <w:pStyle w:val="Compact"/>
        <w:numPr>
          <w:ilvl w:val="0"/>
          <w:numId w:val="1008"/>
        </w:numPr>
      </w:pPr>
      <w:r>
        <w:t xml:space="preserve">Section V-H,</w:t>
      </w:r>
      <w:r>
        <w:t xml:space="preserve"> </w:t>
      </w:r>
      <w:r>
        <w:t xml:space="preserve">“Exploratory Analysis of Consensus Errors,”</w:t>
      </w:r>
      <w:r>
        <w:t xml:space="preserve"> </w:t>
      </w:r>
      <w:r>
        <w:t xml:space="preserve">was revised to report</w:t>
      </w:r>
      <w:r>
        <w:t xml:space="preserve"> </w:t>
      </w:r>
      <w:r>
        <w:t xml:space="preserve">equity-clustered and two-way uncertainty for the unanimous-incorrect ratio.</w:t>
      </w:r>
    </w:p>
    <w:p>
      <w:pPr>
        <w:pStyle w:val="Compact"/>
        <w:numPr>
          <w:ilvl w:val="0"/>
          <w:numId w:val="1008"/>
        </w:numPr>
      </w:pPr>
      <w:r>
        <w:t xml:space="preserve">Section V-H was also revised to state the post hoc status of the analysis, note the absence</w:t>
      </w:r>
      <w:r>
        <w:t xml:space="preserve"> </w:t>
      </w:r>
      <w:r>
        <w:t xml:space="preserve">of multiplicity adjustment, and remove the HET-LITE design recommendation.</w:t>
      </w:r>
    </w:p>
    <w:p>
      <w:pPr>
        <w:pStyle w:val="Compact"/>
        <w:numPr>
          <w:ilvl w:val="0"/>
          <w:numId w:val="1008"/>
        </w:numPr>
      </w:pPr>
      <w:r>
        <w:t xml:space="preserve">Section VI,</w:t>
      </w:r>
      <w:r>
        <w:t xml:space="preserve"> </w:t>
      </w:r>
      <w:r>
        <w:t xml:space="preserve">“Discussion,”</w:t>
      </w:r>
      <w:r>
        <w:t xml:space="preserve"> </w:t>
      </w:r>
      <w:r>
        <w:t xml:space="preserve">was revised so that the HET-LITE result is described as</w:t>
      </w:r>
      <w:r>
        <w:t xml:space="preserve"> </w:t>
      </w:r>
      <w:r>
        <w:t xml:space="preserve">hypothesis-generating rather than deployment guidance.</w:t>
      </w:r>
    </w:p>
    <w:p>
      <w:pPr>
        <w:pStyle w:val="FirstParagraph"/>
      </w:pPr>
      <w:r>
        <w:rPr>
          <w:b/>
          <w:color w:val="008000"/>
        </w:rPr>
        <w:t xml:space="preserve">Reviewer #1, Concern #5</w:t>
      </w:r>
    </w:p>
    <w:p>
      <w:pPr>
        <w:pStyle w:val="BodyText"/>
      </w:pPr>
      <w:r>
        <w:rPr>
          <w:b/>
          <w:color w:val="008000"/>
        </w:rPr>
        <w:t xml:space="preserve">Reviewer comment:</w:t>
      </w:r>
    </w:p>
    <w:p>
      <w:pPr>
        <w:pStyle w:val="BodyText"/>
      </w:pPr>
      <w:r>
        <w:rPr>
          <w:color w:val="008000"/>
        </w:rPr>
        <w:t xml:space="preserve">Seed support is best-effort, and the diagnostic is strongest only for HOM. Heterogeneous cross-run</w:t>
      </w:r>
      <w:r>
        <w:rPr>
          <w:color w:val="008000"/>
        </w:rPr>
        <w:t xml:space="preserve"> </w:t>
      </w:r>
      <w:r>
        <w:rPr>
          <w:color w:val="008000"/>
        </w:rPr>
        <w:t xml:space="preserve">checks are confounded by repeated same-model draws. Add verification or sensitivity analysis.</w:t>
      </w:r>
    </w:p>
    <w:p>
      <w:pPr>
        <w:pStyle w:val="BodyText"/>
      </w:pPr>
      <w:r>
        <w:rPr>
          <w:b/>
        </w:rPr>
        <w:t xml:space="preserve">Author response:</w:t>
      </w:r>
    </w:p>
    <w:p>
      <w:pPr>
        <w:pStyle w:val="Compact"/>
        <w:numPr>
          <w:ilvl w:val="0"/>
          <w:numId w:val="1009"/>
        </w:numPr>
      </w:pPr>
      <w:r>
        <w:t xml:space="preserve">We added a pair-type sensitivity analysis. Same-model agreement is 0.800 in HOM, 0.794 in</w:t>
      </w:r>
      <w:r>
        <w:t xml:space="preserve"> </w:t>
      </w:r>
      <w:r>
        <w:t xml:space="preserve">HET-LITE, and 0.862 in HET, while different-model agreement is 0.455 in HET-LITE and 0.490</w:t>
      </w:r>
      <w:r>
        <w:t xml:space="preserve"> </w:t>
      </w:r>
      <w:r>
        <w:t xml:space="preserve">in HET. The reduction in ensemble agreement is therefore associated with the introduction of</w:t>
      </w:r>
      <w:r>
        <w:t xml:space="preserve"> </w:t>
      </w:r>
      <w:r>
        <w:t xml:space="preserve">different-model pairs rather than a systematic reduction among repeated instances of the</w:t>
      </w:r>
      <w:r>
        <w:t xml:space="preserve"> </w:t>
      </w:r>
      <w:r>
        <w:t xml:space="preserve">same model.</w:t>
      </w:r>
    </w:p>
    <w:p>
      <w:pPr>
        <w:pStyle w:val="Compact"/>
        <w:numPr>
          <w:ilvl w:val="0"/>
          <w:numId w:val="1009"/>
        </w:numPr>
      </w:pPr>
      <w:r>
        <w:t xml:space="preserve">We also clarify that distinct per-agent seeds remove the specific shared-seed artifact</w:t>
      </w:r>
      <w:r>
        <w:t xml:space="preserve"> </w:t>
      </w:r>
      <w:r>
        <w:t xml:space="preserve">observed in the pilot but do not establish statistical independence of model responses.</w:t>
      </w:r>
    </w:p>
    <w:p>
      <w:pPr>
        <w:pStyle w:val="FirstParagraph"/>
      </w:pPr>
      <w:r>
        <w:rPr>
          <w:b/>
        </w:rPr>
        <w:t xml:space="preserve">Author action:</w:t>
      </w:r>
    </w:p>
    <w:p>
      <w:pPr>
        <w:pStyle w:val="Compact"/>
        <w:numPr>
          <w:ilvl w:val="0"/>
          <w:numId w:val="1010"/>
        </w:numPr>
      </w:pPr>
      <w:r>
        <w:t xml:space="preserve">Section V-E,</w:t>
      </w:r>
      <w:r>
        <w:t xml:space="preserve"> </w:t>
      </w:r>
      <w:r>
        <w:t xml:space="preserve">“Shared-Seed Dependence and Measurement Validation,”</w:t>
      </w:r>
      <w:r>
        <w:t xml:space="preserve"> </w:t>
      </w:r>
      <w:r>
        <w:t xml:space="preserve">subsection</w:t>
      </w:r>
      <w:r>
        <w:t xml:space="preserve"> </w:t>
      </w:r>
      <w:r>
        <w:t xml:space="preserve">“Sensitivity:</w:t>
      </w:r>
      <w:r>
        <w:t xml:space="preserve"> </w:t>
      </w:r>
      <w:r>
        <w:t xml:space="preserve">agreement by pair type,”</w:t>
      </w:r>
      <w:r>
        <w:t xml:space="preserve"> </w:t>
      </w:r>
      <w:r>
        <w:t xml:space="preserve">was added to report the same-model and different-model pairwise</w:t>
      </w:r>
      <w:r>
        <w:t xml:space="preserve"> </w:t>
      </w:r>
      <w:r>
        <w:t xml:space="preserve">agreement results.</w:t>
      </w:r>
    </w:p>
    <w:p>
      <w:pPr>
        <w:pStyle w:val="Compact"/>
        <w:numPr>
          <w:ilvl w:val="0"/>
          <w:numId w:val="1010"/>
        </w:numPr>
      </w:pPr>
      <w:r>
        <w:t xml:space="preserve">Section V-E, subsection</w:t>
      </w:r>
      <w:r>
        <w:t xml:space="preserve"> </w:t>
      </w:r>
      <w:r>
        <w:t xml:space="preserve">“What unique seeds do and do not establish,”</w:t>
      </w:r>
      <w:r>
        <w:t xml:space="preserve"> </w:t>
      </w:r>
      <w:r>
        <w:t xml:space="preserve">was added to state</w:t>
      </w:r>
      <w:r>
        <w:t xml:space="preserve"> </w:t>
      </w:r>
      <w:r>
        <w:t xml:space="preserve">explicitly that distinct per-agent seeds do not prove statistical independence.</w:t>
      </w:r>
    </w:p>
    <w:p>
      <w:pPr>
        <w:pStyle w:val="Compact"/>
        <w:numPr>
          <w:ilvl w:val="0"/>
          <w:numId w:val="1010"/>
        </w:numPr>
      </w:pPr>
      <w:r>
        <w:t xml:space="preserve">Figure 2 was revised to describe the change as assignment of a distinct reproducible seed to</w:t>
      </w:r>
      <w:r>
        <w:t xml:space="preserve"> </w:t>
      </w:r>
      <w:r>
        <w:t xml:space="preserve">each agent and explicitly states that this does not establish statistical independence.</w:t>
      </w:r>
    </w:p>
    <w:p>
      <w:pPr>
        <w:pStyle w:val="Compact"/>
        <w:numPr>
          <w:ilvl w:val="0"/>
          <w:numId w:val="1010"/>
        </w:numPr>
      </w:pPr>
      <w:r>
        <w:t xml:space="preserve">Table 6 retains the within-run versus cross-run diagnostic and identifies the heterogeneous</w:t>
      </w:r>
      <w:r>
        <w:t xml:space="preserve"> </w:t>
      </w:r>
      <w:r>
        <w:t xml:space="preserve">results as secondary consistency checks rather than direct independence tests.</w:t>
      </w:r>
    </w:p>
    <w:p>
      <w:pPr>
        <w:pStyle w:val="Compact"/>
        <w:numPr>
          <w:ilvl w:val="0"/>
          <w:numId w:val="1010"/>
        </w:numPr>
      </w:pPr>
      <w:r>
        <w:t xml:space="preserve">The Conclusion no longer refers to verifying sampling independence; it now describes</w:t>
      </w:r>
      <w:r>
        <w:t xml:space="preserve"> </w:t>
      </w:r>
      <w:r>
        <w:t xml:space="preserve">checking for residual within-run dependence and avoiding shared-seed artifacts, matching</w:t>
      </w:r>
      <w:r>
        <w:t xml:space="preserve"> </w:t>
      </w:r>
      <w:r>
        <w:t xml:space="preserve">Section III-C. The claim that reproducing kappa_HOM across datasets re-confirms determinism</w:t>
      </w:r>
      <w:r>
        <w:t xml:space="preserve"> </w:t>
      </w:r>
      <w:r>
        <w:t xml:space="preserve">has been removed and replaced with a consistency check, since reproducing an aggregate</w:t>
      </w:r>
      <w:r>
        <w:t xml:space="preserve"> </w:t>
      </w:r>
      <w:r>
        <w:t xml:space="preserve">statistic does not demonstrate determinism.</w:t>
      </w:r>
    </w:p>
    <w:p>
      <w:pPr>
        <w:pStyle w:val="FirstParagraph"/>
      </w:pPr>
      <w:r>
        <w:rPr>
          <w:b/>
          <w:color w:val="008000"/>
        </w:rPr>
        <w:t xml:space="preserve">Reviewer #1, Concern #6</w:t>
      </w:r>
    </w:p>
    <w:p>
      <w:pPr>
        <w:pStyle w:val="BodyText"/>
      </w:pPr>
      <w:r>
        <w:rPr>
          <w:b/>
          <w:color w:val="008000"/>
        </w:rPr>
        <w:t xml:space="preserve">Reviewer comment:</w:t>
      </w:r>
    </w:p>
    <w:p>
      <w:pPr>
        <w:pStyle w:val="BodyText"/>
      </w:pPr>
      <w:r>
        <w:rPr>
          <w:color w:val="008000"/>
        </w:rPr>
        <w:t xml:space="preserve">Table 4 and the text disagree on costs. Clarify per-decision cost, token accounting, and pricing</w:t>
      </w:r>
      <w:r>
        <w:rPr>
          <w:color w:val="008000"/>
        </w:rPr>
        <w:t xml:space="preserve"> </w:t>
      </w:r>
      <w:r>
        <w:rPr>
          <w:color w:val="008000"/>
        </w:rPr>
        <w:t xml:space="preserve">assumptions.</w:t>
      </w:r>
    </w:p>
    <w:p>
      <w:pPr>
        <w:pStyle w:val="BodyText"/>
      </w:pPr>
      <w:r>
        <w:rPr>
          <w:b/>
        </w:rPr>
        <w:t xml:space="preserve">Author response:</w:t>
      </w:r>
    </w:p>
    <w:p>
      <w:pPr>
        <w:pStyle w:val="Compact"/>
        <w:numPr>
          <w:ilvl w:val="0"/>
          <w:numId w:val="1011"/>
        </w:numPr>
      </w:pPr>
      <w:r>
        <w:t xml:space="preserve">We clarified that per-call cost is computed from metered prompt and completion tokens using</w:t>
      </w:r>
      <w:r>
        <w:t xml:space="preserve"> </w:t>
      </w:r>
      <w:r>
        <w:t xml:space="preserve">the model-registry rates, summed across the five agents within each ensemble decision, and</w:t>
      </w:r>
      <w:r>
        <w:t xml:space="preserve"> </w:t>
      </w:r>
      <w:r>
        <w:t xml:space="preserve">then averaged across cells.</w:t>
      </w:r>
    </w:p>
    <w:p>
      <w:pPr>
        <w:pStyle w:val="Compact"/>
        <w:numPr>
          <w:ilvl w:val="0"/>
          <w:numId w:val="1011"/>
        </w:numPr>
      </w:pPr>
      <w:r>
        <w:t xml:space="preserve">The resulting costs are $6.48 x 10^-4 for HOM, $1.52 x 10^-3 for HET-LITE, and $2.84 x 10^-3</w:t>
      </w:r>
      <w:r>
        <w:t xml:space="preserve"> </w:t>
      </w:r>
      <w:r>
        <w:t xml:space="preserve">for HET, so HOM-to-HET increases inference cost by approximately 4.4x.</w:t>
      </w:r>
    </w:p>
    <w:p>
      <w:pPr>
        <w:pStyle w:val="Compact"/>
        <w:numPr>
          <w:ilvl w:val="0"/>
          <w:numId w:val="1011"/>
        </w:numPr>
      </w:pPr>
      <w:r>
        <w:t xml:space="preserve">Prices are fixed at those applicable during collection; no discount, batching, or caching</w:t>
      </w:r>
      <w:r>
        <w:t xml:space="preserve"> </w:t>
      </w:r>
      <w:r>
        <w:t xml:space="preserve">adjustment is applied, and failed requests with no billable completion are excluded.</w:t>
      </w:r>
    </w:p>
    <w:p>
      <w:pPr>
        <w:pStyle w:val="FirstParagraph"/>
      </w:pPr>
      <w:r>
        <w:rPr>
          <w:b/>
        </w:rPr>
        <w:t xml:space="preserve">Author action:</w:t>
      </w:r>
    </w:p>
    <w:p>
      <w:pPr>
        <w:pStyle w:val="Compact"/>
        <w:numPr>
          <w:ilvl w:val="0"/>
          <w:numId w:val="1012"/>
        </w:numPr>
      </w:pPr>
      <w:r>
        <w:t xml:space="preserve">Section V-D,</w:t>
      </w:r>
      <w:r>
        <w:t xml:space="preserve"> </w:t>
      </w:r>
      <w:r>
        <w:t xml:space="preserve">“The Agreement-Cost Frontier,”</w:t>
      </w:r>
      <w:r>
        <w:t xml:space="preserve"> </w:t>
      </w:r>
      <w:r>
        <w:t xml:space="preserve">was revised to state the token accounting,</w:t>
      </w:r>
      <w:r>
        <w:t xml:space="preserve"> </w:t>
      </w:r>
      <w:r>
        <w:t xml:space="preserve">aggregation, and pricing assumptions explicitly.</w:t>
      </w:r>
    </w:p>
    <w:p>
      <w:pPr>
        <w:pStyle w:val="Compact"/>
        <w:numPr>
          <w:ilvl w:val="0"/>
          <w:numId w:val="1012"/>
        </w:numPr>
      </w:pPr>
      <w:r>
        <w:t xml:space="preserve">Table 4 reports the corresponding per-ensemble-decision cost for each of the three</w:t>
      </w:r>
      <w:r>
        <w:t xml:space="preserve"> </w:t>
      </w:r>
      <w:r>
        <w:t xml:space="preserve">configurations.</w:t>
      </w:r>
    </w:p>
    <w:p>
      <w:pPr>
        <w:pStyle w:val="FirstParagraph"/>
      </w:pPr>
      <w:r>
        <w:rPr>
          <w:b/>
          <w:color w:val="008000"/>
        </w:rPr>
        <w:t xml:space="preserve">Reviewer #2, Concern #1</w:t>
      </w:r>
    </w:p>
    <w:p>
      <w:pPr>
        <w:pStyle w:val="BodyText"/>
      </w:pPr>
      <w:r>
        <w:rPr>
          <w:b/>
          <w:color w:val="008000"/>
        </w:rPr>
        <w:t xml:space="preserve">Reviewer comment:</w:t>
      </w:r>
    </w:p>
    <w:p>
      <w:pPr>
        <w:pStyle w:val="BodyText"/>
      </w:pPr>
      <w:r>
        <w:rPr>
          <w:color w:val="008000"/>
        </w:rPr>
        <w:t xml:space="preserve">Simplify index terms to 3 - 5 words only.</w:t>
      </w:r>
    </w:p>
    <w:p>
      <w:pPr>
        <w:pStyle w:val="BodyText"/>
      </w:pPr>
      <w:r>
        <w:rPr>
          <w:b/>
        </w:rPr>
        <w:t xml:space="preserve">Author response:</w:t>
      </w:r>
    </w:p>
    <w:p>
      <w:pPr>
        <w:pStyle w:val="Compact"/>
        <w:numPr>
          <w:ilvl w:val="0"/>
          <w:numId w:val="1013"/>
        </w:numPr>
      </w:pPr>
      <w:r>
        <w:t xml:space="preserve">Done. The Index Terms have been reduced to five terms.</w:t>
      </w:r>
    </w:p>
    <w:p>
      <w:pPr>
        <w:pStyle w:val="FirstParagraph"/>
      </w:pPr>
      <w:r>
        <w:rPr>
          <w:b/>
        </w:rPr>
        <w:t xml:space="preserve">Author action:</w:t>
      </w:r>
    </w:p>
    <w:p>
      <w:pPr>
        <w:pStyle w:val="Compact"/>
        <w:numPr>
          <w:ilvl w:val="0"/>
          <w:numId w:val="1014"/>
        </w:numPr>
      </w:pPr>
      <w:r>
        <w:t xml:space="preserve">The manuscript Index Terms were revised to: ensemble learning, error correlation, large</w:t>
      </w:r>
      <w:r>
        <w:t xml:space="preserve"> </w:t>
      </w:r>
      <w:r>
        <w:t xml:space="preserve">language models, model heterogeneity, and multi-agent systems. The five terms are listed</w:t>
      </w:r>
      <w:r>
        <w:t xml:space="preserve"> </w:t>
      </w:r>
      <w:r>
        <w:t xml:space="preserve">alphabetically, as IEEE Access requires.</w:t>
      </w:r>
    </w:p>
    <w:p>
      <w:pPr>
        <w:pStyle w:val="FirstParagraph"/>
      </w:pPr>
      <w:r>
        <w:rPr>
          <w:b/>
          <w:color w:val="008000"/>
        </w:rPr>
        <w:t xml:space="preserve">Reviewer #2, Concern #2</w:t>
      </w:r>
    </w:p>
    <w:p>
      <w:pPr>
        <w:pStyle w:val="BodyText"/>
      </w:pPr>
      <w:r>
        <w:rPr>
          <w:b/>
          <w:color w:val="008000"/>
        </w:rPr>
        <w:t xml:space="preserve">Reviewer comment:</w:t>
      </w:r>
    </w:p>
    <w:p>
      <w:pPr>
        <w:pStyle w:val="BodyText"/>
      </w:pPr>
      <w:r>
        <w:rPr>
          <w:color w:val="008000"/>
        </w:rPr>
        <w:t xml:space="preserve">No clear explanation about fair comparison with current state-of-the-art approach.</w:t>
      </w:r>
    </w:p>
    <w:p>
      <w:pPr>
        <w:pStyle w:val="BodyText"/>
      </w:pPr>
      <w:r>
        <w:rPr>
          <w:b/>
        </w:rPr>
        <w:t xml:space="preserve">Author response:</w:t>
      </w:r>
    </w:p>
    <w:p>
      <w:pPr>
        <w:pStyle w:val="Compact"/>
        <w:numPr>
          <w:ilvl w:val="0"/>
          <w:numId w:val="1015"/>
        </w:numPr>
      </w:pPr>
      <w:r>
        <w:t xml:space="preserve">This study does not propose a new ensemble algorithm, so a leaderboard-style</w:t>
      </w:r>
      <w:r>
        <w:t xml:space="preserve"> </w:t>
      </w:r>
      <w:r>
        <w:t xml:space="preserve">task-performance comparison with existing ensemble methods would address a different</w:t>
      </w:r>
      <w:r>
        <w:t xml:space="preserve"> </w:t>
      </w:r>
      <w:r>
        <w:t xml:space="preserve">question. Prior work typically evaluates mixture-of-agents, debate, or ensemble-selection</w:t>
      </w:r>
      <w:r>
        <w:t xml:space="preserve"> </w:t>
      </w:r>
      <w:r>
        <w:t xml:space="preserve">methods through downstream performance, whereas we hold the task, prompt, information set,</w:t>
      </w:r>
      <w:r>
        <w:t xml:space="preserve"> </w:t>
      </w:r>
      <w:r>
        <w:t xml:space="preserve">and aggregation rule fixed and study how ensemble composition relates to agreement, error</w:t>
      </w:r>
      <w:r>
        <w:t xml:space="preserve"> </w:t>
      </w:r>
      <w:r>
        <w:t xml:space="preserve">dependence, and cost.</w:t>
      </w:r>
    </w:p>
    <w:p>
      <w:pPr>
        <w:pStyle w:val="Compact"/>
        <w:numPr>
          <w:ilvl w:val="0"/>
          <w:numId w:val="1015"/>
        </w:numPr>
      </w:pPr>
      <w:r>
        <w:t xml:space="preserve">The appropriate comparison is therefore methodological: our framework separates output</w:t>
      </w:r>
      <w:r>
        <w:t xml:space="preserve"> </w:t>
      </w:r>
      <w:r>
        <w:t xml:space="preserve">agreement from error correlation, controls the shared-seed artifact, quantifies statistical</w:t>
      </w:r>
      <w:r>
        <w:t xml:space="preserve"> </w:t>
      </w:r>
      <w:r>
        <w:t xml:space="preserve">uncertainty, and incorporates inference cost.</w:t>
      </w:r>
    </w:p>
    <w:p>
      <w:pPr>
        <w:pStyle w:val="FirstParagraph"/>
      </w:pPr>
      <w:r>
        <w:rPr>
          <w:b/>
        </w:rPr>
        <w:t xml:space="preserve">Author action:</w:t>
      </w:r>
    </w:p>
    <w:p>
      <w:pPr>
        <w:pStyle w:val="Compact"/>
        <w:numPr>
          <w:ilvl w:val="0"/>
          <w:numId w:val="1016"/>
        </w:numPr>
      </w:pPr>
      <w:r>
        <w:t xml:space="preserve">Section V-M,</w:t>
      </w:r>
      <w:r>
        <w:t xml:space="preserve"> </w:t>
      </w:r>
      <w:r>
        <w:t xml:space="preserve">“Relation to Existing Ensemble Methods,”</w:t>
      </w:r>
      <w:r>
        <w:t xml:space="preserve"> </w:t>
      </w:r>
      <w:r>
        <w:t xml:space="preserve">was added to explain the basis of</w:t>
      </w:r>
      <w:r>
        <w:t xml:space="preserve"> </w:t>
      </w:r>
      <w:r>
        <w:t xml:space="preserve">comparison with existing ensemble approaches.</w:t>
      </w:r>
    </w:p>
    <w:p>
      <w:pPr>
        <w:pStyle w:val="Compact"/>
        <w:numPr>
          <w:ilvl w:val="0"/>
          <w:numId w:val="1016"/>
        </w:numPr>
      </w:pPr>
      <w:r>
        <w:t xml:space="preserve">Section II-A,</w:t>
      </w:r>
      <w:r>
        <w:t xml:space="preserve"> </w:t>
      </w:r>
      <w:r>
        <w:t xml:space="preserve">“LLM Ensembles and Mixture-of-Agents,”</w:t>
      </w:r>
      <w:r>
        <w:t xml:space="preserve"> </w:t>
      </w:r>
      <w:r>
        <w:t xml:space="preserve">provides the corresponding literature</w:t>
      </w:r>
      <w:r>
        <w:t xml:space="preserve"> </w:t>
      </w:r>
      <w:r>
        <w:t xml:space="preserve">context for mixture-of-agents, diversity-based selection, and heterogeneous ensemble</w:t>
      </w:r>
      <w:r>
        <w:t xml:space="preserve"> </w:t>
      </w:r>
      <w:r>
        <w:t xml:space="preserve">approaches.</w:t>
      </w:r>
    </w:p>
    <w:p>
      <w:pPr>
        <w:pStyle w:val="Compact"/>
        <w:numPr>
          <w:ilvl w:val="0"/>
          <w:numId w:val="1016"/>
        </w:numPr>
      </w:pPr>
      <w:r>
        <w:t xml:space="preserve">Section V-M,</w:t>
      </w:r>
      <w:r>
        <w:t xml:space="preserve"> </w:t>
      </w:r>
      <w:r>
        <w:t xml:space="preserve">“Relation to Existing Ensemble Methods,”</w:t>
      </w:r>
      <w:r>
        <w:t xml:space="preserve"> </w:t>
      </w:r>
      <w:r>
        <w:t xml:space="preserve">now states the distinction as one of</w:t>
      </w:r>
      <w:r>
        <w:t xml:space="preserve"> </w:t>
      </w:r>
      <w:r>
        <w:t xml:space="preserve">estimand rather than quality: prior aggregation and selection work asks whether a method</w:t>
      </w:r>
      <w:r>
        <w:t xml:space="preserve"> </w:t>
      </w:r>
      <w:r>
        <w:t xml:space="preserve">improves downstream performance, while this study holds the task, prompt, information set</w:t>
      </w:r>
      <w:r>
        <w:t xml:space="preserve"> </w:t>
      </w:r>
      <w:r>
        <w:t xml:space="preserve">and aggregation rule fixed and asks how ensemble composition relates to agreement, error</w:t>
      </w:r>
      <w:r>
        <w:t xml:space="preserve"> </w:t>
      </w:r>
      <w:r>
        <w:t xml:space="preserve">dependence and cost. It identifies the four methodological axes on which the comparison is</w:t>
      </w:r>
      <w:r>
        <w:t xml:space="preserve"> </w:t>
      </w:r>
      <w:r>
        <w:t xml:space="preserve">appropriate, and cites Kuncheva and Whitaker [17] for the classifier-ensemble result that</w:t>
      </w:r>
      <w:r>
        <w:t xml:space="preserve"> </w:t>
      </w:r>
      <w:r>
        <w:t xml:space="preserve">diversity and accuracy are related but not interchangeable, which is why reduced agreement</w:t>
      </w:r>
      <w:r>
        <w:t xml:space="preserve"> </w:t>
      </w:r>
      <w:r>
        <w:t xml:space="preserve">is not treated here as evidence of improved accuracy.</w:t>
      </w:r>
    </w:p>
    <w:p>
      <w:pPr>
        <w:pStyle w:val="FirstParagraph"/>
      </w:pPr>
      <w:r>
        <w:rPr>
          <w:b/>
          <w:color w:val="008000"/>
        </w:rPr>
        <w:t xml:space="preserve">Reviewer #3, Concern #1</w:t>
      </w:r>
    </w:p>
    <w:p>
      <w:pPr>
        <w:pStyle w:val="BodyText"/>
      </w:pPr>
      <w:r>
        <w:rPr>
          <w:b/>
          <w:color w:val="008000"/>
        </w:rPr>
        <w:t xml:space="preserve">Reviewer comment:</w:t>
      </w:r>
    </w:p>
    <w:p>
      <w:pPr>
        <w:pStyle w:val="BodyText"/>
      </w:pPr>
      <w:r>
        <w:rPr>
          <w:color w:val="008000"/>
        </w:rPr>
        <w:t xml:space="preserve">The present experiment confounds provider, model identity, capability, training data,</w:t>
      </w:r>
      <w:r>
        <w:rPr>
          <w:color w:val="008000"/>
        </w:rPr>
        <w:t xml:space="preserve"> </w:t>
      </w:r>
      <w:r>
        <w:rPr>
          <w:color w:val="008000"/>
        </w:rPr>
        <w:t xml:space="preserve">architecture, and alignment. Add same-provider/different-model controls, more than one model per</w:t>
      </w:r>
      <w:r>
        <w:rPr>
          <w:color w:val="008000"/>
        </w:rPr>
        <w:t xml:space="preserve"> </w:t>
      </w:r>
      <w:r>
        <w:rPr>
          <w:color w:val="008000"/>
        </w:rPr>
        <w:t xml:space="preserve">provider, balanced provider mixtures, and preferably a factorial analysis; otherwise rewrite all</w:t>
      </w:r>
      <w:r>
        <w:rPr>
          <w:color w:val="008000"/>
        </w:rPr>
        <w:t xml:space="preserve"> </w:t>
      </w:r>
      <w:r>
        <w:rPr>
          <w:color w:val="008000"/>
        </w:rPr>
        <w:t xml:space="preserve">causal/provider-specific claims as configuration-specific observational findings.</w:t>
      </w:r>
    </w:p>
    <w:p>
      <w:pPr>
        <w:pStyle w:val="BodyText"/>
      </w:pPr>
      <w:r>
        <w:rPr>
          <w:b/>
        </w:rPr>
        <w:t xml:space="preserve">Author response:</w:t>
      </w:r>
    </w:p>
    <w:p>
      <w:pPr>
        <w:pStyle w:val="Compact"/>
        <w:numPr>
          <w:ilvl w:val="0"/>
          <w:numId w:val="1017"/>
        </w:numPr>
      </w:pPr>
      <w:r>
        <w:t xml:space="preserve">We agree that provider is not experimentally separable from model identity, capability,</w:t>
      </w:r>
      <w:r>
        <w:t xml:space="preserve"> </w:t>
      </w:r>
      <w:r>
        <w:t xml:space="preserve">training data, architecture, alignment procedure, and other model-specific characteristics</w:t>
      </w:r>
      <w:r>
        <w:t xml:space="preserve"> </w:t>
      </w:r>
      <w:r>
        <w:t xml:space="preserve">in the primary design. We therefore interpret the comparisons as configuration-specific</w:t>
      </w:r>
      <w:r>
        <w:t xml:space="preserve"> </w:t>
      </w:r>
      <w:r>
        <w:t xml:space="preserve">observational findings rather than isolated causal provider effects.</w:t>
      </w:r>
    </w:p>
    <w:p>
      <w:pPr>
        <w:pStyle w:val="Compact"/>
        <w:numPr>
          <w:ilvl w:val="0"/>
          <w:numId w:val="1017"/>
        </w:numPr>
      </w:pPr>
      <w:r>
        <w:t xml:space="preserve">The pre-registered financial capability control preserves approximately 94% of the primary</w:t>
      </w:r>
      <w:r>
        <w:t xml:space="preserve"> </w:t>
      </w:r>
      <w:r>
        <w:t xml:space="preserve">agreement contrast under approximate tier matching, and the clinical replication provides an</w:t>
      </w:r>
      <w:r>
        <w:t xml:space="preserve"> </w:t>
      </w:r>
      <w:r>
        <w:t xml:space="preserve">additional approximate capability-matched comparison with similar member accuracy but</w:t>
      </w:r>
      <w:r>
        <w:t xml:space="preserve"> </w:t>
      </w:r>
      <w:r>
        <w:t xml:space="preserve">substantially different error correlation.</w:t>
      </w:r>
    </w:p>
    <w:p>
      <w:pPr>
        <w:pStyle w:val="Compact"/>
        <w:numPr>
          <w:ilvl w:val="0"/>
          <w:numId w:val="1017"/>
        </w:numPr>
      </w:pPr>
      <w:r>
        <w:t xml:space="preserve">These controls narrow the capability confound but do not identify provider as an independent</w:t>
      </w:r>
      <w:r>
        <w:t xml:space="preserve"> </w:t>
      </w:r>
      <w:r>
        <w:t xml:space="preserve">causal factor.</w:t>
      </w:r>
    </w:p>
    <w:p>
      <w:pPr>
        <w:pStyle w:val="FirstParagraph"/>
      </w:pPr>
      <w:r>
        <w:rPr>
          <w:b/>
        </w:rPr>
        <w:t xml:space="preserve">Author action:</w:t>
      </w:r>
    </w:p>
    <w:p>
      <w:pPr>
        <w:pStyle w:val="Compact"/>
        <w:numPr>
          <w:ilvl w:val="0"/>
          <w:numId w:val="1018"/>
        </w:numPr>
      </w:pPr>
      <w:r>
        <w:t xml:space="preserve">Section V-F,</w:t>
      </w:r>
      <w:r>
        <w:t xml:space="preserve"> </w:t>
      </w:r>
      <w:r>
        <w:t xml:space="preserve">“Provider-Pair Agreement,”</w:t>
      </w:r>
      <w:r>
        <w:t xml:space="preserve"> </w:t>
      </w:r>
      <w:r>
        <w:t xml:space="preserve">was rewritten as a configuration-specific</w:t>
      </w:r>
      <w:r>
        <w:t xml:space="preserve"> </w:t>
      </w:r>
      <w:r>
        <w:t xml:space="preserve">observational analysis and now states explicitly that provider is bundled with other model</w:t>
      </w:r>
      <w:r>
        <w:t xml:space="preserve"> </w:t>
      </w:r>
      <w:r>
        <w:t xml:space="preserve">characteristics.</w:t>
      </w:r>
    </w:p>
    <w:p>
      <w:pPr>
        <w:pStyle w:val="Compact"/>
        <w:numPr>
          <w:ilvl w:val="0"/>
          <w:numId w:val="1018"/>
        </w:numPr>
      </w:pPr>
      <w:r>
        <w:t xml:space="preserve">Section V-J,</w:t>
      </w:r>
      <w:r>
        <w:t xml:space="preserve"> </w:t>
      </w:r>
      <w:r>
        <w:t xml:space="preserve">“Cross-Domain Replication: Clinical Knowledge,”</w:t>
      </w:r>
      <w:r>
        <w:t xml:space="preserve"> </w:t>
      </w:r>
      <w:r>
        <w:t xml:space="preserve">is new in this revision and</w:t>
      </w:r>
      <w:r>
        <w:t xml:space="preserve"> </w:t>
      </w:r>
      <w:r>
        <w:t xml:space="preserve">includes the approximate capability-matched same-provider versus cross-provider comparison.</w:t>
      </w:r>
    </w:p>
    <w:p>
      <w:pPr>
        <w:pStyle w:val="Compact"/>
        <w:numPr>
          <w:ilvl w:val="0"/>
          <w:numId w:val="1018"/>
        </w:numPr>
      </w:pPr>
      <w:r>
        <w:t xml:space="preserve">Section V-K,</w:t>
      </w:r>
      <w:r>
        <w:t xml:space="preserve"> </w:t>
      </w:r>
      <w:r>
        <w:t xml:space="preserve">“Robustness: Capability-Matched Control,”</w:t>
      </w:r>
      <w:r>
        <w:t xml:space="preserve"> </w:t>
      </w:r>
      <w:r>
        <w:t xml:space="preserve">retains the pre-registered financial</w:t>
      </w:r>
      <w:r>
        <w:t xml:space="preserve"> </w:t>
      </w:r>
      <w:r>
        <w:t xml:space="preserve">capability control.</w:t>
      </w:r>
    </w:p>
    <w:p>
      <w:pPr>
        <w:pStyle w:val="Compact"/>
        <w:numPr>
          <w:ilvl w:val="0"/>
          <w:numId w:val="1018"/>
        </w:numPr>
      </w:pPr>
      <w:r>
        <w:t xml:space="preserve">Section VII,</w:t>
      </w:r>
      <w:r>
        <w:t xml:space="preserve"> </w:t>
      </w:r>
      <w:r>
        <w:t xml:space="preserve">“Threats to Validity,”</w:t>
      </w:r>
      <w:r>
        <w:t xml:space="preserve"> </w:t>
      </w:r>
      <w:r>
        <w:t xml:space="preserve">subsection</w:t>
      </w:r>
      <w:r>
        <w:t xml:space="preserve"> </w:t>
      </w:r>
      <w:r>
        <w:t xml:space="preserve">“Heterogeneity vs. capability confound,”</w:t>
      </w:r>
      <w:r>
        <w:t xml:space="preserve"> </w:t>
      </w:r>
      <w:r>
        <w:t xml:space="preserve">was</w:t>
      </w:r>
      <w:r>
        <w:t xml:space="preserve"> </w:t>
      </w:r>
      <w:r>
        <w:t xml:space="preserve">revised to state explicitly that provider cannot be isolated causally in the present design.</w:t>
      </w:r>
    </w:p>
    <w:p>
      <w:pPr>
        <w:pStyle w:val="Compact"/>
        <w:numPr>
          <w:ilvl w:val="0"/>
          <w:numId w:val="1018"/>
        </w:numPr>
      </w:pPr>
      <w:r>
        <w:t xml:space="preserve">Causal attribution to provider has been removed throughout rather than only in the</w:t>
      </w:r>
      <w:r>
        <w:t xml:space="preserve"> </w:t>
      </w:r>
      <w:r>
        <w:t xml:space="preserve">provider-pair subsection. The Abstract, Introduction, the metrics definition, Section V-A,</w:t>
      </w:r>
      <w:r>
        <w:t xml:space="preserve"> </w:t>
      </w:r>
      <w:r>
        <w:t xml:space="preserve">the Discussion and the Conclusion now describe an association across the evaluated</w:t>
      </w:r>
      <w:r>
        <w:t xml:space="preserve"> </w:t>
      </w:r>
      <w:r>
        <w:t xml:space="preserve">configurations. The phrase</w:t>
      </w:r>
      <w:r>
        <w:t xml:space="preserve"> </w:t>
      </w:r>
      <w:r>
        <w:t xml:space="preserve">“capability differences alone do not explain the observed</w:t>
      </w:r>
      <w:r>
        <w:t xml:space="preserve"> </w:t>
      </w:r>
      <w:r>
        <w:t xml:space="preserve">contrast”</w:t>
      </w:r>
      <w:r>
        <w:t xml:space="preserve"> </w:t>
      </w:r>
      <w:r>
        <w:t xml:space="preserve">has been replaced in all three places it appeared with the statement that the</w:t>
      </w:r>
      <w:r>
        <w:t xml:space="preserve"> </w:t>
      </w:r>
      <w:r>
        <w:t xml:space="preserve">contrast remains substantial under approximate capability matching, although that control</w:t>
      </w:r>
      <w:r>
        <w:t xml:space="preserve"> </w:t>
      </w:r>
      <w:r>
        <w:t xml:space="preserve">does not isolate provider from other model-specific characteristics.</w:t>
      </w:r>
    </w:p>
    <w:p>
      <w:pPr>
        <w:pStyle w:val="FirstParagraph"/>
      </w:pPr>
      <w:r>
        <w:rPr>
          <w:b/>
          <w:color w:val="008000"/>
        </w:rPr>
        <w:t xml:space="preserve">Reviewer #3, Concern #2</w:t>
      </w:r>
    </w:p>
    <w:p>
      <w:pPr>
        <w:pStyle w:val="BodyText"/>
      </w:pPr>
      <w:r>
        <w:rPr>
          <w:b/>
          <w:color w:val="008000"/>
        </w:rPr>
        <w:t xml:space="preserve">Reviewer comment:</w:t>
      </w:r>
    </w:p>
    <w:p>
      <w:pPr>
        <w:pStyle w:val="BodyText"/>
      </w:pPr>
      <w:r>
        <w:rPr>
          <w:color w:val="008000"/>
        </w:rPr>
        <w:t xml:space="preserve">Recompute uncertainty while accounting for both repeated observations within equities and shared</w:t>
      </w:r>
      <w:r>
        <w:rPr>
          <w:color w:val="008000"/>
        </w:rPr>
        <w:t xml:space="preserve"> </w:t>
      </w:r>
      <w:r>
        <w:rPr>
          <w:color w:val="008000"/>
        </w:rPr>
        <w:t xml:space="preserve">analysis dates/common market conditions. Justify the bootstrap unit formally, evaluate two-way</w:t>
      </w:r>
      <w:r>
        <w:rPr>
          <w:color w:val="008000"/>
        </w:rPr>
        <w:t xml:space="preserve"> </w:t>
      </w:r>
      <w:r>
        <w:rPr>
          <w:color w:val="008000"/>
        </w:rPr>
        <w:t xml:space="preserve">equity/date clustering or an appropriate multiway resampling strategy, and regenerate all main and</w:t>
      </w:r>
      <w:r>
        <w:rPr>
          <w:color w:val="008000"/>
        </w:rPr>
        <w:t xml:space="preserve"> </w:t>
      </w:r>
      <w:r>
        <w:rPr>
          <w:color w:val="008000"/>
        </w:rPr>
        <w:t xml:space="preserve">exploratory confidence intervals accordingly.</w:t>
      </w:r>
    </w:p>
    <w:p>
      <w:pPr>
        <w:pStyle w:val="BodyText"/>
      </w:pPr>
      <w:r>
        <w:rPr>
          <w:b/>
        </w:rPr>
        <w:t xml:space="preserve">Author response:</w:t>
      </w:r>
    </w:p>
    <w:p>
      <w:pPr>
        <w:pStyle w:val="Compact"/>
        <w:numPr>
          <w:ilvl w:val="0"/>
          <w:numId w:val="1019"/>
        </w:numPr>
      </w:pPr>
      <w:r>
        <w:t xml:space="preserve">Equity remains the pre-registered primary resampling unit because observations are repeated</w:t>
      </w:r>
      <w:r>
        <w:t xml:space="preserve"> </w:t>
      </w:r>
      <w:r>
        <w:t xml:space="preserve">within securities, while analysis date is a crossed dependence dimension because all</w:t>
      </w:r>
      <w:r>
        <w:t xml:space="preserve"> </w:t>
      </w:r>
      <w:r>
        <w:t xml:space="preserve">securities evaluated on the same date share market conditions. We therefore independently</w:t>
      </w:r>
      <w:r>
        <w:t xml:space="preserve"> </w:t>
      </w:r>
      <w:r>
        <w:t xml:space="preserve">resample equities and dates with replacement, preserving multiplicity on both margins.</w:t>
      </w:r>
    </w:p>
    <w:p>
      <w:pPr>
        <w:pStyle w:val="Compact"/>
        <w:numPr>
          <w:ilvl w:val="0"/>
          <w:numId w:val="1019"/>
        </w:numPr>
      </w:pPr>
      <w:r>
        <w:t xml:space="preserve">The primary HOM-HET contrast remains Δκ = 0.3363, with 95% intervals of [0.3035, 0.3689]</w:t>
      </w:r>
      <w:r>
        <w:t xml:space="preserve"> </w:t>
      </w:r>
      <w:r>
        <w:t xml:space="preserve">under equity clustering, [0.2989, 0.3656] under date clustering, and [0.2786, 0.3877] under</w:t>
      </w:r>
      <w:r>
        <w:t xml:space="preserve"> </w:t>
      </w:r>
      <w:r>
        <w:t xml:space="preserve">two-way resampling. All pre-registered secondary and exploratory inferential contrasts were</w:t>
      </w:r>
      <w:r>
        <w:t xml:space="preserve"> </w:t>
      </w:r>
      <w:r>
        <w:t xml:space="preserve">regenerated under the appropriate scheme, and no substantive conclusion changes.</w:t>
      </w:r>
    </w:p>
    <w:p>
      <w:pPr>
        <w:pStyle w:val="Compact"/>
        <w:numPr>
          <w:ilvl w:val="0"/>
          <w:numId w:val="1019"/>
        </w:numPr>
      </w:pPr>
      <w:r>
        <w:t xml:space="preserve">The temperature analysis remains equity-clustered because its two analysis dates are</w:t>
      </w:r>
      <w:r>
        <w:t xml:space="preserve"> </w:t>
      </w:r>
      <w:r>
        <w:t xml:space="preserve">insufficient for two-way inference; the clinical replication instead resamples MMLU items</w:t>
      </w:r>
      <w:r>
        <w:t xml:space="preserve"> </w:t>
      </w:r>
      <w:r>
        <w:t xml:space="preserve">because the financial equity-date structure does not apply.</w:t>
      </w:r>
    </w:p>
    <w:p>
      <w:pPr>
        <w:pStyle w:val="Compact"/>
        <w:numPr>
          <w:ilvl w:val="0"/>
          <w:numId w:val="1019"/>
        </w:numPr>
      </w:pPr>
      <w:r>
        <w:t xml:space="preserve">During this revision we also identified and corrected an implementation that had collapsed</w:t>
      </w:r>
      <w:r>
        <w:t xml:space="preserve"> </w:t>
      </w:r>
      <w:r>
        <w:t xml:space="preserve">repeated sampled equities to a set, thereby losing bootstrap multiplicity and understating</w:t>
      </w:r>
      <w:r>
        <w:t xml:space="preserve"> </w:t>
      </w:r>
      <w:r>
        <w:t xml:space="preserve">variance. The corrected code preserves multiplicity on both margins and now asserts this</w:t>
      </w:r>
      <w:r>
        <w:t xml:space="preserve"> </w:t>
      </w:r>
      <w:r>
        <w:t xml:space="preserve">property automatically.</w:t>
      </w:r>
    </w:p>
    <w:p>
      <w:pPr>
        <w:pStyle w:val="FirstParagraph"/>
      </w:pPr>
      <w:r>
        <w:rPr>
          <w:b/>
        </w:rPr>
        <w:t xml:space="preserve">Author action:</w:t>
      </w:r>
    </w:p>
    <w:p>
      <w:pPr>
        <w:pStyle w:val="Compact"/>
        <w:numPr>
          <w:ilvl w:val="0"/>
          <w:numId w:val="1020"/>
        </w:numPr>
      </w:pPr>
      <w:r>
        <w:t xml:space="preserve">Section III-D,</w:t>
      </w:r>
      <w:r>
        <w:t xml:space="preserve"> </w:t>
      </w:r>
      <w:r>
        <w:t xml:space="preserve">“Uncertainty Quantification,”</w:t>
      </w:r>
      <w:r>
        <w:t xml:space="preserve"> </w:t>
      </w:r>
      <w:r>
        <w:t xml:space="preserve">justifies equity as the primary cluster,</w:t>
      </w:r>
      <w:r>
        <w:t xml:space="preserve"> </w:t>
      </w:r>
      <w:r>
        <w:t xml:space="preserve">identifies date as the crossed dimension, and defines the date-clustered and two-way</w:t>
      </w:r>
      <w:r>
        <w:t xml:space="preserve"> </w:t>
      </w:r>
      <w:r>
        <w:t xml:space="preserve">procedures.</w:t>
      </w:r>
    </w:p>
    <w:p>
      <w:pPr>
        <w:pStyle w:val="Compact"/>
        <w:numPr>
          <w:ilvl w:val="0"/>
          <w:numId w:val="1020"/>
        </w:numPr>
      </w:pPr>
      <w:r>
        <w:t xml:space="preserve">Table 5 reports the primary contrast under equity, date, and two-way resampling.</w:t>
      </w:r>
    </w:p>
    <w:p>
      <w:pPr>
        <w:pStyle w:val="Compact"/>
        <w:numPr>
          <w:ilvl w:val="0"/>
          <w:numId w:val="1020"/>
        </w:numPr>
      </w:pPr>
      <w:r>
        <w:t xml:space="preserve">Section V-A,</w:t>
      </w:r>
      <w:r>
        <w:t xml:space="preserve"> </w:t>
      </w:r>
      <w:r>
        <w:t xml:space="preserve">“Heterogeneity and Ensemble Agreement (Primary),”</w:t>
      </w:r>
      <w:r>
        <w:t xml:space="preserve"> </w:t>
      </w:r>
      <w:r>
        <w:t xml:space="preserve">now reports the two-way</w:t>
      </w:r>
      <w:r>
        <w:t xml:space="preserve"> </w:t>
      </w:r>
      <w:r>
        <w:t xml:space="preserve">intervals for both pre-registered secondary contrasts alongside Table 2.</w:t>
      </w:r>
    </w:p>
    <w:p>
      <w:pPr>
        <w:pStyle w:val="Compact"/>
        <w:numPr>
          <w:ilvl w:val="0"/>
          <w:numId w:val="1020"/>
        </w:numPr>
      </w:pPr>
      <w:r>
        <w:t xml:space="preserve">Section V-K,</w:t>
      </w:r>
      <w:r>
        <w:t xml:space="preserve"> </w:t>
      </w:r>
      <w:r>
        <w:t xml:space="preserve">“Robustness: Capability-Matched Control,”</w:t>
      </w:r>
      <w:r>
        <w:t xml:space="preserve"> </w:t>
      </w:r>
      <w:r>
        <w:t xml:space="preserve">now reports the two-way interval for</w:t>
      </w:r>
      <w:r>
        <w:t xml:space="preserve"> </w:t>
      </w:r>
      <w:r>
        <w:t xml:space="preserve">the capability-matched contrast.</w:t>
      </w:r>
    </w:p>
    <w:p>
      <w:pPr>
        <w:pStyle w:val="Compact"/>
        <w:numPr>
          <w:ilvl w:val="0"/>
          <w:numId w:val="1020"/>
        </w:numPr>
      </w:pPr>
      <w:r>
        <w:t xml:space="preserve">Section V-C,</w:t>
      </w:r>
      <w:r>
        <w:t xml:space="preserve"> </w:t>
      </w:r>
      <w:r>
        <w:t xml:space="preserve">“Agreement, Error Correlation, and Decorrelation,”</w:t>
      </w:r>
      <w:r>
        <w:t xml:space="preserve"> </w:t>
      </w:r>
      <w:r>
        <w:t xml:space="preserve">reports two-way intervals</w:t>
      </w:r>
      <w:r>
        <w:t xml:space="preserve"> </w:t>
      </w:r>
      <w:r>
        <w:t xml:space="preserve">for both error-correlation specifications.</w:t>
      </w:r>
    </w:p>
    <w:p>
      <w:pPr>
        <w:pStyle w:val="Compact"/>
        <w:numPr>
          <w:ilvl w:val="0"/>
          <w:numId w:val="1020"/>
        </w:numPr>
      </w:pPr>
      <w:r>
        <w:t xml:space="preserve">Section V-H,</w:t>
      </w:r>
      <w:r>
        <w:t xml:space="preserve"> </w:t>
      </w:r>
      <w:r>
        <w:t xml:space="preserve">“Exploratory Analysis of Consensus Errors,”</w:t>
      </w:r>
      <w:r>
        <w:t xml:space="preserve"> </w:t>
      </w:r>
      <w:r>
        <w:t xml:space="preserve">reports two-way intervals for the</w:t>
      </w:r>
      <w:r>
        <w:t xml:space="preserve"> </w:t>
      </w:r>
      <w:r>
        <w:t xml:space="preserve">unanimous-incorrect ratio and the pile-on contrast.</w:t>
      </w:r>
    </w:p>
    <w:p>
      <w:pPr>
        <w:pStyle w:val="Compact"/>
        <w:numPr>
          <w:ilvl w:val="0"/>
          <w:numId w:val="1020"/>
        </w:numPr>
      </w:pPr>
      <w:r>
        <w:t xml:space="preserve">Section V-I,</w:t>
      </w:r>
      <w:r>
        <w:t xml:space="preserve"> </w:t>
      </w:r>
      <w:r>
        <w:t xml:space="preserve">“Selective Prediction,”</w:t>
      </w:r>
      <w:r>
        <w:t xml:space="preserve"> </w:t>
      </w:r>
      <w:r>
        <w:t xml:space="preserve">reports the two-way AURC interval.</w:t>
      </w:r>
    </w:p>
    <w:p>
      <w:pPr>
        <w:pStyle w:val="Compact"/>
        <w:numPr>
          <w:ilvl w:val="0"/>
          <w:numId w:val="1020"/>
        </w:numPr>
      </w:pPr>
      <w:r>
        <w:t xml:space="preserve">Section V-L,</w:t>
      </w:r>
      <w:r>
        <w:t xml:space="preserve"> </w:t>
      </w:r>
      <w:r>
        <w:t xml:space="preserve">“Robustness: Temperature Sensitivity,”</w:t>
      </w:r>
      <w:r>
        <w:t xml:space="preserve"> </w:t>
      </w:r>
      <w:r>
        <w:t xml:space="preserve">states that the subgrid spans two</w:t>
      </w:r>
      <w:r>
        <w:t xml:space="preserve"> </w:t>
      </w:r>
      <w:r>
        <w:t xml:space="preserve">analysis dates, which is too few clusters for date-clustered or two-way inference, and that</w:t>
      </w:r>
      <w:r>
        <w:t xml:space="preserve"> </w:t>
      </w:r>
      <w:r>
        <w:t xml:space="preserve">the analysis therefore contributes no independent multiway evidence.</w:t>
      </w:r>
    </w:p>
    <w:p>
      <w:pPr>
        <w:pStyle w:val="Compact"/>
        <w:numPr>
          <w:ilvl w:val="0"/>
          <w:numId w:val="1020"/>
        </w:numPr>
      </w:pPr>
      <w:r>
        <w:t xml:space="preserve">Section III-D now gives the methodological precedent for the crossed procedure: the</w:t>
      </w:r>
      <w:r>
        <w:t xml:space="preserve"> </w:t>
      </w:r>
      <w:r>
        <w:t xml:space="preserve">pigeonhole bootstrap [14], which resamples the two margins separately, and the</w:t>
      </w:r>
      <w:r>
        <w:t xml:space="preserve"> </w:t>
      </w:r>
      <w:r>
        <w:t xml:space="preserve">multiway-inference literature for non-nested clustering dimensions [15]. We state</w:t>
      </w:r>
      <w:r>
        <w:t xml:space="preserve"> </w:t>
      </w:r>
      <w:r>
        <w:t xml:space="preserve">explicitly that our procedure is not an implementation of a multiway variance estimator.</w:t>
      </w:r>
    </w:p>
    <w:p>
      <w:pPr>
        <w:pStyle w:val="Compact"/>
        <w:numPr>
          <w:ilvl w:val="0"/>
          <w:numId w:val="1020"/>
        </w:numPr>
      </w:pPr>
      <w:r>
        <w:t xml:space="preserve">Table 5 previously labelled the two-way row</w:t>
      </w:r>
      <w:r>
        <w:t xml:space="preserve"> </w:t>
      </w:r>
      <w:r>
        <w:t xml:space="preserve">“1200 clusters”</w:t>
      </w:r>
      <w:r>
        <w:t xml:space="preserve">, which can be read as 1,200</w:t>
      </w:r>
      <w:r>
        <w:t xml:space="preserve"> </w:t>
      </w:r>
      <w:r>
        <w:t xml:space="preserve">independent clusters. It now reads</w:t>
      </w:r>
      <w:r>
        <w:t xml:space="preserve"> </w:t>
      </w:r>
      <w:r>
        <w:t xml:space="preserve">“100 x 12”</w:t>
      </w:r>
      <w:r>
        <w:t xml:space="preserve"> </w:t>
      </w:r>
      <w:r>
        <w:t xml:space="preserve">under a</w:t>
      </w:r>
      <w:r>
        <w:t xml:space="preserve"> </w:t>
      </w:r>
      <w:r>
        <w:t xml:space="preserve">“Resampled units”</w:t>
      </w:r>
      <w:r>
        <w:t xml:space="preserve"> </w:t>
      </w:r>
      <w:r>
        <w:t xml:space="preserve">column. The point</w:t>
      </w:r>
      <w:r>
        <w:t xml:space="preserve"> </w:t>
      </w:r>
      <w:r>
        <w:t xml:space="preserve">estimate and interval are unchanged.</w:t>
      </w:r>
    </w:p>
    <w:p>
      <w:pPr>
        <w:pStyle w:val="Compact"/>
        <w:numPr>
          <w:ilvl w:val="0"/>
          <w:numId w:val="1020"/>
        </w:numPr>
      </w:pPr>
      <w:r>
        <w:t xml:space="preserve">References [14], Owen’s pigeonhole bootstrap, and [15], Cameron, Gelbach and Miller on</w:t>
      </w:r>
      <w:r>
        <w:t xml:space="preserve"> </w:t>
      </w:r>
      <w:r>
        <w:t xml:space="preserve">multiway clustering, were added to the reference list as the methodological precedent for</w:t>
      </w:r>
      <w:r>
        <w:t xml:space="preserve"> </w:t>
      </w:r>
      <w:r>
        <w:t xml:space="preserve">the crossed resampling procedure.</w:t>
      </w:r>
    </w:p>
    <w:p>
      <w:pPr>
        <w:pStyle w:val="FirstParagraph"/>
      </w:pPr>
      <w:r>
        <w:rPr>
          <w:b/>
          <w:color w:val="008000"/>
        </w:rPr>
        <w:t xml:space="preserve">Reviewer #3, Concern #3</w:t>
      </w:r>
    </w:p>
    <w:p>
      <w:pPr>
        <w:pStyle w:val="BodyText"/>
      </w:pPr>
      <w:r>
        <w:rPr>
          <w:b/>
          <w:color w:val="008000"/>
        </w:rPr>
        <w:t xml:space="preserve">Reviewer comment:</w:t>
      </w:r>
    </w:p>
    <w:p>
      <w:pPr>
        <w:pStyle w:val="BodyText"/>
      </w:pPr>
      <w:r>
        <w:rPr>
          <w:color w:val="008000"/>
        </w:rPr>
        <w:t xml:space="preserve">Fleiss’ kappa measures agreement, not correlation. Either remove</w:t>
      </w:r>
      <w:r>
        <w:rPr>
          <w:color w:val="008000"/>
        </w:rPr>
        <w:t xml:space="preserve"> </w:t>
      </w:r>
      <w:r>
        <w:rPr>
          <w:color w:val="008000"/>
        </w:rPr>
        <w:t xml:space="preserve">“de-correlation”</w:t>
      </w:r>
      <w:r>
        <w:rPr>
          <w:color w:val="008000"/>
        </w:rPr>
        <w:t xml:space="preserve">/</w:t>
      </w:r>
      <w:r>
        <w:rPr>
          <w:color w:val="008000"/>
        </w:rPr>
        <w:t xml:space="preserve">“less-correlated</w:t>
      </w:r>
      <w:r>
        <w:rPr>
          <w:color w:val="008000"/>
        </w:rPr>
        <w:t xml:space="preserve"> </w:t>
      </w:r>
      <w:r>
        <w:rPr>
          <w:color w:val="008000"/>
        </w:rPr>
        <w:t xml:space="preserve">judgments”</w:t>
      </w:r>
      <w:r>
        <w:rPr>
          <w:color w:val="008000"/>
        </w:rPr>
        <w:t xml:space="preserve"> </w:t>
      </w:r>
      <w:r>
        <w:rPr>
          <w:color w:val="008000"/>
        </w:rPr>
        <w:t xml:space="preserve">throughout the title, abstract, figures, discussion, and conclusion, or add actual</w:t>
      </w:r>
      <w:r>
        <w:rPr>
          <w:color w:val="008000"/>
        </w:rPr>
        <w:t xml:space="preserve"> </w:t>
      </w:r>
      <w:r>
        <w:rPr>
          <w:color w:val="008000"/>
        </w:rPr>
        <w:t xml:space="preserve">dependence/error-correlation analyses that justify those terms. Explicitly distinguish output</w:t>
      </w:r>
      <w:r>
        <w:rPr>
          <w:color w:val="008000"/>
        </w:rPr>
        <w:t xml:space="preserve"> </w:t>
      </w:r>
      <w:r>
        <w:rPr>
          <w:color w:val="008000"/>
        </w:rPr>
        <w:t xml:space="preserve">agreement, error correlation, sampling independence, model diversity, and provider diversity.</w:t>
      </w:r>
    </w:p>
    <w:p>
      <w:pPr>
        <w:pStyle w:val="BodyText"/>
      </w:pPr>
      <w:r>
        <w:rPr>
          <w:b/>
        </w:rPr>
        <w:t xml:space="preserve">Author response:</w:t>
      </w:r>
    </w:p>
    <w:p>
      <w:pPr>
        <w:pStyle w:val="Compact"/>
        <w:numPr>
          <w:ilvl w:val="0"/>
          <w:numId w:val="1021"/>
        </w:numPr>
      </w:pPr>
      <w:r>
        <w:t xml:space="preserve">We took the reviewer’s second option and now measure error dependence directly using φ</w:t>
      </w:r>
      <w:r>
        <w:t xml:space="preserve"> </w:t>
      </w:r>
      <w:r>
        <w:t xml:space="preserve">correlations between paired binary error indicators. Error correlation decreases from 0.984</w:t>
      </w:r>
      <w:r>
        <w:t xml:space="preserve"> </w:t>
      </w:r>
      <w:r>
        <w:t xml:space="preserve">for HOM to 0.742 for HET-LITE and 0.530 for HET, giving a HOM-HET contrast of 0.454 (95% CI</w:t>
      </w:r>
      <w:r>
        <w:t xml:space="preserve"> </w:t>
      </w:r>
      <w:r>
        <w:t xml:space="preserve">[0.376, 0.534]; two-way [0.328, 0.586]).</w:t>
      </w:r>
    </w:p>
    <w:p>
      <w:pPr>
        <w:pStyle w:val="Compact"/>
        <w:numPr>
          <w:ilvl w:val="0"/>
          <w:numId w:val="1021"/>
        </w:numPr>
      </w:pPr>
      <w:r>
        <w:t xml:space="preserve">Counting HOLD as an error to hold the evaluated subset fixed gives the same ordering, with a</w:t>
      </w:r>
      <w:r>
        <w:t xml:space="preserve"> </w:t>
      </w:r>
      <w:r>
        <w:t xml:space="preserve">HOM-HET contrast of 0.309 (95% CI [0.262, 0.354]; two-way [0.227, 0.387]). Mean per-agent</w:t>
      </w:r>
      <w:r>
        <w:t xml:space="preserve"> </w:t>
      </w:r>
      <w:r>
        <w:t xml:space="preserve">error rates remain similar, so the reduction reflects lower error dependence rather than</w:t>
      </w:r>
      <w:r>
        <w:t xml:space="preserve"> </w:t>
      </w:r>
      <w:r>
        <w:t xml:space="preserve">differences in average correctness.</w:t>
      </w:r>
    </w:p>
    <w:p>
      <w:pPr>
        <w:pStyle w:val="Compact"/>
        <w:numPr>
          <w:ilvl w:val="0"/>
          <w:numId w:val="1021"/>
        </w:numPr>
      </w:pPr>
      <w:r>
        <w:t xml:space="preserve">The manuscript now explicitly distinguishes output agreement, error correlation, sampling</w:t>
      </w:r>
      <w:r>
        <w:t xml:space="preserve"> </w:t>
      </w:r>
      <w:r>
        <w:t xml:space="preserve">independence, model diversity, and provider diversity;</w:t>
      </w:r>
      <w:r>
        <w:t xml:space="preserve"> </w:t>
      </w:r>
      <w:r>
        <w:t xml:space="preserve">“de-correlation”</w:t>
      </w:r>
      <w:r>
        <w:t xml:space="preserve"> </w:t>
      </w:r>
      <w:r>
        <w:t xml:space="preserve">refers specifically</w:t>
      </w:r>
      <w:r>
        <w:t xml:space="preserve"> </w:t>
      </w:r>
      <w:r>
        <w:t xml:space="preserve">to reduced error correlation measured by φ, while κ measures categorical agreement.</w:t>
      </w:r>
    </w:p>
    <w:p>
      <w:pPr>
        <w:pStyle w:val="FirstParagraph"/>
      </w:pPr>
      <w:r>
        <w:rPr>
          <w:b/>
        </w:rPr>
        <w:t xml:space="preserve">Author action:</w:t>
      </w:r>
    </w:p>
    <w:p>
      <w:pPr>
        <w:pStyle w:val="Compact"/>
        <w:numPr>
          <w:ilvl w:val="0"/>
          <w:numId w:val="1022"/>
        </w:numPr>
      </w:pPr>
      <w:r>
        <w:t xml:space="preserve">Section V-C,</w:t>
      </w:r>
      <w:r>
        <w:t xml:space="preserve"> </w:t>
      </w:r>
      <w:r>
        <w:t xml:space="preserve">“Agreement, Error Correlation, and Decorrelation,”</w:t>
      </w:r>
      <w:r>
        <w:t xml:space="preserve"> </w:t>
      </w:r>
      <w:r>
        <w:t xml:space="preserve">was added to define the five</w:t>
      </w:r>
      <w:r>
        <w:t xml:space="preserve"> </w:t>
      </w:r>
      <w:r>
        <w:t xml:space="preserve">concepts and report the φ analysis under both treatments of HOLD.</w:t>
      </w:r>
    </w:p>
    <w:p>
      <w:pPr>
        <w:pStyle w:val="Compact"/>
        <w:numPr>
          <w:ilvl w:val="0"/>
          <w:numId w:val="1022"/>
        </w:numPr>
      </w:pPr>
      <w:r>
        <w:t xml:space="preserve">Section V-A was retitled</w:t>
      </w:r>
      <w:r>
        <w:t xml:space="preserve"> </w:t>
      </w:r>
      <w:r>
        <w:t xml:space="preserve">“Heterogeneity and Ensemble Agreement (Primary)”</w:t>
      </w:r>
      <w:r>
        <w:t xml:space="preserve"> </w:t>
      </w:r>
      <w:r>
        <w:t xml:space="preserve">so that the κ</w:t>
      </w:r>
      <w:r>
        <w:t xml:space="preserve"> </w:t>
      </w:r>
      <w:r>
        <w:t xml:space="preserve">result is named as an agreement result and the heading itself carries no causal verb.</w:t>
      </w:r>
    </w:p>
    <w:p>
      <w:pPr>
        <w:pStyle w:val="Compact"/>
        <w:numPr>
          <w:ilvl w:val="0"/>
          <w:numId w:val="1022"/>
        </w:numPr>
      </w:pPr>
      <w:r>
        <w:t xml:space="preserve">The Abstract was revised to report the φ contrast alongside the κ contrast and to</w:t>
      </w:r>
      <w:r>
        <w:t xml:space="preserve"> </w:t>
      </w:r>
      <w:r>
        <w:t xml:space="preserve">distinguish reduced error dependence from reduced agreement.</w:t>
      </w:r>
    </w:p>
    <w:p>
      <w:pPr>
        <w:pStyle w:val="Compact"/>
        <w:numPr>
          <w:ilvl w:val="0"/>
          <w:numId w:val="1022"/>
        </w:numPr>
      </w:pPr>
      <w:r>
        <w:t xml:space="preserve">Section VI,</w:t>
      </w:r>
      <w:r>
        <w:t xml:space="preserve"> </w:t>
      </w:r>
      <w:r>
        <w:t xml:space="preserve">“Discussion,”</w:t>
      </w:r>
      <w:r>
        <w:t xml:space="preserve"> </w:t>
      </w:r>
      <w:r>
        <w:t xml:space="preserve">and Section VIII,</w:t>
      </w:r>
      <w:r>
        <w:t xml:space="preserve"> </w:t>
      </w:r>
      <w:r>
        <w:t xml:space="preserve">“Conclusion,”</w:t>
      </w:r>
      <w:r>
        <w:t xml:space="preserve"> </w:t>
      </w:r>
      <w:r>
        <w:t xml:space="preserve">were revised so that decorrelation</w:t>
      </w:r>
      <w:r>
        <w:t xml:space="preserve"> </w:t>
      </w:r>
      <w:r>
        <w:t xml:space="preserve">claims refer to error dependence rather than categorical agreement. The Conclusion now</w:t>
      </w:r>
      <w:r>
        <w:t xml:space="preserve"> </w:t>
      </w:r>
      <w:r>
        <w:t xml:space="preserve">states that model diversity can reduce both output agreement and error correlation.</w:t>
      </w:r>
    </w:p>
    <w:p>
      <w:pPr>
        <w:pStyle w:val="Compact"/>
        <w:numPr>
          <w:ilvl w:val="0"/>
          <w:numId w:val="1022"/>
        </w:numPr>
      </w:pPr>
      <w:r>
        <w:t xml:space="preserve">Section V-C now states the phi computation exactly as implemented: within each</w:t>
      </w:r>
      <w:r>
        <w:t xml:space="preserve"> </w:t>
      </w:r>
      <w:r>
        <w:t xml:space="preserve">(configuration, equity, date, run) cell we form, for every unordered pair of agent</w:t>
      </w:r>
      <w:r>
        <w:t xml:space="preserve"> </w:t>
      </w:r>
      <w:r>
        <w:t xml:space="preserve">positions, the pair of binary error indicators against the realized forward-return sign;</w:t>
      </w:r>
      <w:r>
        <w:t xml:space="preserve"> </w:t>
      </w:r>
      <w:r>
        <w:t xml:space="preserve">those pairs are pooled over all cells and all agent-position pairs within a configuration,</w:t>
      </w:r>
      <w:r>
        <w:t xml:space="preserve"> </w:t>
      </w:r>
      <w:r>
        <w:t xml:space="preserve">and phi is the Pearson correlation of the pooled set, so one phi is reported per</w:t>
      </w:r>
      <w:r>
        <w:t xml:space="preserve"> </w:t>
      </w:r>
      <w:r>
        <w:t xml:space="preserve">configuration rather than one per agent pair. The previous wording implied a correlation per</w:t>
      </w:r>
      <w:r>
        <w:t xml:space="preserve"> </w:t>
      </w:r>
      <w:r>
        <w:t xml:space="preserve">pair, which a single paired observation cannot support.</w:t>
      </w:r>
    </w:p>
    <w:p>
      <w:pPr>
        <w:pStyle w:val="Compact"/>
        <w:numPr>
          <w:ilvl w:val="0"/>
          <w:numId w:val="1022"/>
        </w:numPr>
      </w:pPr>
      <w:r>
        <w:t xml:space="preserve">Reference [17], Kuncheva and Whitaker on the relationship between ensemble diversity and</w:t>
      </w:r>
      <w:r>
        <w:t xml:space="preserve"> </w:t>
      </w:r>
      <w:r>
        <w:t xml:space="preserve">accuracy, was added to the reference list to support the separation of reduced error</w:t>
      </w:r>
      <w:r>
        <w:t xml:space="preserve"> </w:t>
      </w:r>
      <w:r>
        <w:t xml:space="preserve">dependence from improved accuracy.</w:t>
      </w:r>
    </w:p>
    <w:p>
      <w:pPr>
        <w:pStyle w:val="FirstParagraph"/>
      </w:pPr>
      <w:r>
        <w:rPr>
          <w:b/>
          <w:color w:val="008000"/>
        </w:rPr>
        <w:t xml:space="preserve">Reviewer #3, Concern #4</w:t>
      </w:r>
    </w:p>
    <w:p>
      <w:pPr>
        <w:pStyle w:val="BodyText"/>
      </w:pPr>
      <w:r>
        <w:rPr>
          <w:b/>
          <w:color w:val="008000"/>
        </w:rPr>
        <w:t xml:space="preserve">Reviewer comment:</w:t>
      </w:r>
    </w:p>
    <w:p>
      <w:pPr>
        <w:pStyle w:val="BodyText"/>
      </w:pPr>
      <w:r>
        <w:rPr>
          <w:color w:val="008000"/>
        </w:rPr>
        <w:t xml:space="preserve">HOLD-induced abstention creates different evaluation subsets across configurations, so the</w:t>
      </w:r>
      <w:r>
        <w:rPr>
          <w:color w:val="008000"/>
        </w:rPr>
        <w:t xml:space="preserve"> </w:t>
      </w:r>
      <w:r>
        <w:rPr>
          <w:color w:val="008000"/>
        </w:rPr>
        <w:t xml:space="preserve">reported hit rates are not directly comparable. Perform a proper selective-prediction/coverage</w:t>
      </w:r>
      <w:r>
        <w:rPr>
          <w:color w:val="008000"/>
        </w:rPr>
        <w:t xml:space="preserve"> </w:t>
      </w:r>
      <w:r>
        <w:rPr>
          <w:color w:val="008000"/>
        </w:rPr>
        <w:t xml:space="preserve">analysis, use paired and clustered inference, provide uncertainty for unanimous-error and pile-on</w:t>
      </w:r>
      <w:r>
        <w:rPr>
          <w:color w:val="008000"/>
        </w:rPr>
        <w:t xml:space="preserve"> </w:t>
      </w:r>
      <w:r>
        <w:rPr>
          <w:color w:val="008000"/>
        </w:rPr>
        <w:t xml:space="preserve">statistics, and stop using overlapping marginal Wilson intervals as the main inferential evidence.</w:t>
      </w:r>
    </w:p>
    <w:p>
      <w:pPr>
        <w:pStyle w:val="BodyText"/>
      </w:pPr>
      <w:r>
        <w:rPr>
          <w:b/>
        </w:rPr>
        <w:t xml:space="preserve">Author response:</w:t>
      </w:r>
    </w:p>
    <w:p>
      <w:pPr>
        <w:pStyle w:val="Compact"/>
        <w:numPr>
          <w:ilvl w:val="0"/>
          <w:numId w:val="1023"/>
        </w:numPr>
      </w:pPr>
      <w:r>
        <w:t xml:space="preserve">We added selective-prediction analysis with paired clustered inference. The HOM-HET AURC</w:t>
      </w:r>
      <w:r>
        <w:t xml:space="preserve"> </w:t>
      </w:r>
      <w:r>
        <w:t xml:space="preserve">difference is -0.001, with an equity-clustered 95% interval of [-0.059, 0.060] and a two-way</w:t>
      </w:r>
      <w:r>
        <w:t xml:space="preserve"> </w:t>
      </w:r>
      <w:r>
        <w:t xml:space="preserve">interval of [-0.113, 0.115], both containing zero.</w:t>
      </w:r>
    </w:p>
    <w:p>
      <w:pPr>
        <w:pStyle w:val="Compact"/>
        <w:numPr>
          <w:ilvl w:val="0"/>
          <w:numId w:val="1023"/>
        </w:numPr>
      </w:pPr>
      <w:r>
        <w:t xml:space="preserve">We also report uncertainty for the exploratory consensus outcomes: the unanimous-incorrect</w:t>
      </w:r>
      <w:r>
        <w:t xml:space="preserve"> </w:t>
      </w:r>
      <w:r>
        <w:t xml:space="preserve">ratio is 1.84 with intervals [1.42, 2.52] and [1.13, 3.06], while the pile-on difference is</w:t>
      </w:r>
      <w:r>
        <w:t xml:space="preserve"> </w:t>
      </w:r>
      <w:r>
        <w:t xml:space="preserve">0.189 with intervals [0.160, 0.216] and [0.140, 0.232] under equity and two-way resampling,</w:t>
      </w:r>
      <w:r>
        <w:t xml:space="preserve"> </w:t>
      </w:r>
      <w:r>
        <w:t xml:space="preserve">respectively.</w:t>
      </w:r>
    </w:p>
    <w:p>
      <w:pPr>
        <w:pStyle w:val="Compact"/>
        <w:numPr>
          <w:ilvl w:val="0"/>
          <w:numId w:val="1023"/>
        </w:numPr>
      </w:pPr>
      <w:r>
        <w:t xml:space="preserve">As a common-subset robustness check, counting HOLD as an error yields a HOM-HET φ contrast</w:t>
      </w:r>
      <w:r>
        <w:t xml:space="preserve"> </w:t>
      </w:r>
      <w:r>
        <w:t xml:space="preserve">of 0.309 with equity and two-way intervals of [0.262, 0.354] and [0.227, 0.387]. Wilson</w:t>
      </w:r>
      <w:r>
        <w:t xml:space="preserve"> </w:t>
      </w:r>
      <w:r>
        <w:t xml:space="preserve">intervals are now retained only as descriptive summaries.</w:t>
      </w:r>
    </w:p>
    <w:p>
      <w:pPr>
        <w:pStyle w:val="FirstParagraph"/>
      </w:pPr>
      <w:r>
        <w:rPr>
          <w:b/>
        </w:rPr>
        <w:t xml:space="preserve">Author action:</w:t>
      </w:r>
    </w:p>
    <w:p>
      <w:pPr>
        <w:pStyle w:val="Compact"/>
        <w:numPr>
          <w:ilvl w:val="0"/>
          <w:numId w:val="1024"/>
        </w:numPr>
      </w:pPr>
      <w:r>
        <w:t xml:space="preserve">Section V-I,</w:t>
      </w:r>
      <w:r>
        <w:t xml:space="preserve"> </w:t>
      </w:r>
      <w:r>
        <w:t xml:space="preserve">“Selective Prediction,”</w:t>
      </w:r>
      <w:r>
        <w:t xml:space="preserve"> </w:t>
      </w:r>
      <w:r>
        <w:t xml:space="preserve">was added to report risk-coverage analysis</w:t>
      </w:r>
      <w:r>
        <w:t xml:space="preserve"> </w:t>
      </w:r>
      <w:r>
        <w:t xml:space="preserve">and paired clustered AURC inference.</w:t>
      </w:r>
    </w:p>
    <w:p>
      <w:pPr>
        <w:pStyle w:val="Compact"/>
        <w:numPr>
          <w:ilvl w:val="0"/>
          <w:numId w:val="1024"/>
        </w:numPr>
      </w:pPr>
      <w:r>
        <w:t xml:space="preserve">Section V-H,</w:t>
      </w:r>
      <w:r>
        <w:t xml:space="preserve"> </w:t>
      </w:r>
      <w:r>
        <w:t xml:space="preserve">“Exploratory Analysis of Consensus Errors,”</w:t>
      </w:r>
      <w:r>
        <w:t xml:space="preserve"> </w:t>
      </w:r>
      <w:r>
        <w:t xml:space="preserve">was revised to report</w:t>
      </w:r>
      <w:r>
        <w:t xml:space="preserve"> </w:t>
      </w:r>
      <w:r>
        <w:t xml:space="preserve">equity-clustered and two-way uncertainty for unanimous incorrect decisions and pile-on.</w:t>
      </w:r>
    </w:p>
    <w:p>
      <w:pPr>
        <w:pStyle w:val="Compact"/>
        <w:numPr>
          <w:ilvl w:val="0"/>
          <w:numId w:val="1024"/>
        </w:numPr>
      </w:pPr>
      <w:r>
        <w:t xml:space="preserve">Section V-C,</w:t>
      </w:r>
      <w:r>
        <w:t xml:space="preserve"> </w:t>
      </w:r>
      <w:r>
        <w:t xml:space="preserve">“Agreement, Error Correlation, and Decorrelation,”</w:t>
      </w:r>
      <w:r>
        <w:t xml:space="preserve"> </w:t>
      </w:r>
      <w:r>
        <w:t xml:space="preserve">is new in this revision and</w:t>
      </w:r>
      <w:r>
        <w:t xml:space="preserve"> </w:t>
      </w:r>
      <w:r>
        <w:t xml:space="preserve">reports the common-subset error-correlation analysis with HOLD counted as an error.</w:t>
      </w:r>
    </w:p>
    <w:p>
      <w:pPr>
        <w:pStyle w:val="Compact"/>
        <w:numPr>
          <w:ilvl w:val="0"/>
          <w:numId w:val="1024"/>
        </w:numPr>
      </w:pPr>
      <w:r>
        <w:t xml:space="preserve">Section V-G,</w:t>
      </w:r>
      <w:r>
        <w:t xml:space="preserve"> </w:t>
      </w:r>
      <w:r>
        <w:t xml:space="preserve">“Secondary Directional-Accuracy Analysis,”</w:t>
      </w:r>
      <w:r>
        <w:t xml:space="preserve"> </w:t>
      </w:r>
      <w:r>
        <w:t xml:space="preserve">retains the directional hit-rate</w:t>
      </w:r>
      <w:r>
        <w:t xml:space="preserve"> </w:t>
      </w:r>
      <w:r>
        <w:t xml:space="preserve">analysis as secondary and does not use overlapping marginal Wilson intervals as the</w:t>
      </w:r>
      <w:r>
        <w:t xml:space="preserve"> </w:t>
      </w:r>
      <w:r>
        <w:t xml:space="preserve">principal inferential evidence.</w:t>
      </w:r>
    </w:p>
    <w:p>
      <w:pPr>
        <w:pStyle w:val="FirstParagraph"/>
      </w:pPr>
      <w:r>
        <w:rPr>
          <w:b/>
          <w:color w:val="008000"/>
        </w:rPr>
        <w:t xml:space="preserve">Reviewer #3, Concern #5</w:t>
      </w:r>
    </w:p>
    <w:p>
      <w:pPr>
        <w:pStyle w:val="BodyText"/>
      </w:pPr>
      <w:r>
        <w:rPr>
          <w:b/>
          <w:color w:val="008000"/>
        </w:rPr>
        <w:t xml:space="preserve">Reviewer comment:</w:t>
      </w:r>
    </w:p>
    <w:p>
      <w:pPr>
        <w:pStyle w:val="BodyText"/>
      </w:pPr>
      <w:r>
        <w:rPr>
          <w:color w:val="008000"/>
        </w:rPr>
        <w:t xml:space="preserve">Clarify that unique seeds do not prove statistical independence; provide complete API parameters</w:t>
      </w:r>
      <w:r>
        <w:rPr>
          <w:color w:val="008000"/>
        </w:rPr>
        <w:t xml:space="preserve"> </w:t>
      </w:r>
      <w:r>
        <w:rPr>
          <w:color w:val="008000"/>
        </w:rPr>
        <w:t xml:space="preserve">and versions, exact prompts/system messages, seed-support evidence, retry records, total attempted</w:t>
      </w:r>
      <w:r>
        <w:rPr>
          <w:color w:val="008000"/>
        </w:rPr>
        <w:t xml:space="preserve"> </w:t>
      </w:r>
      <w:r>
        <w:rPr>
          <w:color w:val="008000"/>
        </w:rPr>
        <w:t xml:space="preserve">versus successful API calls, exact preregistration timestamp evidence, and archived immutable</w:t>
      </w:r>
      <w:r>
        <w:rPr>
          <w:color w:val="008000"/>
        </w:rPr>
        <w:t xml:space="preserve"> </w:t>
      </w:r>
      <w:r>
        <w:rPr>
          <w:color w:val="008000"/>
        </w:rPr>
        <w:t xml:space="preserve">code/data. Correct Figure 3 so that the shared-seed pilot, independent-seed pilot, and full-study</w:t>
      </w:r>
      <w:r>
        <w:rPr>
          <w:color w:val="008000"/>
        </w:rPr>
        <w:t xml:space="preserve"> </w:t>
      </w:r>
      <w:r>
        <w:rPr>
          <w:color w:val="008000"/>
        </w:rPr>
        <w:t xml:space="preserve">quantities compare the same estimand.</w:t>
      </w:r>
    </w:p>
    <w:p>
      <w:pPr>
        <w:pStyle w:val="BodyText"/>
      </w:pPr>
      <w:r>
        <w:rPr>
          <w:b/>
        </w:rPr>
        <w:t xml:space="preserve">Author response:</w:t>
      </w:r>
    </w:p>
    <w:p>
      <w:pPr>
        <w:pStyle w:val="Compact"/>
        <w:numPr>
          <w:ilvl w:val="0"/>
          <w:numId w:val="1025"/>
        </w:numPr>
      </w:pPr>
      <w:r>
        <w:t xml:space="preserve">We now state explicitly that distinct per-agent seeds remove the demonstrated shared-seed</w:t>
      </w:r>
      <w:r>
        <w:t xml:space="preserve"> </w:t>
      </w:r>
      <w:r>
        <w:t xml:space="preserve">artifact but do not establish statistical independence.</w:t>
      </w:r>
    </w:p>
    <w:p>
      <w:pPr>
        <w:pStyle w:val="Compact"/>
        <w:numPr>
          <w:ilvl w:val="0"/>
          <w:numId w:val="1025"/>
        </w:numPr>
      </w:pPr>
      <w:r>
        <w:t xml:space="preserve">The confirmatory grid contains 54,000 valid outputs and required 94,566 API requests; of the</w:t>
      </w:r>
      <w:r>
        <w:t xml:space="preserve"> </w:t>
      </w:r>
      <w:r>
        <w:t xml:space="preserve">40,566 unsuccessful requests, 40,544 were rate-limit or quota responses and 22 were</w:t>
      </w:r>
      <w:r>
        <w:t xml:space="preserve"> </w:t>
      </w:r>
      <w:r>
        <w:t xml:space="preserve">transport or schema failures. Every attempt is retained in the released log together with</w:t>
      </w:r>
      <w:r>
        <w:t xml:space="preserve"> </w:t>
      </w:r>
      <w:r>
        <w:t xml:space="preserve">request settings, prompts, model identifiers, seeds, prices, archived responses, and frozen</w:t>
      </w:r>
      <w:r>
        <w:t xml:space="preserve"> </w:t>
      </w:r>
      <w:r>
        <w:t xml:space="preserve">analysis materials.</w:t>
      </w:r>
    </w:p>
    <w:p>
      <w:pPr>
        <w:pStyle w:val="Compact"/>
        <w:numPr>
          <w:ilvl w:val="0"/>
          <w:numId w:val="1025"/>
        </w:numPr>
      </w:pPr>
      <w:r>
        <w:t xml:space="preserve">Figure 3 now compares only like-for-like pilot quantities on the same grid and model set:</w:t>
      </w:r>
      <w:r>
        <w:t xml:space="preserve"> </w:t>
      </w:r>
      <w:r>
        <w:t xml:space="preserve">the HOM-HET agreement contrast is 0.485 under a shared seed and 0.113 under distinct</w:t>
      </w:r>
      <w:r>
        <w:t xml:space="preserve"> </w:t>
      </w:r>
      <w:r>
        <w:t xml:space="preserve">per-agent seeds. The full-study within-minus-cross-run diagnostic is reported separately in</w:t>
      </w:r>
      <w:r>
        <w:t xml:space="preserve"> </w:t>
      </w:r>
      <w:r>
        <w:t xml:space="preserve">Table 6.</w:t>
      </w:r>
    </w:p>
    <w:p>
      <w:pPr>
        <w:pStyle w:val="Compact"/>
        <w:numPr>
          <w:ilvl w:val="0"/>
          <w:numId w:val="1025"/>
        </w:numPr>
      </w:pPr>
      <w:r>
        <w:t xml:space="preserve">The released package also contains timestamped cryptographic freeze receipts for both the</w:t>
      </w:r>
      <w:r>
        <w:t xml:space="preserve"> </w:t>
      </w:r>
      <w:r>
        <w:t xml:space="preserve">confirmatory study and the cross-domain replication, with the latter recorded before any API</w:t>
      </w:r>
      <w:r>
        <w:t xml:space="preserve"> </w:t>
      </w:r>
      <w:r>
        <w:t xml:space="preserve">call for that arm.</w:t>
      </w:r>
    </w:p>
    <w:p>
      <w:pPr>
        <w:pStyle w:val="FirstParagraph"/>
      </w:pPr>
      <w:r>
        <w:rPr>
          <w:b/>
        </w:rPr>
        <w:t xml:space="preserve">Author action:</w:t>
      </w:r>
    </w:p>
    <w:p>
      <w:pPr>
        <w:pStyle w:val="Compact"/>
        <w:numPr>
          <w:ilvl w:val="0"/>
          <w:numId w:val="1026"/>
        </w:numPr>
      </w:pPr>
      <w:r>
        <w:t xml:space="preserve">Section III-C,</w:t>
      </w:r>
      <w:r>
        <w:t xml:space="preserve"> </w:t>
      </w:r>
      <w:r>
        <w:t xml:space="preserve">“Independent-Draw Estimand,”</w:t>
      </w:r>
      <w:r>
        <w:t xml:space="preserve"> </w:t>
      </w:r>
      <w:r>
        <w:t xml:space="preserve">was revised to document the per-agent seed</w:t>
      </w:r>
      <w:r>
        <w:t xml:space="preserve"> </w:t>
      </w:r>
      <w:r>
        <w:t xml:space="preserve">construction and the limits of seed-based reproducibility.</w:t>
      </w:r>
    </w:p>
    <w:p>
      <w:pPr>
        <w:pStyle w:val="Compact"/>
        <w:numPr>
          <w:ilvl w:val="0"/>
          <w:numId w:val="1026"/>
        </w:numPr>
      </w:pPr>
      <w:r>
        <w:t xml:space="preserve">Section IV-C,</w:t>
      </w:r>
      <w:r>
        <w:t xml:space="preserve"> </w:t>
      </w:r>
      <w:r>
        <w:t xml:space="preserve">“Models,”</w:t>
      </w:r>
      <w:r>
        <w:t xml:space="preserve"> </w:t>
      </w:r>
      <w:r>
        <w:t xml:space="preserve">records the model identifiers, provider assignments, inference</w:t>
      </w:r>
      <w:r>
        <w:t xml:space="preserve"> </w:t>
      </w:r>
      <w:r>
        <w:t xml:space="preserve">settings, timestamps, seeds, prompt hashes, token usage, costs, and archived responses.</w:t>
      </w:r>
    </w:p>
    <w:p>
      <w:pPr>
        <w:pStyle w:val="Compact"/>
        <w:numPr>
          <w:ilvl w:val="0"/>
          <w:numId w:val="1026"/>
        </w:numPr>
      </w:pPr>
      <w:r>
        <w:t xml:space="preserve">Section IV-D,</w:t>
      </w:r>
      <w:r>
        <w:t xml:space="preserve"> </w:t>
      </w:r>
      <w:r>
        <w:t xml:space="preserve">“Pre-Registration, Freezing, and Reproducibility,”</w:t>
      </w:r>
      <w:r>
        <w:t xml:space="preserve"> </w:t>
      </w:r>
      <w:r>
        <w:t xml:space="preserve">documents the frozen</w:t>
      </w:r>
      <w:r>
        <w:t xml:space="preserve"> </w:t>
      </w:r>
      <w:r>
        <w:t xml:space="preserve">design, pre-registration hash, immutable dataset, and deterministic analysis pipeline.</w:t>
      </w:r>
    </w:p>
    <w:p>
      <w:pPr>
        <w:pStyle w:val="Compact"/>
        <w:numPr>
          <w:ilvl w:val="0"/>
          <w:numId w:val="1026"/>
        </w:numPr>
      </w:pPr>
      <w:r>
        <w:t xml:space="preserve">Section IV-E,</w:t>
      </w:r>
      <w:r>
        <w:t xml:space="preserve"> </w:t>
      </w:r>
      <w:r>
        <w:t xml:space="preserve">“Collection Provenance and Retry Accounting,”</w:t>
      </w:r>
      <w:r>
        <w:t xml:space="preserve"> </w:t>
      </w:r>
      <w:r>
        <w:t xml:space="preserve">was added to report the 94,566</w:t>
      </w:r>
      <w:r>
        <w:t xml:space="preserve"> </w:t>
      </w:r>
      <w:r>
        <w:t xml:space="preserve">attempted requests, 54,000 valid outputs, failure breakdown, and retained attempt history.</w:t>
      </w:r>
    </w:p>
    <w:p>
      <w:pPr>
        <w:pStyle w:val="Compact"/>
        <w:numPr>
          <w:ilvl w:val="0"/>
          <w:numId w:val="1026"/>
        </w:numPr>
      </w:pPr>
      <w:r>
        <w:t xml:space="preserve">Section V-E,</w:t>
      </w:r>
      <w:r>
        <w:t xml:space="preserve"> </w:t>
      </w:r>
      <w:r>
        <w:t xml:space="preserve">“Shared-Seed Dependence and Measurement Validation,”</w:t>
      </w:r>
      <w:r>
        <w:t xml:space="preserve"> </w:t>
      </w:r>
      <w:r>
        <w:t xml:space="preserve">was revised to distinguish</w:t>
      </w:r>
      <w:r>
        <w:t xml:space="preserve"> </w:t>
      </w:r>
      <w:r>
        <w:t xml:space="preserve">removal of the shared-seed artifact from proof of statistical independence.</w:t>
      </w:r>
    </w:p>
    <w:p>
      <w:pPr>
        <w:pStyle w:val="Compact"/>
        <w:numPr>
          <w:ilvl w:val="0"/>
          <w:numId w:val="1026"/>
        </w:numPr>
      </w:pPr>
      <w:r>
        <w:t xml:space="preserve">Figure 2 was revised to show the distinct per-agent seed construction and explicitly state</w:t>
      </w:r>
      <w:r>
        <w:t xml:space="preserve"> </w:t>
      </w:r>
      <w:r>
        <w:t xml:space="preserve">that this does not establish statistical independence.</w:t>
      </w:r>
    </w:p>
    <w:p>
      <w:pPr>
        <w:pStyle w:val="Compact"/>
        <w:numPr>
          <w:ilvl w:val="0"/>
          <w:numId w:val="1026"/>
        </w:numPr>
      </w:pPr>
      <w:r>
        <w:t xml:space="preserve">Figure 3 was reduced to the two directly comparable pilot HOM-HET agreement contrasts.</w:t>
      </w:r>
    </w:p>
    <w:p>
      <w:pPr>
        <w:pStyle w:val="Compact"/>
        <w:numPr>
          <w:ilvl w:val="0"/>
          <w:numId w:val="1026"/>
        </w:numPr>
      </w:pPr>
      <w:r>
        <w:t xml:space="preserve">Table 6 reports the full-study within-run versus cross-run diagnostic separately.</w:t>
      </w:r>
    </w:p>
    <w:p>
      <w:pPr>
        <w:pStyle w:val="Compact"/>
        <w:numPr>
          <w:ilvl w:val="0"/>
          <w:numId w:val="1026"/>
        </w:numPr>
      </w:pPr>
      <w:r>
        <w:t xml:space="preserve">Section IV-D now identifies the freeze receipts in the released package. The confirmatory</w:t>
      </w:r>
      <w:r>
        <w:t xml:space="preserve"> </w:t>
      </w:r>
      <w:r>
        <w:t xml:space="preserve">freeze is timestamped 2026-07-03T20:41:51.396959+00:00 and records the SHA-256 of the</w:t>
      </w:r>
      <w:r>
        <w:t xml:space="preserve"> </w:t>
      </w:r>
      <w:r>
        <w:t xml:space="preserve">configuration, agent and analysis code, prompt template, pre-registration, grid, and model</w:t>
      </w:r>
      <w:r>
        <w:t xml:space="preserve"> </w:t>
      </w:r>
      <w:r>
        <w:t xml:space="preserve">manifest together with the commit that carried them. The cross-domain replication has its</w:t>
      </w:r>
      <w:r>
        <w:t xml:space="preserve"> </w:t>
      </w:r>
      <w:r>
        <w:t xml:space="preserve">own receipt timestamped 2026-09-29T14:47:54.287335+00:00, recorded before any API call for</w:t>
      </w:r>
      <w:r>
        <w:t xml:space="preserve"> </w:t>
      </w:r>
      <w:r>
        <w:t xml:space="preserve">that arm.</w:t>
      </w:r>
    </w:p>
    <w:p>
      <w:pPr>
        <w:pStyle w:val="FirstParagraph"/>
      </w:pPr>
      <w:r>
        <w:rPr>
          <w:b/>
          <w:color w:val="008000"/>
        </w:rPr>
        <w:t xml:space="preserve">Reviewer #3, Concern #6</w:t>
      </w:r>
    </w:p>
    <w:p>
      <w:pPr>
        <w:pStyle w:val="BodyText"/>
      </w:pPr>
      <w:r>
        <w:rPr>
          <w:b/>
          <w:color w:val="008000"/>
        </w:rPr>
        <w:t xml:space="preserve">Reviewer comment:</w:t>
      </w:r>
    </w:p>
    <w:p>
      <w:pPr>
        <w:pStyle w:val="BodyText"/>
      </w:pPr>
      <w:r>
        <w:rPr>
          <w:color w:val="008000"/>
        </w:rPr>
        <w:t xml:space="preserve">Replicate the main experiment on at least one substantially different domain/task and preferably</w:t>
      </w:r>
      <w:r>
        <w:rPr>
          <w:color w:val="008000"/>
        </w:rPr>
        <w:t xml:space="preserve"> </w:t>
      </w:r>
      <w:r>
        <w:rPr>
          <w:color w:val="008000"/>
        </w:rPr>
        <w:t xml:space="preserve">multiple prompt formats, ensemble sizes, and model mixtures. The present single BUY/HOLD/SELL</w:t>
      </w:r>
      <w:r>
        <w:rPr>
          <w:color w:val="008000"/>
        </w:rPr>
        <w:t xml:space="preserve"> </w:t>
      </w:r>
      <w:r>
        <w:rPr>
          <w:color w:val="008000"/>
        </w:rPr>
        <w:t xml:space="preserve">financial task-whose accuracy is itself near chance and whose label marginals vary strongly by</w:t>
      </w:r>
      <w:r>
        <w:rPr>
          <w:color w:val="008000"/>
        </w:rPr>
        <w:t xml:space="preserve"> </w:t>
      </w:r>
      <w:r>
        <w:rPr>
          <w:color w:val="008000"/>
        </w:rPr>
        <w:t xml:space="preserve">configuration-is insufficient to establish a general principle about heterogeneous LLM ensembles.</w:t>
      </w:r>
    </w:p>
    <w:p>
      <w:pPr>
        <w:pStyle w:val="BodyText"/>
      </w:pPr>
      <w:r>
        <w:rPr>
          <w:b/>
        </w:rPr>
        <w:t xml:space="preserve">Author response:</w:t>
      </w:r>
    </w:p>
    <w:p>
      <w:pPr>
        <w:pStyle w:val="Compact"/>
        <w:numPr>
          <w:ilvl w:val="0"/>
          <w:numId w:val="1027"/>
        </w:numPr>
      </w:pPr>
      <w:r>
        <w:t xml:space="preserve">We added a pre-registered replication using 537 MMLU professional-medicine and</w:t>
      </w:r>
      <w:r>
        <w:t xml:space="preserve"> </w:t>
      </w:r>
      <w:r>
        <w:t xml:space="preserve">clinical-knowledge questions with four response options rather than the three financial</w:t>
      </w:r>
      <w:r>
        <w:t xml:space="preserve"> </w:t>
      </w:r>
      <w:r>
        <w:t xml:space="preserve">labels.</w:t>
      </w:r>
    </w:p>
    <w:p>
      <w:pPr>
        <w:pStyle w:val="Compact"/>
        <w:numPr>
          <w:ilvl w:val="0"/>
          <w:numId w:val="1027"/>
        </w:numPr>
      </w:pPr>
      <w:r>
        <w:t xml:space="preserve">The main ordering reproduces: agreement decreases by Δκ = 0.072 (95% CI [0.040, 0.104]) and</w:t>
      </w:r>
      <w:r>
        <w:t xml:space="preserve"> </w:t>
      </w:r>
      <w:r>
        <w:t xml:space="preserve">error correlation by Δφ = 0.393 (95% CI [0.325, 0.459]). The agreement contrast is</w:t>
      </w:r>
      <w:r>
        <w:t xml:space="preserve"> </w:t>
      </w:r>
      <w:r>
        <w:t xml:space="preserve">substantially smaller than in finance, so we do not claim magnitude invariance across tasks.</w:t>
      </w:r>
    </w:p>
    <w:p>
      <w:pPr>
        <w:pStyle w:val="Compact"/>
        <w:numPr>
          <w:ilvl w:val="0"/>
          <w:numId w:val="1027"/>
        </w:numPr>
      </w:pPr>
      <w:r>
        <w:t xml:space="preserve">Prompt format, five-agent ensemble size, majority-vote aggregation, and the tested model</w:t>
      </w:r>
      <w:r>
        <w:t xml:space="preserve"> </w:t>
      </w:r>
      <w:r>
        <w:t xml:space="preserve">mixtures remain fixed and are explicitly stated as limitations.</w:t>
      </w:r>
    </w:p>
    <w:p>
      <w:pPr>
        <w:pStyle w:val="FirstParagraph"/>
      </w:pPr>
      <w:r>
        <w:rPr>
          <w:b/>
        </w:rPr>
        <w:t xml:space="preserve">Author action:</w:t>
      </w:r>
    </w:p>
    <w:p>
      <w:pPr>
        <w:pStyle w:val="Compact"/>
        <w:numPr>
          <w:ilvl w:val="0"/>
          <w:numId w:val="1028"/>
        </w:numPr>
      </w:pPr>
      <w:r>
        <w:t xml:space="preserve">Section V-J,</w:t>
      </w:r>
      <w:r>
        <w:t xml:space="preserve"> </w:t>
      </w:r>
      <w:r>
        <w:t xml:space="preserve">“Cross-Domain Replication: Clinical Knowledge,”</w:t>
      </w:r>
      <w:r>
        <w:t xml:space="preserve"> </w:t>
      </w:r>
      <w:r>
        <w:t xml:space="preserve">was added to report the</w:t>
      </w:r>
      <w:r>
        <w:t xml:space="preserve"> </w:t>
      </w:r>
      <w:r>
        <w:t xml:space="preserve">pre-registered 537-item clinical replication.</w:t>
      </w:r>
    </w:p>
    <w:p>
      <w:pPr>
        <w:pStyle w:val="Compact"/>
        <w:numPr>
          <w:ilvl w:val="0"/>
          <w:numId w:val="1028"/>
        </w:numPr>
      </w:pPr>
      <w:r>
        <w:t xml:space="preserve">Section VII,</w:t>
      </w:r>
      <w:r>
        <w:t xml:space="preserve"> </w:t>
      </w:r>
      <w:r>
        <w:t xml:space="preserve">“Threats to Validity,”</w:t>
      </w:r>
      <w:r>
        <w:t xml:space="preserve"> </w:t>
      </w:r>
      <w:r>
        <w:t xml:space="preserve">subsection</w:t>
      </w:r>
      <w:r>
        <w:t xml:space="preserve"> </w:t>
      </w:r>
      <w:r>
        <w:t xml:space="preserve">“Scope and generalizability,”</w:t>
      </w:r>
      <w:r>
        <w:t xml:space="preserve"> </w:t>
      </w:r>
      <w:r>
        <w:t xml:space="preserve">was revised to</w:t>
      </w:r>
      <w:r>
        <w:t xml:space="preserve"> </w:t>
      </w:r>
      <w:r>
        <w:t xml:space="preserve">state that the ordering has been evaluated across two substantially different tasks while</w:t>
      </w:r>
      <w:r>
        <w:t xml:space="preserve"> </w:t>
      </w:r>
      <w:r>
        <w:t xml:space="preserve">prompt format, ensemble size, aggregation rule, and model mixtures remain fixed.</w:t>
      </w:r>
    </w:p>
    <w:p>
      <w:pPr>
        <w:pStyle w:val="Compact"/>
        <w:numPr>
          <w:ilvl w:val="0"/>
          <w:numId w:val="1028"/>
        </w:numPr>
      </w:pPr>
      <w:r>
        <w:t xml:space="preserve">The clinical replication pre-registration and freeze receipt were added to the released</w:t>
      </w:r>
      <w:r>
        <w:t xml:space="preserve"> </w:t>
      </w:r>
      <w:r>
        <w:t xml:space="preserve">reproducibility materials.</w:t>
      </w:r>
    </w:p>
    <w:p>
      <w:pPr>
        <w:pStyle w:val="Compact"/>
        <w:numPr>
          <w:ilvl w:val="0"/>
          <w:numId w:val="1028"/>
        </w:numPr>
      </w:pPr>
      <w:r>
        <w:t xml:space="preserve">Reference [20], Hendrycks et al., was added to the reference list as the source of the MMLU</w:t>
      </w:r>
      <w:r>
        <w:t xml:space="preserve"> </w:t>
      </w:r>
      <w:r>
        <w:t xml:space="preserve">benchmark used for this replication.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2026-10-04T21:18:09Z</dcterms:created>
  <dcterms:modified xsi:type="dcterms:W3CDTF">2026-10-04T21:18:09Z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