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53.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Price of De-correlation: Quantifying the Agreement–Cost Trade-off</w:t>
      </w:r>
      <w:r>
        <w:t xml:space="preserve"> </w:t>
      </w:r>
      <w:r>
        <w:t xml:space="preserve">in Heterogeneous Large Language Model Ensembles</w:t>
      </w:r>
    </w:p>
    <w:p>
      <w:pPr>
        <w:pStyle w:val="Author"/>
      </w:pPr>
      <w:r>
        <w:t xml:space="preserve">SAMIR CHINCHOLIKAR,</w:t>
      </w:r>
      <w:r>
        <w:t xml:space="preserve"> </w:t>
      </w:r>
      <w:r>
        <w:t xml:space="preserve">ROBIN CHAWLA</w:t>
      </w:r>
    </w:p>
    <w:p>
      <w:pPr>
        <w:pStyle w:val="AbstractTitle"/>
      </w:pPr>
      <w:r>
        <w:t xml:space="preserve">Abstract</w:t>
      </w:r>
    </w:p>
    <w:p>
      <w:pPr>
        <w:pStyle w:val="Abstract"/>
      </w:pPr>
      <w:r>
        <w:t xml:space="preserve">Large language model (LLM) ensembles are increasingly used as decision-making</w:t>
      </w:r>
      <w:r>
        <w:t xml:space="preserve"> </w:t>
      </w:r>
      <w:r>
        <w:t xml:space="preserve">committees under the assumption that aggregating multiple agents improves</w:t>
      </w:r>
      <w:r>
        <w:t xml:space="preserve"> </w:t>
      </w:r>
      <w:r>
        <w:t xml:space="preserve">reliability. However, ensembles composed of repeated instances of the same model</w:t>
      </w:r>
      <w:r>
        <w:t xml:space="preserve"> </w:t>
      </w:r>
      <w:r>
        <w:t xml:space="preserve">may produce correlated judgments and create an appearance of consensus without</w:t>
      </w:r>
      <w:r>
        <w:t xml:space="preserve"> </w:t>
      </w:r>
      <w:r>
        <w:t xml:space="preserve">genuine independence. This study quantifies the relationship between</w:t>
      </w:r>
      <w:r>
        <w:t xml:space="preserve"> </w:t>
      </w:r>
      <w:r>
        <w:t xml:space="preserve">cross-provider model heterogeneity, ensemble agreement, and inference cost. In a</w:t>
      </w:r>
      <w:r>
        <w:t xml:space="preserve"> </w:t>
      </w:r>
      <w:r>
        <w:t xml:space="preserve">54</w:t>
      </w:r>
      <w:r>
        <w:t xml:space="preserve">,</w:t>
      </w:r>
      <w:r>
        <w:t xml:space="preserve">000-call primary experiment, we evaluate three five-agent ensemble</w:t>
      </w:r>
      <w:r>
        <w:t xml:space="preserve"> </w:t>
      </w:r>
      <w:r>
        <w:t xml:space="preserve">configurations with increasing provider diversity on a directional</w:t>
      </w:r>
      <w:r>
        <w:t xml:space="preserve"> </w:t>
      </w:r>
      <w:r>
        <w:t xml:space="preserve">financial-analysis task covering 100 equities across 12 dates. Within the evaluated configurations, greater cross-provider</w:t>
      </w:r>
      <w:r>
        <w:t xml:space="preserve"> </w:t>
      </w:r>
      <w:r>
        <w:t xml:space="preserve">heterogeneity is associated with significantly lower within-ensemble agreement,</w:t>
      </w:r>
      <w:r>
        <w:t xml:space="preserve"> </w:t>
      </w:r>
      <w:r>
        <w:t xml:space="preserve">with a primary reduction of</w:t>
      </w:r>
      <w:r>
        <w:t xml:space="preserve"> </w:t>
      </w:r>
      <m:oMath>
        <m:r>
          <m:rPr>
            <m:sty m:val="p"/>
          </m:rPr>
          <m:t>Δ</m:t>
        </m:r>
        <m:r>
          <m:t>κ</m:t>
        </m:r>
        <m:r>
          <m:rPr>
            <m:sty m:val="p"/>
          </m:rPr>
          <m:t>=</m:t>
        </m:r>
        <m:r>
          <m:t>0.336</m:t>
        </m:r>
      </m:oMath>
      <w:r>
        <w:t xml:space="preserve"> </w:t>
      </w:r>
      <w:r>
        <w:t xml:space="preserve">(95% CI:</w:t>
      </w:r>
      <w:r>
        <w:t xml:space="preserve"> </w:t>
      </w:r>
      <m:oMath>
        <m:r>
          <m:t>0.304</m:t>
        </m:r>
      </m:oMath>
      <w:r>
        <w:t xml:space="preserve">–</w:t>
      </w:r>
      <m:oMath>
        <m:r>
          <m:t>0.369</m:t>
        </m:r>
      </m:oMath>
      <w:r>
        <w:t xml:space="preserve">), but increases</w:t>
      </w:r>
      <w:r>
        <w:t xml:space="preserve"> </w:t>
      </w:r>
      <w:r>
        <w:t xml:space="preserve">inference cost by approximately</w:t>
      </w:r>
      <w:r>
        <w:t xml:space="preserve"> </w:t>
      </w:r>
      <m:oMath>
        <m:r>
          <m:t>4.4</m:t>
        </m:r>
        <m:r>
          <m:rPr>
            <m:sty m:val="p"/>
          </m:rPr>
          <m:t>×</m:t>
        </m:r>
      </m:oMath>
      <w:r>
        <w:t xml:space="preserve">. Because agreement does not by itself</w:t>
      </w:r>
      <w:r>
        <w:t xml:space="preserve"> </w:t>
      </w:r>
      <w:r>
        <w:t xml:space="preserve">measure dependence between errors, we additionally estimate the correlation</w:t>
      </w:r>
      <w:r>
        <w:t xml:space="preserve"> </w:t>
      </w:r>
      <w:r>
        <w:t xml:space="preserve">between agents’ binary error indicators. Error correlation decreases by</w:t>
      </w:r>
      <w:r>
        <w:t xml:space="preserve"> </w:t>
      </w:r>
      <m:oMath>
        <m:r>
          <m:rPr>
            <m:sty m:val="p"/>
          </m:rPr>
          <m:t>Δ</m:t>
        </m:r>
        <m:r>
          <m:t>ϕ</m:t>
        </m:r>
        <m:r>
          <m:rPr>
            <m:sty m:val="p"/>
          </m:rPr>
          <m:t>=</m:t>
        </m:r>
        <m:r>
          <m:t>0.454</m:t>
        </m:r>
      </m:oMath>
      <w:r>
        <w:t xml:space="preserve"> </w:t>
      </w:r>
      <w:r>
        <w:t xml:space="preserve">(95% CI:</w:t>
      </w:r>
      <w:r>
        <w:t xml:space="preserve"> </w:t>
      </w:r>
      <m:oMath>
        <m:r>
          <m:t>0.376</m:t>
        </m:r>
      </m:oMath>
      <w:r>
        <w:t xml:space="preserve"> </w:t>
      </w:r>
      <w:r>
        <w:t xml:space="preserve">to</w:t>
      </w:r>
      <w:r>
        <w:t xml:space="preserve"> </w:t>
      </w:r>
      <m:oMath>
        <m:r>
          <m:t>0.534</m:t>
        </m:r>
      </m:oMath>
      <w:r>
        <w:t xml:space="preserve">), while mean per-agent accuracy</w:t>
      </w:r>
      <w:r>
        <w:t xml:space="preserve"> </w:t>
      </w:r>
      <w:r>
        <w:t xml:space="preserve">remains essentially unchanged. This indicates that the observed change reflects</w:t>
      </w:r>
      <w:r>
        <w:t xml:space="preserve"> </w:t>
      </w:r>
      <w:r>
        <w:t xml:space="preserve">lower error dependence rather than differences in average correctness.</w:t>
      </w:r>
      <w:r>
        <w:t xml:space="preserve"> </w:t>
      </w:r>
      <w:r>
        <w:t xml:space="preserve">The contrast remains substantial under approximate capability</w:t>
      </w:r>
      <w:r>
        <w:t xml:space="preserve"> </w:t>
      </w:r>
      <w:r>
        <w:t xml:space="preserve">matching, although that control does not isolate provider from other</w:t>
      </w:r>
      <w:r>
        <w:t xml:space="preserve"> </w:t>
      </w:r>
      <w:r>
        <w:t xml:space="preserve">model-specific characteristics.</w:t>
      </w:r>
      <w:r>
        <w:t xml:space="preserve"> </w:t>
      </w:r>
      <w:r>
        <w:t xml:space="preserve">We also introduce an independent-draw measurement protocol designed to prevent</w:t>
      </w:r>
      <w:r>
        <w:t xml:space="preserve"> </w:t>
      </w:r>
      <w:r>
        <w:t xml:space="preserve">shared sampling conditions from inflating estimated agreement. A pre-registered</w:t>
      </w:r>
      <w:r>
        <w:t xml:space="preserve"> </w:t>
      </w:r>
      <w:r>
        <w:t xml:space="preserve">replication on a substantially different task involving 537 expert</w:t>
      </w:r>
      <w:r>
        <w:t xml:space="preserve"> </w:t>
      </w:r>
      <w:r>
        <w:t xml:space="preserve">clinical-decision items reproduces the directional pattern. Agreement decreases by</w:t>
      </w:r>
      <w:r>
        <w:t xml:space="preserve"> </w:t>
      </w:r>
      <m:oMath>
        <m:r>
          <m:rPr>
            <m:sty m:val="p"/>
          </m:rPr>
          <m:t>Δ</m:t>
        </m:r>
        <m:r>
          <m:t>κ</m:t>
        </m:r>
        <m:r>
          <m:rPr>
            <m:sty m:val="p"/>
          </m:rPr>
          <m:t>=</m:t>
        </m:r>
        <m:r>
          <m:t>0.072</m:t>
        </m:r>
      </m:oMath>
      <w:r>
        <w:t xml:space="preserve"> </w:t>
      </w:r>
      <w:r>
        <w:t xml:space="preserve">(95% CI:</w:t>
      </w:r>
      <w:r>
        <w:t xml:space="preserve"> </w:t>
      </w:r>
      <m:oMath>
        <m:r>
          <m:t>0.040</m:t>
        </m:r>
      </m:oMath>
      <w:r>
        <w:t xml:space="preserve"> </w:t>
      </w:r>
      <w:r>
        <w:t xml:space="preserve">to</w:t>
      </w:r>
      <w:r>
        <w:t xml:space="preserve"> </w:t>
      </w:r>
      <m:oMath>
        <m:r>
          <m:t>0.104</m:t>
        </m:r>
      </m:oMath>
      <w:r>
        <w:t xml:space="preserve">), while error correlation</w:t>
      </w:r>
      <w:r>
        <w:t xml:space="preserve"> </w:t>
      </w:r>
      <w:r>
        <w:t xml:space="preserve">decreases by</w:t>
      </w:r>
      <w:r>
        <w:t xml:space="preserve"> </w:t>
      </w:r>
      <m:oMath>
        <m:r>
          <m:rPr>
            <m:sty m:val="p"/>
          </m:rPr>
          <m:t>Δ</m:t>
        </m:r>
        <m:r>
          <m:t>ϕ</m:t>
        </m:r>
        <m:r>
          <m:rPr>
            <m:sty m:val="p"/>
          </m:rPr>
          <m:t>=</m:t>
        </m:r>
        <m:r>
          <m:t>0.393</m:t>
        </m:r>
      </m:oMath>
      <w:r>
        <w:t xml:space="preserve"> </w:t>
      </w:r>
      <w:r>
        <w:t xml:space="preserve">(95% CI:</w:t>
      </w:r>
      <w:r>
        <w:t xml:space="preserve"> </w:t>
      </w:r>
      <m:oMath>
        <m:r>
          <m:t>0.325</m:t>
        </m:r>
      </m:oMath>
      <w:r>
        <w:t xml:space="preserve"> </w:t>
      </w:r>
      <w:r>
        <w:t xml:space="preserve">to</w:t>
      </w:r>
      <w:r>
        <w:t xml:space="preserve"> </w:t>
      </w:r>
      <m:oMath>
        <m:r>
          <m:t>0.459</m:t>
        </m:r>
      </m:oMath>
      <w:r>
        <w:t xml:space="preserve">). Although</w:t>
      </w:r>
      <w:r>
        <w:t xml:space="preserve"> </w:t>
      </w:r>
      <w:r>
        <w:t xml:space="preserve">heterogeneity does not produce a statistically reliable improvement in average</w:t>
      </w:r>
      <w:r>
        <w:t xml:space="preserve"> </w:t>
      </w:r>
      <w:r>
        <w:t xml:space="preserve">directional accuracy, exploratory analysis shows that homogeneous ensembles</w:t>
      </w:r>
      <w:r>
        <w:t xml:space="preserve"> </w:t>
      </w:r>
      <w:r>
        <w:t xml:space="preserve">generate unanimous incorrect decisions at</w:t>
      </w:r>
      <w:r>
        <w:t xml:space="preserve"> </w:t>
      </w:r>
      <m:oMath>
        <m:r>
          <m:t>1.84</m:t>
        </m:r>
      </m:oMath>
      <w:r>
        <w:t xml:space="preserve"> </w:t>
      </w:r>
      <w:r>
        <w:t xml:space="preserve">times the rate of fully</w:t>
      </w:r>
      <w:r>
        <w:t xml:space="preserve"> </w:t>
      </w:r>
      <w:r>
        <w:t xml:space="preserve">heterogeneous ensembles (95% CI:</w:t>
      </w:r>
      <w:r>
        <w:t xml:space="preserve"> </w:t>
      </w:r>
      <m:oMath>
        <m:r>
          <m:t>1.42</m:t>
        </m:r>
      </m:oMath>
      <w:r>
        <w:t xml:space="preserve"> </w:t>
      </w:r>
      <w:r>
        <w:t xml:space="preserve">to</w:t>
      </w:r>
      <w:r>
        <w:t xml:space="preserve"> </w:t>
      </w:r>
      <m:oMath>
        <m:r>
          <m:t>2.52</m:t>
        </m:r>
      </m:oMath>
      <w:r>
        <w:t xml:space="preserve">). Taken together, the results</w:t>
      </w:r>
      <w:r>
        <w:t xml:space="preserve"> </w:t>
      </w:r>
      <w:r>
        <w:t xml:space="preserve">show that heterogeneous model composition can reduce error dependence without</w:t>
      </w:r>
      <w:r>
        <w:t xml:space="preserve"> </w:t>
      </w:r>
      <w:r>
        <w:t xml:space="preserve">guaranteeing greater predictive accuracy, while imposing a measurable inference</w:t>
      </w:r>
      <w:r>
        <w:t xml:space="preserve"> </w:t>
      </w:r>
      <w:r>
        <w:t xml:space="preserve">cost premium.</w:t>
      </w:r>
    </w:p>
    <w:p>
      <w:pPr>
        <w:pStyle w:val="FirstParagraph"/>
      </w:pPr>
      <w:r>
        <w:t xml:space="preserve">Chincholikar : The Price of De-correlation in Heterogeneous LLM Ensembles</w:t>
      </w:r>
      <w:r>
        <w:t xml:space="preserve"> </w:t>
      </w:r>
      <w:r>
        <w:t xml:space="preserve">Chincholikar : The Price of De-correlation in Heterogeneous LLM Ensembles</w:t>
      </w:r>
    </w:p>
    <w:p>
      <w:pPr>
        <w:pStyle w:val="BodyText"/>
      </w:pPr>
      <w:r>
        <w:t xml:space="preserve">Ensemble learning, error correlation, large language models, model heterogeneity,</w:t>
      </w:r>
      <w:r>
        <w:t xml:space="preserve"> </w:t>
      </w:r>
      <w:r>
        <w:t xml:space="preserve">multi-agent systems.</w:t>
      </w:r>
    </w:p>
    <w:bookmarkStart w:id="10" w:name="sec:introduction"/>
    <w:p>
      <w:pPr>
        <w:pStyle w:val="Heading1"/>
      </w:pPr>
      <w:r>
        <w:t xml:space="preserve">Introduction</w:t>
      </w:r>
    </w:p>
    <w:p>
      <w:pPr>
        <w:pStyle w:val="FirstParagraph"/>
      </w:pPr>
      <w:r>
        <w:t xml:space="preserve">large language model systems increasingly aggregate multiple agents</w:t>
      </w:r>
      <w:r>
        <w:t xml:space="preserve"> </w:t>
      </w:r>
      <w:r>
        <w:t xml:space="preserve">through voting, debate, or other consensus</w:t>
      </w:r>
      <w:r>
        <w:t xml:space="preserve"> </w:t>
      </w:r>
      <w:r>
        <w:t xml:space="preserve">mechanisms </w:t>
      </w:r>
      <w:r>
        <w:t xml:space="preserve">(Du et al. 2023; Wang et al. 2024)</w:t>
      </w:r>
      <w:r>
        <w:t xml:space="preserve">.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 </w:t>
      </w:r>
      <w:r>
        <w:t xml:space="preserve">(Kim et al. 2025)</w:t>
      </w:r>
      <w:r>
        <w:t xml:space="preserve">.</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 </w:t>
      </w:r>
      <w:r>
        <w:t xml:space="preserve">(Kim et al. 2025)</w:t>
      </w:r>
      <w:r>
        <w:t xml:space="preserve"> </w:t>
      </w:r>
      <w:r>
        <w:t xml:space="preserve">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is associated with lower within-ensemble</w:t>
      </w:r>
      <w:r>
        <w:t xml:space="preserve"> </w:t>
      </w:r>
      <w:r>
        <w:t xml:space="preserve">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reduction in ensemble</w:t>
      </w:r>
      <w:r>
        <w:t xml:space="preserve"> </w:t>
      </w:r>
      <w:r>
        <w:t xml:space="preserve">agreement, the associated inference cost, and the effect of independent-draw</w:t>
      </w:r>
      <w:r>
        <w:t xml:space="preserve"> </w:t>
      </w:r>
      <w:r>
        <w:t xml:space="preserve">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bookmarkStart w:id="9" w:name="contributions"/>
    <w:p>
      <w:pPr>
        <w:pStyle w:val="Heading4"/>
      </w:pPr>
      <w:r>
        <w:t xml:space="preserve">Contributions</w:t>
      </w:r>
    </w:p>
    <w:p>
      <w:pPr>
        <w:pStyle w:val="FirstParagraph"/>
      </w:pPr>
      <w:r>
        <w:t xml:space="preserve">This paper makes the following contributions.</w:t>
      </w:r>
    </w:p>
    <w:p>
      <w:pPr>
        <w:numPr>
          <w:ilvl w:val="0"/>
          <w:numId w:val="1001"/>
        </w:numPr>
      </w:pPr>
      <w:r>
        <w:rPr>
          <w:i/>
          <w:iCs/>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association</w:t>
      </w:r>
      <w:r>
        <w:t xml:space="preserve"> </w:t>
      </w:r>
      <w:r>
        <w:t xml:space="preserve">between cross-provider heterogeneity and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rPr>
            <m:sty m:val="p"/>
          </m:rPr>
          <m:t>Δ</m:t>
        </m:r>
        <m:r>
          <m:t>κ</m:t>
        </m:r>
        <m:r>
          <m:rPr>
            <m:sty m:val="p"/>
          </m:rPr>
          <m:t>=</m:t>
        </m:r>
        <m:r>
          <m:t>0.336</m:t>
        </m:r>
      </m:oMath>
      <w:r>
        <w:t xml:space="preserve"> </w:t>
      </w:r>
      <w:r>
        <w:t xml:space="preserve">and a 95% confidence interval of</w:t>
      </w:r>
      <w:r>
        <w:t xml:space="preserve"> </w:t>
      </w:r>
      <m:oMath>
        <m:r>
          <m:rPr>
            <m:sty m:val="p"/>
          </m:rPr>
          <m:t>[</m:t>
        </m:r>
        <m:r>
          <m:t>0.304</m:t>
        </m:r>
        <m:r>
          <m:rPr>
            <m:sty m:val="p"/>
          </m:rPr>
          <m:t>,</m:t>
        </m:r>
        <m:r>
          <m:t>0.369</m:t>
        </m:r>
        <m:r>
          <m:rPr>
            <m:sty m:val="p"/>
          </m:rPr>
          <m:t>]</m:t>
        </m:r>
      </m:oMath>
      <w:r>
        <w:t xml:space="preserve">.</w:t>
      </w:r>
    </w:p>
    <w:p>
      <w:pPr>
        <w:numPr>
          <w:ilvl w:val="0"/>
          <w:numId w:val="1001"/>
        </w:numPr>
      </w:pPr>
      <w:r>
        <w:rPr>
          <w:i/>
          <w:iCs/>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rPr>
            <m:sty m:val="p"/>
          </m:rPr>
          <m:t>×</m:t>
        </m:r>
      </m:oMath>
      <w:r>
        <w:t xml:space="preserve"> </w:t>
      </w:r>
      <w:r>
        <w:t xml:space="preserve">increase in inference cost.</w:t>
      </w:r>
    </w:p>
    <w:p>
      <w:pPr>
        <w:numPr>
          <w:ilvl w:val="0"/>
          <w:numId w:val="1001"/>
        </w:numPr>
      </w:pPr>
      <w:r>
        <w:rPr>
          <w:i/>
          <w:iCs/>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agreement</w:t>
      </w:r>
      <w:r>
        <w:t xml:space="preserve"> </w:t>
      </w:r>
      <w:r>
        <w:t xml:space="preserve">contrast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iCs/>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rPr>
            <m:sty m:val="p"/>
          </m:rP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bookmarkEnd w:id="9"/>
    <w:bookmarkEnd w:id="10"/>
    <w:bookmarkStart w:id="15" w:name="related-work"/>
    <w:p>
      <w:pPr>
        <w:pStyle w:val="Heading1"/>
      </w:pPr>
      <w:r>
        <w:t xml:space="preserve">Related Work</w:t>
      </w:r>
    </w:p>
    <w:bookmarkStart w:id="11" w:name="llm-ensembles-and-mixture-of-agents"/>
    <w:p>
      <w:pPr>
        <w:pStyle w:val="Heading2"/>
      </w:pPr>
      <w:r>
        <w:t xml:space="preserve">LLM ensembles and mixture-of-agents</w:t>
      </w:r>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 </w:t>
      </w:r>
      <w:r>
        <w:t xml:space="preserve">(Du et al. 2023; Wang et al. 2024; Chen et al. 2025)</w:t>
      </w:r>
      <w:r>
        <w:t xml:space="preserve">.</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 </w:t>
      </w:r>
      <w:r>
        <w:t xml:space="preserve">(Kim et al. 2025)</w:t>
      </w:r>
      <w:r>
        <w:t xml:space="preserve">.</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 </w:t>
      </w:r>
      <w:r>
        <w:t xml:space="preserve">(Li et al. 2024)</w:t>
      </w:r>
      <w:r>
        <w:t xml:space="preserve">.</w:t>
      </w:r>
    </w:p>
    <w:p>
      <w:pPr>
        <w:pStyle w:val="BodyText"/>
      </w:pPr>
      <w:r>
        <w:t xml:space="preserve">These findings have motivated diversity-aware methods such as the</w:t>
      </w:r>
      <w:r>
        <w:t xml:space="preserve"> </w:t>
      </w:r>
      <w:r>
        <w:t xml:space="preserve">focal-diversity pruning strategy used in LLM-TOPLA </w:t>
      </w:r>
      <w:r>
        <w:t xml:space="preserve">(Tekin et al. 2024)</w:t>
      </w:r>
      <w:r>
        <w:t xml:space="preserve">, the</w:t>
      </w:r>
      <w:r>
        <w:t xml:space="preserve"> </w:t>
      </w:r>
      <w:r>
        <w:t xml:space="preserve">fingerprint-based ensemble selection of DFPE </w:t>
      </w:r>
      <w:r>
        <w:t xml:space="preserve">(Cohen et al. 2025)</w:t>
      </w:r>
      <w:r>
        <w:t xml:space="preserve">, and heterogeneous</w:t>
      </w:r>
      <w:r>
        <w:t xml:space="preserve"> </w:t>
      </w:r>
      <w:r>
        <w:t xml:space="preserve">consensus frameworks such as Council Mode </w:t>
      </w:r>
      <w:r>
        <w:t xml:space="preserve">(Wu et al. 2026)</w:t>
      </w:r>
      <w:r>
        <w:t xml:space="preserve">.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agreement, statistical uncertainty, and</w:t>
      </w:r>
      <w:r>
        <w:t xml:space="preserve"> </w:t>
      </w:r>
      <w:r>
        <w:t xml:space="preserve">inference cost vary across configurations with differing cross-provider</w:t>
      </w:r>
      <w:r>
        <w:t xml:space="preserve"> </w:t>
      </w:r>
      <w:r>
        <w:t xml:space="preserve">heterogeneity.</w:t>
      </w:r>
    </w:p>
    <w:bookmarkEnd w:id="11"/>
    <w:bookmarkStart w:id="12" w:name="X364ca8ac753c97321324239b8298a79261c7758"/>
    <w:p>
      <w:pPr>
        <w:pStyle w:val="Heading2"/>
      </w:pPr>
      <w:r>
        <w:t xml:space="preserve">Correlated errors and algorithmic monoculture</w:t>
      </w:r>
    </w:p>
    <w:p>
      <w:pPr>
        <w:pStyle w:val="FirstParagraph"/>
      </w:pPr>
      <w:r>
        <w:t xml:space="preserve">Kim</w:t>
      </w:r>
      <w:r>
        <w:t xml:space="preserve"> </w:t>
      </w:r>
      <w:r>
        <w:rPr>
          <w:i/>
          <w:iCs/>
        </w:rPr>
        <w:t xml:space="preserve">et al.</w:t>
      </w:r>
      <w:r>
        <w:t xml:space="preserve"> </w:t>
      </w:r>
      <w:r>
        <w:t xml:space="preserve">(Kim et al. 2025)</w:t>
      </w:r>
      <w:r>
        <w:t xml:space="preserve"> </w:t>
      </w:r>
      <w:r>
        <w:t xml:space="preserve">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 </w:t>
      </w:r>
      <w:r>
        <w:t xml:space="preserve">(Bugaud 2026)</w:t>
      </w:r>
      <w:r>
        <w:t xml:space="preserve"> </w:t>
      </w:r>
      <w:r>
        <w:t xml:space="preserve">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bookmarkEnd w:id="12"/>
    <w:bookmarkStart w:id="13" w:name="Xbb85b8ce7f9ae6c4a372caf0c9db37fce9322f2"/>
    <w:p>
      <w:pPr>
        <w:pStyle w:val="Heading2"/>
      </w:pPr>
      <w:r>
        <w:t xml:space="preserve">Inter-rater agreement and diversity metrics</w:t>
      </w:r>
    </w:p>
    <w:p>
      <w:pPr>
        <w:pStyle w:val="FirstParagraph"/>
      </w:pPr>
      <w:r>
        <w:t xml:space="preserve">Fleiss’</w:t>
      </w:r>
      <w:r>
        <w:t xml:space="preserve"> </w:t>
      </w:r>
      <m:oMath>
        <m:r>
          <m:t>κ</m:t>
        </m:r>
      </m:oMath>
      <w:r>
        <w:t xml:space="preserve"> </w:t>
      </w:r>
      <w:r>
        <w:t xml:space="preserve">(Fleiss 1971)</w:t>
      </w:r>
      <w:r>
        <w:t xml:space="preserve"> </w:t>
      </w:r>
      <w:r>
        <w:t xml:space="preserve">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 </w:t>
      </w:r>
      <w:r>
        <w:t xml:space="preserve">(Tekin et al. 2024)</w:t>
      </w:r>
      <w:r>
        <w:t xml:space="preserve">,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 </w:t>
      </w:r>
      <w:r>
        <w:t xml:space="preserve">(Krippendorff 2019)</w:t>
      </w:r>
      <w:r>
        <w:t xml:space="preserve"> </w:t>
      </w:r>
      <w:r>
        <w:t xml:space="preserve">and Gwet’s AC1 </w:t>
      </w:r>
      <w:r>
        <w:t xml:space="preserve">(Gwet 2008)</w:t>
      </w:r>
      <w:r>
        <w:t xml:space="preserve">. Statistical</w:t>
      </w:r>
      <w:r>
        <w:t xml:space="preserve"> </w:t>
      </w:r>
      <w:r>
        <w:t xml:space="preserve">uncertainty is estimated through cluster-bootstrap resampling at the equity</w:t>
      </w:r>
      <w:r>
        <w:t xml:space="preserve"> </w:t>
      </w:r>
      <w:r>
        <w:t xml:space="preserve">level </w:t>
      </w:r>
      <w:r>
        <w:t xml:space="preserve">(Efron and Tibshirani 1993)</w:t>
      </w:r>
      <w:r>
        <w:t xml:space="preserve">.</w:t>
      </w:r>
    </w:p>
    <w:bookmarkEnd w:id="13"/>
    <w:bookmarkStart w:id="14" w:name="reproducibility-and-pre-registration"/>
    <w:p>
      <w:pPr>
        <w:pStyle w:val="Heading2"/>
      </w:pPr>
      <w:r>
        <w:t xml:space="preserve">Reproducibility and pre-registration</w:t>
      </w:r>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w:t>
      </w:r>
      <w:hyperlink w:anchor="sec:prereg">
        <w:r>
          <w:rPr>
            <w:rStyle w:val="Hyperlink"/>
          </w:rPr>
          <w:t xml:space="preserve">4.4</w:t>
        </w:r>
      </w:hyperlink>
      <w:r>
        <w:t xml:space="preserve">.</w:t>
      </w:r>
    </w:p>
    <w:bookmarkEnd w:id="14"/>
    <w:bookmarkEnd w:id="15"/>
    <w:bookmarkStart w:id="22" w:name="problem-formulation-and-metrics"/>
    <w:p>
      <w:pPr>
        <w:pStyle w:val="Heading1"/>
      </w:pPr>
      <w:r>
        <w:t xml:space="preserve">Problem Formulation and Metrics</w:t>
      </w:r>
    </w:p>
    <w:bookmarkStart w:id="17" w:name="ensemble-configurations"/>
    <w:p>
      <w:pPr>
        <w:pStyle w:val="Heading2"/>
      </w:pPr>
      <w:r>
        <w:t xml:space="preserve">Ensemble configurations</w:t>
      </w:r>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rPr>
              <m:sty m:val="p"/>
            </m:rPr>
            <m:t>=</m:t>
          </m:r>
          <m:nary>
            <m:naryPr>
              <m:chr m:val="∑"/>
              <m:limLoc m:val="undOvr"/>
              <m:subHide m:val="off"/>
              <m:supHide m:val="off"/>
            </m:naryPr>
            <m:sub>
              <m:r>
                <m:t>i</m:t>
              </m:r>
              <m:r>
                <m:rPr>
                  <m:sty m:val="p"/>
                </m:rPr>
                <m:t>=</m:t>
              </m:r>
              <m:r>
                <m:t>1</m:t>
              </m:r>
            </m:sub>
            <m:sup>
              <m:r>
                <m:t>5</m:t>
              </m:r>
            </m:sup>
            <m:e>
              <m:r>
                <m:rPr>
                  <m:scr m:val="double-struck"/>
                  <m:sty m:val="p"/>
                </m:rPr>
                <m:t>I</m:t>
              </m:r>
            </m:e>
          </m:nary>
          <m:d>
            <m:dPr>
              <m:begChr m:val="("/>
              <m:sepChr m:val=""/>
              <m:endChr m:val=")"/>
              <m:grow/>
            </m:dPr>
            <m:e>
              <m:sSub>
                <m:e>
                  <m:r>
                    <m:t>p</m:t>
                  </m:r>
                </m:e>
                <m:sub>
                  <m:r>
                    <m:t>i</m:t>
                  </m:r>
                </m:sub>
              </m:sSub>
              <m:r>
                <m:rPr>
                  <m:sty m:val="p"/>
                </m:rP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rPr>
              <m:sty m:val="p"/>
            </m:rP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bCs/>
        </w:rPr>
        <w:t xml:space="preserve">HOM</w:t>
      </w:r>
      <w:r>
        <w:t xml:space="preserve"> </w:t>
      </w:r>
      <w:r>
        <w:t xml:space="preserve">(</w:t>
      </w:r>
      <m:oMath>
        <m:r>
          <m:t>h</m:t>
        </m:r>
        <m:r>
          <m:rPr>
            <m:sty m:val="p"/>
          </m:rPr>
          <m:t>=</m:t>
        </m:r>
        <m:r>
          <m:t>0</m:t>
        </m:r>
      </m:oMath>
      <w:r>
        <w:t xml:space="preserve">): five agents using the primary-provider model;</w:t>
      </w:r>
    </w:p>
    <w:p>
      <w:pPr>
        <w:numPr>
          <w:ilvl w:val="0"/>
          <w:numId w:val="1002"/>
        </w:numPr>
      </w:pPr>
      <w:r>
        <w:rPr>
          <w:b/>
          <w:bCs/>
        </w:rPr>
        <w:t xml:space="preserve">HET-LITE</w:t>
      </w:r>
      <w:r>
        <w:t xml:space="preserve"> </w:t>
      </w:r>
      <w:r>
        <w:t xml:space="preserve">(</w:t>
      </w:r>
      <m:oMath>
        <m:r>
          <m:t>h</m:t>
        </m:r>
        <m:r>
          <m:rPr>
            <m:sty m:val="p"/>
          </m:rPr>
          <m:t>=</m:t>
        </m:r>
        <m:r>
          <m:t>1</m:t>
        </m:r>
      </m:oMath>
      <w:r>
        <w:t xml:space="preserve">): four primary-provider agents and one Google</w:t>
      </w:r>
      <w:r>
        <w:t xml:space="preserve"> </w:t>
      </w:r>
      <w:r>
        <w:t xml:space="preserve">agent;</w:t>
      </w:r>
    </w:p>
    <w:p>
      <w:pPr>
        <w:numPr>
          <w:ilvl w:val="0"/>
          <w:numId w:val="1002"/>
        </w:numPr>
      </w:pPr>
      <w:r>
        <w:rPr>
          <w:b/>
          <w:bCs/>
        </w:rPr>
        <w:t xml:space="preserve">HET</w:t>
      </w:r>
      <w:r>
        <w:t xml:space="preserve"> </w:t>
      </w:r>
      <w:r>
        <w:t xml:space="preserve">(</w:t>
      </w:r>
      <m:oMath>
        <m:r>
          <m:t>h</m:t>
        </m:r>
        <m:r>
          <m:rPr>
            <m:sty m:val="p"/>
          </m:rP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w:t>
      </w:r>
      <w:hyperlink w:anchor="tab:models">
        <w:r>
          <w:rPr>
            <w:rStyle w:val="Hyperlink"/>
          </w:rPr>
          <w:t xml:space="preserve">1</w:t>
        </w:r>
      </w:hyperlink>
      <w:r>
        <w:t xml:space="preserve">.</w:t>
      </w:r>
    </w:p>
    <w:bookmarkStart w:id="16" w:name="tab:models"/>
    <w:p>
      <w:pPr>
        <w:pStyle w:val="TableCaption"/>
      </w:pP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auto" w:w="0"/>
        <w:tblLook w:firstRow="1" w:lastRow="0" w:firstColumn="0" w:lastColumn="0" w:noHBand="0" w:noVBand="0" w:val="0020"/>
        <w:tblCaption w:val="Model registry (verified via a live probe). Prices are USD per 10^6 tokens at time of experiment."/>
      </w:tblPr>
      <w:tblGrid>
        <w:gridCol w:w="1980"/>
        <w:gridCol w:w="1980"/>
        <w:gridCol w:w="1980"/>
        <w:gridCol w:w="1980"/>
      </w:tblGrid>
      <w:tr>
        <w:trPr>
          <w:tblHeader w:val="on"/>
        </w:trPr>
        <w:tc>
          <w:tcPr/>
          <w:p>
            <w:pPr>
              <w:pStyle w:val="Compact"/>
              <w:jc w:val="left"/>
            </w:pPr>
            <w:r>
              <w:t xml:space="preserve">Provider (role)</w:t>
            </w:r>
          </w:p>
        </w:tc>
        <w:tc>
          <w:tcPr/>
          <w:p>
            <w:pPr>
              <w:pStyle w:val="Compact"/>
              <w:jc w:val="left"/>
            </w:pPr>
            <w:r>
              <w:t xml:space="preserve">Model string</w:t>
            </w:r>
          </w:p>
        </w:tc>
        <w:tc>
          <w:tcPr/>
          <w:p>
            <w:pPr>
              <w:pStyle w:val="Compact"/>
              <w:jc w:val="left"/>
            </w:pPr>
            <w:r>
              <w:t xml:space="preserve">In</w:t>
            </w:r>
          </w:p>
        </w:tc>
        <w:tc>
          <w:tcPr/>
          <w:p>
            <w:pPr>
              <w:pStyle w:val="Compact"/>
              <w:jc w:val="left"/>
            </w:pPr>
            <w:r>
              <w:t xml:space="preserve">Out</w:t>
            </w:r>
          </w:p>
        </w:tc>
      </w:tr>
      <w:tr>
        <w:tc>
          <w:tcPr/>
          <w:p>
            <w:pPr>
              <w:pStyle w:val="Compact"/>
              <w:jc w:val="left"/>
            </w:pPr>
            <w:r>
              <w:t xml:space="preserve">OpenAI (primary)</w:t>
            </w:r>
          </w:p>
        </w:tc>
        <w:tc>
          <w:tcPr/>
          <w:p>
            <w:pPr>
              <w:pStyle w:val="Compact"/>
              <w:jc w:val="left"/>
            </w:pPr>
            <w:r>
              <w:t xml:space="preserve">gpt-5.4-nano</w:t>
            </w:r>
          </w:p>
        </w:tc>
        <w:tc>
          <w:tcPr/>
          <w:p>
            <w:pPr>
              <w:pStyle w:val="Compact"/>
              <w:jc w:val="left"/>
            </w:pPr>
            <w:r>
              <w:t xml:space="preserve">0.20</w:t>
            </w:r>
          </w:p>
        </w:tc>
        <w:tc>
          <w:tcPr/>
          <w:p>
            <w:pPr>
              <w:pStyle w:val="Compact"/>
              <w:jc w:val="left"/>
            </w:pPr>
            <w:r>
              <w:t xml:space="preserve">1.25</w:t>
            </w:r>
          </w:p>
        </w:tc>
      </w:tr>
      <w:tr>
        <w:tc>
          <w:tcPr/>
          <w:p>
            <w:pPr>
              <w:pStyle w:val="Compact"/>
              <w:jc w:val="left"/>
            </w:pPr>
            <w:r>
              <w:t xml:space="preserve">Google (het.)</w:t>
            </w:r>
          </w:p>
        </w:tc>
        <w:tc>
          <w:tcPr/>
          <w:p>
            <w:pPr>
              <w:pStyle w:val="Compact"/>
              <w:jc w:val="left"/>
            </w:pPr>
            <w:r>
              <w:t xml:space="preserve">gemini-3.5-flash</w:t>
            </w:r>
          </w:p>
        </w:tc>
        <w:tc>
          <w:tcPr/>
          <w:p>
            <w:pPr>
              <w:pStyle w:val="Compact"/>
              <w:jc w:val="left"/>
            </w:pPr>
            <w:r>
              <w:t xml:space="preserve">1.50</w:t>
            </w:r>
          </w:p>
        </w:tc>
        <w:tc>
          <w:tcPr/>
          <w:p>
            <w:pPr>
              <w:pStyle w:val="Compact"/>
              <w:jc w:val="left"/>
            </w:pPr>
            <w:r>
              <w:t xml:space="preserve">9.00</w:t>
            </w:r>
          </w:p>
        </w:tc>
      </w:tr>
      <w:tr>
        <w:tc>
          <w:tcPr/>
          <w:p>
            <w:pPr>
              <w:pStyle w:val="Compact"/>
              <w:jc w:val="left"/>
            </w:pPr>
            <w:r>
              <w:t xml:space="preserve">xAI (het.)</w:t>
            </w:r>
          </w:p>
        </w:tc>
        <w:tc>
          <w:tcPr/>
          <w:p>
            <w:pPr>
              <w:pStyle w:val="Compact"/>
              <w:jc w:val="left"/>
            </w:pPr>
            <w:r>
              <w:t xml:space="preserve">grok-4.3</w:t>
            </w:r>
          </w:p>
        </w:tc>
        <w:tc>
          <w:tcPr/>
          <w:p>
            <w:pPr>
              <w:pStyle w:val="Compact"/>
              <w:jc w:val="left"/>
            </w:pPr>
            <w:r>
              <w:t xml:space="preserve">1.25</w:t>
            </w:r>
          </w:p>
        </w:tc>
        <w:tc>
          <w:tcPr/>
          <w:p>
            <w:pPr>
              <w:pStyle w:val="Compact"/>
              <w:jc w:val="left"/>
            </w:pPr>
            <w:r>
              <w:t xml:space="preserve">2.50</w:t>
            </w:r>
          </w:p>
        </w:tc>
      </w:tr>
    </w:tbl>
    <w:bookmarkEnd w:id="16"/>
    <w:bookmarkEnd w:id="17"/>
    <w:bookmarkStart w:id="18" w:name="agreement-statistic"/>
    <w:p>
      <w:pPr>
        <w:pStyle w:val="Heading2"/>
      </w:pPr>
      <w:r>
        <w:t xml:space="preserve">Agreement statistic</w:t>
      </w:r>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rPr>
            <m:sty m:val="p"/>
          </m:rPr>
          <m:t>=</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the five agents return one categorical</w:t>
      </w:r>
      <w:r>
        <w:t xml:space="preserve"> </w:t>
      </w:r>
      <w:r>
        <w:t xml:space="preserve">direction from</w:t>
      </w:r>
      <w:r>
        <w:t xml:space="preserve"> </w:t>
      </w:r>
      <m:oMath>
        <m:r>
          <m:rPr>
            <m:scr m:val="script"/>
            <m:sty m:val="p"/>
          </m:rPr>
          <m:t>Y</m:t>
        </m:r>
        <m:r>
          <m:rPr>
            <m:sty m:val="p"/>
          </m:rPr>
          <m:t>=</m:t>
        </m:r>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rPr>
                <m:sty m:val="p"/>
              </m:rPr>
              <m:t>,</m:t>
            </m:r>
            <m:r>
              <m:t>r</m:t>
            </m:r>
          </m:sub>
        </m:sSub>
      </m:oMath>
      <w:r>
        <w:t xml:space="preserve">. Configuration-level agreement is then defined as the</w:t>
      </w:r>
      <w:r>
        <w:t xml:space="preserve"> </w:t>
      </w:r>
      <w:r>
        <w:t xml:space="preserve">mean across the</w:t>
      </w:r>
      <w:r>
        <w:t xml:space="preserve"> </w:t>
      </w:r>
      <m:oMath>
        <m:r>
          <m:t>R</m:t>
        </m:r>
        <m:r>
          <m:rPr>
            <m:sty m:val="p"/>
          </m:rPr>
          <m:t>=</m:t>
        </m:r>
        <m:r>
          <m:t>3</m:t>
        </m:r>
      </m:oMath>
      <w:r>
        <w:t xml:space="preserve"> </w:t>
      </w:r>
      <w:r>
        <w:t xml:space="preserve">runs:</w:t>
      </w:r>
    </w:p>
    <w:p>
      <w:pPr>
        <w:pStyle w:val="BodyText"/>
      </w:pPr>
      <m:oMathPara>
        <m:oMathParaPr>
          <m:jc m:val="center"/>
        </m:oMathParaPr>
        <m:oMath>
          <m:sSub>
            <m:e>
              <m:r>
                <m:t>κ</m:t>
              </m:r>
            </m:e>
            <m:sub>
              <m:r>
                <m:t>c</m:t>
              </m:r>
            </m:sub>
          </m:sSub>
          <m:r>
            <m:rPr>
              <m:sty m:val="p"/>
            </m:rPr>
            <m:t>=</m:t>
          </m:r>
          <m:f>
            <m:fPr>
              <m:type m:val="bar"/>
            </m:fPr>
            <m:num>
              <m:r>
                <m:t>1</m:t>
              </m:r>
            </m:num>
            <m:den>
              <m:r>
                <m:t>R</m:t>
              </m:r>
            </m:den>
          </m:f>
          <m:nary>
            <m:naryPr>
              <m:chr m:val="∑"/>
              <m:limLoc m:val="undOvr"/>
              <m:subHide m:val="off"/>
              <m:supHide m:val="off"/>
            </m:naryPr>
            <m:sub>
              <m:r>
                <m:t>r</m:t>
              </m:r>
              <m:r>
                <m:rPr>
                  <m:sty m:val="p"/>
                </m:rPr>
                <m:t>=</m:t>
              </m:r>
              <m:r>
                <m:t>1</m:t>
              </m:r>
            </m:sub>
            <m:sup>
              <m:r>
                <m:t>R</m:t>
              </m:r>
            </m:sup>
            <m:e>
              <m:sSub>
                <m:e>
                  <m:r>
                    <m:t>κ</m:t>
                  </m:r>
                </m:e>
                <m:sub>
                  <m:r>
                    <m:t>c</m:t>
                  </m:r>
                  <m:r>
                    <m:rPr>
                      <m:sty m:val="p"/>
                    </m:rPr>
                    <m:t>,</m:t>
                  </m:r>
                  <m:r>
                    <m:t>r</m:t>
                  </m:r>
                </m:sub>
              </m:sSub>
            </m:e>
          </m:nary>
          <m:r>
            <m:rPr>
              <m:sty m:val="p"/>
            </m:rP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oMath>
      </m:oMathPara>
    </w:p>
    <w:p>
      <w:pPr>
        <w:pStyle w:val="FirstParagraph"/>
      </w:pPr>
      <w:r>
        <w:t xml:space="preserve">The pre-registered secondary contrasts are</w:t>
      </w:r>
    </w:p>
    <w:p>
      <w:pPr>
        <w:pStyle w:val="BodyText"/>
      </w:pPr>
      <m:oMathPara>
        <m:oMathParaPr>
          <m:jc m:val="center"/>
        </m:oMathParaPr>
        <m:oMath>
          <m:eqArr>
            <m:e>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t>&amp;</m:t>
              </m:r>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e>
            <m:e>
              <m:r>
                <m:rPr>
                  <m:sty m:val="p"/>
                </m:rP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t>&amp;</m:t>
              </m:r>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E</m:t>
                  </m:r>
                  <m:r>
                    <m:rPr>
                      <m:sty m:val="p"/>
                    </m:rPr>
                    <m:t>T</m:t>
                  </m:r>
                </m:sub>
              </m:sSub>
              <m:r>
                <m:rPr>
                  <m:sty m:val="p"/>
                </m:rPr>
                <m:t>.</m:t>
              </m:r>
            </m:e>
          </m:eqArr>
        </m:oMath>
      </m:oMathPara>
    </w:p>
    <w:p>
      <w:pPr>
        <w:pStyle w:val="FirstParagraph"/>
      </w:pPr>
      <w:r>
        <w:t xml:space="preserve">Positive values indicate that configurations with greater cross-provider</w:t>
      </w:r>
      <w:r>
        <w:t xml:space="preserve"> </w:t>
      </w:r>
      <w:r>
        <w:t xml:space="preserve">heterogeneity show lower within-ensemble agreement.</w:t>
      </w:r>
    </w:p>
    <w:bookmarkEnd w:id="18"/>
    <w:bookmarkStart w:id="20" w:name="subsec:estimand"/>
    <w:p>
      <w:pPr>
        <w:pStyle w:val="Heading2"/>
      </w:pPr>
      <w:r>
        <w:t xml:space="preserve">Independent-draw estimand</w:t>
      </w:r>
    </w:p>
    <w:p>
      <w:pPr>
        <w:pStyle w:val="FirstParagraph"/>
      </w:pPr>
      <w:bookmarkStart w:id="19" w:name="sec:estimand"/>
      <w:bookmarkEnd w:id="19"/>
      <w:r>
        <w:t xml:space="preserve"> </w:t>
      </w: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rPr>
                  <m:sty m:val="p"/>
                </m:rPr>
                <m:t>,</m:t>
              </m:r>
              <m:r>
                <m:t>c</m:t>
              </m:r>
              <m:r>
                <m:rPr>
                  <m:sty m:val="p"/>
                </m:rPr>
                <m:t>,</m:t>
              </m:r>
              <m:r>
                <m:t>s</m:t>
              </m:r>
              <m:r>
                <m:rPr>
                  <m:sty m:val="p"/>
                </m:rPr>
                <m:t>,</m:t>
              </m:r>
              <m:r>
                <m:t>i</m:t>
              </m:r>
            </m:sub>
          </m:sSub>
          <m:r>
            <m:rPr>
              <m:sty m:val="p"/>
            </m:rPr>
            <m:t>=</m:t>
          </m:r>
          <m:r>
            <m:rPr>
              <m:sty m:val="p"/>
            </m:rPr>
            <m:t>S</m:t>
          </m:r>
          <m:r>
            <m:rPr>
              <m:sty m:val="p"/>
            </m:rPr>
            <m:t>H</m:t>
          </m:r>
          <m:r>
            <m:rPr>
              <m:sty m:val="p"/>
            </m:rPr>
            <m:t>A</m:t>
          </m:r>
          <m:r>
            <m:rPr>
              <m:nor/>
              <m:sty m:val="p"/>
            </m:rPr>
            <m:t>-</m:t>
          </m:r>
          <m:r>
            <m:rPr>
              <m:sty m:val="p"/>
            </m:rPr>
            <m:t>256</m:t>
          </m:r>
          <m:r>
            <m:rPr>
              <m:sty m:val="p"/>
            </m:rPr>
            <m:t>(</m:t>
          </m:r>
          <m:r>
            <m:rPr>
              <m:sty m:val="p"/>
            </m:rPr>
            <m:t>m</m:t>
          </m:r>
          <m:r>
            <m:rPr>
              <m:sty m:val="p"/>
            </m:rPr>
            <m:t>a</m:t>
          </m:r>
          <m:r>
            <m:rPr>
              <m:sty m:val="p"/>
            </m:rPr>
            <m:t>s</m:t>
          </m:r>
          <m:r>
            <m:rPr>
              <m:sty m:val="p"/>
            </m:rPr>
            <m:t>t</m:t>
          </m:r>
          <m:r>
            <m:rPr>
              <m:sty m:val="p"/>
            </m:rPr>
            <m:t>e</m:t>
          </m:r>
          <m:r>
            <m:rPr>
              <m:sty m:val="p"/>
            </m:rPr>
            <m:t>r</m:t>
          </m:r>
          <m:r>
            <m:rPr>
              <m:sty m:val="p"/>
            </m:rPr>
            <m:t>,</m:t>
          </m:r>
          <m:r>
            <m:t>r</m:t>
          </m:r>
          <m:r>
            <m:rPr>
              <m:sty m:val="p"/>
            </m:rPr>
            <m:t>,</m:t>
          </m:r>
          <m:r>
            <m:t>c</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r>
            <m:t>i</m:t>
          </m:r>
          <m:r>
            <m:rPr>
              <m:sty m:val="p"/>
            </m:rPr>
            <m:t>)</m:t>
          </m:r>
          <m:r>
            <m:t> </m:t>
          </m:r>
          <m:r>
            <m:rPr>
              <m:sty m:val="p"/>
            </m:rPr>
            <m:t>mod</m:t>
          </m:r>
          <m:r>
            <m:t> </m:t>
          </m:r>
          <m:sSup>
            <m:e>
              <m:r>
                <m:t>2</m:t>
              </m:r>
            </m:e>
            <m:sup>
              <m:r>
                <m:t>31</m:t>
              </m:r>
            </m:sup>
          </m:sSup>
          <m:r>
            <m:rPr>
              <m:sty m:val="p"/>
            </m:rP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w:t>
      </w:r>
      <w:hyperlink w:anchor="sec:prereg">
        <w:r>
          <w:rPr>
            <w:rStyle w:val="Hyperlink"/>
          </w:rPr>
          <w:t xml:space="preserve">4.4</w:t>
        </w:r>
      </w:hyperlink>
      <w:r>
        <w:t xml:space="preserve">)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bookmarkEnd w:id="20"/>
    <w:bookmarkStart w:id="21" w:name="subsec:uncertainty"/>
    <w:p>
      <w:pPr>
        <w:pStyle w:val="Heading2"/>
      </w:pPr>
      <w:r>
        <w:t xml:space="preserve">Uncertainty quantification</w:t>
      </w:r>
    </w:p>
    <w:p>
      <w:pPr>
        <w:pStyle w:val="FirstParagraph"/>
      </w:pPr>
      <w:r>
        <w:t xml:space="preserve">Uncertainty in the agreement contrasts is estimated using a cluster bootstrap</w:t>
      </w:r>
      <w:r>
        <w:t xml:space="preserve"> </w:t>
      </w:r>
      <w:r>
        <w:t xml:space="preserve">with equities as the resampling unit </w:t>
      </w:r>
      <w:r>
        <w:t xml:space="preserve">(Efron and Tibshirani 1993)</w:t>
      </w:r>
      <w:r>
        <w:t xml:space="preserve">.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&gt;</m:t>
        </m:r>
        <m:r>
          <m:t>0</m:t>
        </m:r>
      </m:oMath>
      <w:r>
        <w:t xml:space="preserve"> </w:t>
      </w:r>
      <w:r>
        <w:t xml:space="preserve">and its 95% confidence interval excludes</w:t>
      </w:r>
      <w:r>
        <w:t xml:space="preserve"> </w:t>
      </w:r>
      <w:r>
        <w:t xml:space="preserve">zero.</w:t>
      </w:r>
    </w:p>
    <w:p>
      <w:pPr>
        <w:pStyle w:val="BodyText"/>
      </w:pPr>
      <w:r>
        <w:t xml:space="preserve">Equity is the pre-registered resampling unit because repeated observations are</w:t>
      </w:r>
      <w:r>
        <w:t xml:space="preserve"> </w:t>
      </w:r>
      <w:r>
        <w:t xml:space="preserve">nested within securities. Each equity is evaluated on 12 analysis dates, and</w:t>
      </w:r>
      <w:r>
        <w:t xml:space="preserve"> </w:t>
      </w:r>
      <w:r>
        <w:t xml:space="preserve">observations for the same security share company-specific context. Analysis dates</w:t>
      </w:r>
      <w:r>
        <w:t xml:space="preserve"> </w:t>
      </w:r>
      <w:r>
        <w:t xml:space="preserve">constitute a second crossed source of dependence because all securities evaluated</w:t>
      </w:r>
      <w:r>
        <w:t xml:space="preserve"> </w:t>
      </w:r>
      <w:r>
        <w:t xml:space="preserve">on a given date share common market conditions.</w:t>
      </w:r>
    </w:p>
    <w:p>
      <w:pPr>
        <w:pStyle w:val="BodyText"/>
      </w:pPr>
      <w:r>
        <w:t xml:space="preserve">Because equity and analysis date are crossed rather than nested, we additionally</w:t>
      </w:r>
      <w:r>
        <w:t xml:space="preserve"> </w:t>
      </w:r>
      <w:r>
        <w:t xml:space="preserve">assess uncertainty under a two-way resampling procedure. This follows the</w:t>
      </w:r>
      <w:r>
        <w:t xml:space="preserve"> </w:t>
      </w:r>
      <w:r>
        <w:t xml:space="preserve">crossed-resampling principle of the pigeonhole</w:t>
      </w:r>
      <w:r>
        <w:t xml:space="preserve"> </w:t>
      </w:r>
      <w:r>
        <w:t xml:space="preserve">bootstrap </w:t>
      </w:r>
      <w:r>
        <w:t xml:space="preserve">(Owen 2007)</w:t>
      </w:r>
      <w:r>
        <w:t xml:space="preserve">, in which the two margins are resampled</w:t>
      </w:r>
      <w:r>
        <w:t xml:space="preserve"> </w:t>
      </w:r>
      <w:r>
        <w:t xml:space="preserve">separately, and is motivated by the broader multiway-inference literature for</w:t>
      </w:r>
      <w:r>
        <w:t xml:space="preserve"> </w:t>
      </w:r>
      <w:r>
        <w:t xml:space="preserve">non-nested clustering dimensions </w:t>
      </w:r>
      <w:r>
        <w:t xml:space="preserve">(Cameron et al. 2011)</w:t>
      </w:r>
      <w:r>
        <w:t xml:space="preserve">; it is not an</w:t>
      </w:r>
      <w:r>
        <w:t xml:space="preserve"> </w:t>
      </w:r>
      <w:r>
        <w:t xml:space="preserve">implementation of a multiway variance estimator. We therefore assess the primary</w:t>
      </w:r>
      <w:r>
        <w:t xml:space="preserve"> </w:t>
      </w:r>
      <w:r>
        <w:t xml:space="preserve">contrast under three resampling schemes: equity clustering over 100 equities,</w:t>
      </w:r>
      <w:r>
        <w:t xml:space="preserve"> </w:t>
      </w:r>
      <w:r>
        <w:t xml:space="preserve">date clustering over 12 dates, and a two-way procedure in which equities and</w:t>
      </w:r>
      <w:r>
        <w:t xml:space="preserve"> </w:t>
      </w:r>
      <w:r>
        <w:t xml:space="preserve">dates are resampled independently, with multiplicity preserved on both margins,</w:t>
      </w:r>
      <w:r>
        <w:t xml:space="preserve"> </w:t>
      </w:r>
      <w:r>
        <w:t xml:space="preserve">and their sampled intersections retained. Results appear in Table </w:t>
      </w:r>
      <w:hyperlink w:anchor="tab:clustering">
        <w:r>
          <w:rPr>
            <w:rStyle w:val="Hyperlink"/>
          </w:rPr>
          <w:t xml:space="preserve">5</w:t>
        </w:r>
      </w:hyperlink>
      <w:r>
        <w:t xml:space="preserve">. The</w:t>
      </w:r>
      <w:r>
        <w:t xml:space="preserve"> </w:t>
      </w:r>
      <w:r>
        <w:t xml:space="preserve">point estimate is unchanged across schemes. The two-way interval is the widest, as</w:t>
      </w:r>
      <w:r>
        <w:t xml:space="preserve"> </w:t>
      </w:r>
      <w:r>
        <w:t xml:space="preserve">expected when both dependence structures are admitted, and it continues to exclude</w:t>
      </w:r>
      <w:r>
        <w:t xml:space="preserve"> </w:t>
      </w:r>
      <w:r>
        <w:t xml:space="preserve">zero.</w:t>
      </w:r>
    </w:p>
    <w:p>
      <w:pPr>
        <w:pStyle w:val="BodyText"/>
      </w:pPr>
      <w:r>
        <w:t xml:space="preserve">Because the date dimension contains only 12 clusters, inference based on that</w:t>
      </w:r>
      <w:r>
        <w:t xml:space="preserve"> </w:t>
      </w:r>
      <w:r>
        <w:t xml:space="preserve">margin may be imprecise. The pre-registered equity-clustered interval therefore</w:t>
      </w:r>
      <w:r>
        <w:t xml:space="preserve"> </w:t>
      </w:r>
      <w:r>
        <w:t xml:space="preserve">remains the primary analysis, while the date-clustered and two-way results are</w:t>
      </w:r>
      <w:r>
        <w:t xml:space="preserve"> </w:t>
      </w:r>
      <w:r>
        <w:t xml:space="preserve">reported as sensitivity analyses.</w:t>
      </w:r>
    </w:p>
    <w:bookmarkEnd w:id="21"/>
    <w:bookmarkEnd w:id="22"/>
    <w:bookmarkStart w:id="29" w:name="experimental-design"/>
    <w:p>
      <w:pPr>
        <w:pStyle w:val="Heading1"/>
      </w:pPr>
      <w:r>
        <w:t xml:space="preserve">Experimental Design</w:t>
      </w:r>
    </w:p>
    <w:bookmarkStart w:id="23" w:name="task-and-grid"/>
    <w:p>
      <w:pPr>
        <w:pStyle w:val="Heading2"/>
      </w:pPr>
      <w:r>
        <w:t xml:space="preserve">Task and grid</w:t>
      </w:r>
    </w:p>
    <w:p>
      <w:pPr>
        <w:pStyle w:val="FirstParagraph"/>
      </w:pPr>
      <w:r>
        <w:t xml:space="preserve">For each evaluation cell</w:t>
      </w:r>
      <w:r>
        <w:t xml:space="preserve"> </w:t>
      </w:r>
      <m:oMath>
        <m:r>
          <m:t>s</m:t>
        </m:r>
        <m:r>
          <m:rPr>
            <m:sty m:val="p"/>
          </m:rPr>
          <m:t>=</m:t>
        </m:r>
        <m:r>
          <m:rPr>
            <m:sty m:val="p"/>
          </m:rPr>
          <m:t>(</m:t>
        </m:r>
        <m:r>
          <m:t>j</m:t>
        </m:r>
        <m:r>
          <m:rPr>
            <m:sty m:val="p"/>
          </m:rPr>
          <m:t>,</m:t>
        </m:r>
        <m:r>
          <m:t>t</m:t>
        </m:r>
        <m:r>
          <m:rPr>
            <m:sty m:val="p"/>
          </m:rP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rPr>
            <m:sty m:val="p"/>
          </m:rPr>
          <m:t>×</m:t>
        </m:r>
        <m:r>
          <m:t>12</m:t>
        </m:r>
        <m:r>
          <m:rPr>
            <m:sty m:val="p"/>
          </m:rPr>
          <m:t>×</m:t>
        </m:r>
        <m:r>
          <m:t>3</m:t>
        </m:r>
        <m:r>
          <m:rPr>
            <m:sty m:val="p"/>
          </m:rPr>
          <m:t>×</m:t>
        </m:r>
        <m:r>
          <m:t>3</m:t>
        </m:r>
        <m:r>
          <m:rPr>
            <m:sty m:val="p"/>
          </m:rPr>
          <m:t>×</m:t>
        </m:r>
        <m:r>
          <m:t>5</m:t>
        </m:r>
        <m:r>
          <m:rPr>
            <m:sty m:val="p"/>
          </m:rPr>
          <m:t>=</m:t>
        </m:r>
        <m:r>
          <m:t>54</m:t>
        </m:r>
        <m:r>
          <m:rPr>
            <m:sty m:val="p"/>
          </m:rP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bookmarkEnd w:id="23"/>
    <w:bookmarkStart w:id="24" w:name="no-lookahead-context"/>
    <w:p>
      <w:pPr>
        <w:pStyle w:val="Heading2"/>
      </w:pPr>
      <w:r>
        <w:t xml:space="preserve">No-lookahead context</w:t>
      </w:r>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rPr>
                  <m:sty m:val="p"/>
                </m:rPr>
                <m:t>,</m:t>
              </m:r>
              <m:r>
                <m:t>t</m:t>
              </m:r>
            </m:sub>
          </m:sSub>
          <m:r>
            <m:rPr>
              <m:sty m:val="p"/>
            </m:rPr>
            <m:t>=</m:t>
          </m:r>
          <m:f>
            <m:fPr>
              <m:type m:val="bar"/>
            </m:fPr>
            <m:num>
              <m:sSub>
                <m:e>
                  <m:r>
                    <m:t>P</m:t>
                  </m:r>
                </m:e>
                <m:sub>
                  <m:r>
                    <m:t>j</m:t>
                  </m:r>
                  <m:r>
                    <m:rPr>
                      <m:sty m:val="p"/>
                    </m:rPr>
                    <m:t>,</m:t>
                  </m:r>
                  <m:r>
                    <m:t>t</m:t>
                  </m:r>
                  <m:r>
                    <m:rPr>
                      <m:sty m:val="p"/>
                    </m:rPr>
                    <m:t>−</m:t>
                  </m:r>
                  <m:r>
                    <m:t>1</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num>
            <m:den>
              <m:limLow>
                <m:e>
                  <m:r>
                    <m:rPr>
                      <m:sty m:val="p"/>
                    </m:rPr>
                    <m:t>max</m:t>
                  </m:r>
                </m:e>
                <m:lim>
                  <m:r>
                    <m:t>τ</m:t>
                  </m:r>
                  <m:r>
                    <m:rPr>
                      <m:sty m:val="p"/>
                    </m:rPr>
                    <m:t>∈</m:t>
                  </m:r>
                  <m:sSub>
                    <m:e>
                      <m:r>
                        <m:t>W</m:t>
                      </m:r>
                    </m:e>
                    <m:sub>
                      <m:r>
                        <m:t>63</m:t>
                      </m:r>
                    </m:sub>
                  </m:sSub>
                </m:lim>
              </m:limLow>
              <m:sSub>
                <m:e>
                  <m:r>
                    <m:t>P</m:t>
                  </m:r>
                </m:e>
                <m:sub>
                  <m:r>
                    <m:t>j</m:t>
                  </m:r>
                  <m:r>
                    <m:rPr>
                      <m:sty m:val="p"/>
                    </m:rPr>
                    <m:t>,</m:t>
                  </m:r>
                  <m:r>
                    <m:t>τ</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den>
          </m:f>
          <m:r>
            <m:rPr>
              <m:sty m:val="p"/>
            </m:rP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bookmarkEnd w:id="24"/>
    <w:bookmarkStart w:id="26" w:name="models"/>
    <w:p>
      <w:pPr>
        <w:pStyle w:val="Heading2"/>
      </w:pPr>
      <w:r>
        <w:t xml:space="preserve">Models</w:t>
      </w:r>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w:t>
      </w:r>
      <w:hyperlink w:anchor="tab:models">
        <w:r>
          <w:rPr>
            <w:rStyle w:val="Hyperlink"/>
          </w:rPr>
          <w:t xml:space="preserve">1</w:t>
        </w:r>
      </w:hyperlink>
      <w:r>
        <w:t xml:space="preserve">,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w:t>
      </w:r>
      <w:hyperlink w:anchor="sec:estimand">
        <w:r>
          <w:rPr>
            <w:rStyle w:val="Hyperlink"/>
          </w:rPr>
          <w:t xml:space="preserve">[sec:estimand]</w:t>
        </w:r>
      </w:hyperlink>
      <w:r>
        <w:t xml:space="preserve">.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25" w:name="tab:endpoints"/>
    <w:p>
      <w:pPr>
        <w:pStyle w:val="TableCaption"/>
      </w:pPr>
      <w:r>
        <w:t xml:space="preserve">Primary and secondary</w:t>
      </w:r>
      <w:r>
        <w:t xml:space="preserve"> </w:t>
      </w:r>
      <m:oMath>
        <m:r>
          <m:rPr>
            <m:sty m:val="p"/>
          </m:rP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auto" w:w="0"/>
        <w:tblLook w:firstRow="1" w:lastRow="0" w:firstColumn="0" w:lastColumn="0" w:noHBand="0" w:noVBand="0" w:val="0020"/>
        <w:tblCaption w:val="Primary and secondary \Delta\kappa (cluster bootstrap over equities, 2,000 draws, seed 42)."/>
      </w:tblPr>
      <w:tblGrid>
        <w:gridCol w:w="2640"/>
        <w:gridCol w:w="2640"/>
        <w:gridCol w:w="2640"/>
      </w:tblGrid>
      <w:tr>
        <w:trPr>
          <w:tblHeader w:val="on"/>
        </w:trPr>
        <w:tc>
          <w:tcPr/>
          <w:p>
            <w:pPr>
              <w:pStyle w:val="Compact"/>
              <w:jc w:val="left"/>
            </w:pPr>
            <w:r>
              <w:t xml:space="preserve">Contrast</w:t>
            </w:r>
          </w:p>
        </w:tc>
        <w:tc>
          <w:tcPr/>
          <w:p>
            <w:pPr>
              <w:pStyle w:val="Compact"/>
              <w:jc w:val="left"/>
            </w:pPr>
            <m:oMath>
              <m:r>
                <m:rPr>
                  <m:sty m:val="p"/>
                </m:rPr>
                <m:t>Δ</m:t>
              </m:r>
              <m:r>
                <m:t>κ</m:t>
              </m:r>
            </m:oMath>
            <w:r>
              <w:t xml:space="preserve">​</w:t>
            </w:r>
          </w:p>
        </w:tc>
        <w:tc>
          <w:tcPr/>
          <w:p>
            <w:pPr>
              <w:pStyle w:val="Compact"/>
              <w:jc w:val="left"/>
            </w:pPr>
            <w:r>
              <w:t xml:space="preserve">95% CI</w:t>
            </w:r>
          </w:p>
        </w:tc>
      </w:tr>
      <w:tr>
        <w:tc>
          <w:tcPr/>
          <w:p>
            <w:pPr>
              <w:pStyle w:val="Compact"/>
              <w:jc w:val="left"/>
            </w:pPr>
            <w:r>
              <w:t xml:space="preserve">HOM</w:t>
            </w:r>
            <w:r>
              <w:t xml:space="preserve"> </w:t>
            </w:r>
            <m:oMath>
              <m:r>
                <m:rPr>
                  <m:sty m:val="p"/>
                </m:rPr>
                <m:t>−</m:t>
              </m:r>
            </m:oMath>
            <w:r>
              <w:t xml:space="preserve"> </w:t>
            </w:r>
            <w:r>
              <w:t xml:space="preserve">HET (primary)</w:t>
            </w:r>
          </w:p>
        </w:tc>
        <w:tc>
          <w:tcPr/>
          <w:p>
            <w:pPr>
              <w:pStyle w:val="Compact"/>
              <w:jc w:val="left"/>
            </w:pPr>
            <w:r>
              <w:t xml:space="preserve">0.336</w:t>
            </w:r>
          </w:p>
        </w:tc>
        <w:tc>
          <w:tcPr/>
          <w:p>
            <w:pPr>
              <w:pStyle w:val="Compact"/>
              <w:jc w:val="left"/>
            </w:pPr>
            <m:oMath>
              <m:r>
                <m:rPr>
                  <m:sty m:val="p"/>
                </m:rPr>
                <m:t>[</m:t>
              </m:r>
              <m:r>
                <m:t>0.304</m:t>
              </m:r>
              <m:r>
                <m:rPr>
                  <m:sty m:val="p"/>
                </m:rPr>
                <m:t>,</m:t>
              </m:r>
              <m:r>
                <m:t> </m:t>
              </m:r>
              <m:r>
                <m:t>0.369</m:t>
              </m:r>
              <m:r>
                <m:rPr>
                  <m:sty m:val="p"/>
                </m:rPr>
                <m:t>]</m:t>
              </m:r>
            </m:oMath>
            <w:r>
              <w:t xml:space="preserve">​</w:t>
            </w:r>
          </w:p>
        </w:tc>
      </w:tr>
      <w:tr>
        <w:tc>
          <w:tcPr/>
          <w:p>
            <w:pPr>
              <w:pStyle w:val="Compact"/>
              <w:jc w:val="left"/>
            </w:pPr>
            <w:r>
              <w:t xml:space="preserve">HOM</w:t>
            </w:r>
            <w:r>
              <w:t xml:space="preserve"> </w:t>
            </w:r>
            <m:oMath>
              <m:r>
                <m:rPr>
                  <m:sty m:val="p"/>
                </m:rPr>
                <m:t>−</m:t>
              </m:r>
            </m:oMath>
            <w:r>
              <w:t xml:space="preserve"> </w:t>
            </w:r>
            <w:r>
              <w:t xml:space="preserve">HET-LITE</w:t>
            </w:r>
          </w:p>
        </w:tc>
        <w:tc>
          <w:tcPr/>
          <w:p>
            <w:pPr>
              <w:pStyle w:val="Compact"/>
              <w:jc w:val="left"/>
            </w:pPr>
            <w:r>
              <w:t xml:space="preserve">0.249</w:t>
            </w:r>
          </w:p>
        </w:tc>
        <w:tc>
          <w:tcPr/>
          <w:p>
            <w:pPr>
              <w:pStyle w:val="Compact"/>
              <w:jc w:val="left"/>
            </w:pPr>
            <m:oMath>
              <m:r>
                <m:rPr>
                  <m:sty m:val="p"/>
                </m:rPr>
                <m:t>[</m:t>
              </m:r>
              <m:r>
                <m:t>0.218</m:t>
              </m:r>
              <m:r>
                <m:rPr>
                  <m:sty m:val="p"/>
                </m:rPr>
                <m:t>,</m:t>
              </m:r>
              <m:r>
                <m:t> </m:t>
              </m:r>
              <m:r>
                <m:t>0.280</m:t>
              </m:r>
              <m:r>
                <m:rPr>
                  <m:sty m:val="p"/>
                </m:rPr>
                <m:t>]</m:t>
              </m:r>
            </m:oMath>
            <w:r>
              <w:t xml:space="preserve">​</w:t>
            </w:r>
          </w:p>
        </w:tc>
      </w:tr>
      <w:tr>
        <w:tc>
          <w:tcPr/>
          <w:p>
            <w:pPr>
              <w:pStyle w:val="Compact"/>
              <w:jc w:val="left"/>
            </w:pPr>
            <w:r>
              <w:t xml:space="preserve">HET-LITE</w:t>
            </w:r>
            <w:r>
              <w:t xml:space="preserve"> </w:t>
            </w:r>
            <m:oMath>
              <m:r>
                <m:rPr>
                  <m:sty m:val="p"/>
                </m:rPr>
                <m:t>−</m:t>
              </m:r>
            </m:oMath>
            <w:r>
              <w:t xml:space="preserve"> </w:t>
            </w:r>
            <w:r>
              <w:t xml:space="preserve">HET</w:t>
            </w:r>
          </w:p>
        </w:tc>
        <w:tc>
          <w:tcPr/>
          <w:p>
            <w:pPr>
              <w:pStyle w:val="Compact"/>
              <w:jc w:val="left"/>
            </w:pPr>
            <w:r>
              <w:t xml:space="preserve">0.087</w:t>
            </w:r>
          </w:p>
        </w:tc>
        <w:tc>
          <w:tcPr/>
          <w:p>
            <w:pPr>
              <w:pStyle w:val="Compact"/>
              <w:jc w:val="left"/>
            </w:pPr>
            <m:oMath>
              <m:r>
                <m:rPr>
                  <m:sty m:val="p"/>
                </m:rPr>
                <m:t>[</m:t>
              </m:r>
              <m:r>
                <m:t>0.067</m:t>
              </m:r>
              <m:r>
                <m:rPr>
                  <m:sty m:val="p"/>
                </m:rPr>
                <m:t>,</m:t>
              </m:r>
              <m:r>
                <m:t> </m:t>
              </m:r>
              <m:r>
                <m:t>0.105</m:t>
              </m:r>
              <m:r>
                <m:rPr>
                  <m:sty m:val="p"/>
                </m:rPr>
                <m:t>]</m:t>
              </m:r>
            </m:oMath>
            <w:r>
              <w:t xml:space="preserve">​</w:t>
            </w:r>
          </w:p>
        </w:tc>
      </w:tr>
    </w:tbl>
    <w:bookmarkEnd w:id="25"/>
    <w:bookmarkEnd w:id="26"/>
    <w:bookmarkStart w:id="27" w:name="sec:prereg"/>
    <w:p>
      <w:pPr>
        <w:pStyle w:val="Heading2"/>
      </w:pPr>
      <w:r>
        <w:t xml:space="preserve">Pre-registration, freezing, and reproducibility</w:t>
      </w:r>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The released</w:t>
      </w:r>
      <w:r>
        <w:t xml:space="preserve"> </w:t>
      </w:r>
      <w:r>
        <w:t xml:space="preserve">package contains timestamped cryptographic freeze receipts establishing that the</w:t>
      </w:r>
      <w:r>
        <w:t xml:space="preserve"> </w:t>
      </w:r>
      <w:r>
        <w:t xml:space="preserve">pre-registered design preceded data collection. Each receipt records the UTC</w:t>
      </w:r>
      <w:r>
        <w:t xml:space="preserve"> </w:t>
      </w:r>
      <w:r>
        <w:t xml:space="preserve">freeze time, the commit that carried the frozen artifacts, and the SHA-256 of the</w:t>
      </w:r>
      <w:r>
        <w:t xml:space="preserve"> </w:t>
      </w:r>
      <w:r>
        <w:t xml:space="preserve">configuration, agent and analysis code, prompt template, pre-registration, grid,</w:t>
      </w:r>
      <w:r>
        <w:t xml:space="preserve"> </w:t>
      </w:r>
      <w:r>
        <w:t xml:space="preserve">and model manifest; the cross-domain replication has its own receipt, recorded</w:t>
      </w:r>
      <w:r>
        <w:t xml:space="preserve"> </w:t>
      </w:r>
      <w:r>
        <w:t xml:space="preserve">before any API call for that arm.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bookmarkEnd w:id="27"/>
    <w:bookmarkStart w:id="28" w:name="subsec:provenance"/>
    <w:p>
      <w:pPr>
        <w:pStyle w:val="Heading2"/>
      </w:pPr>
      <w:r>
        <w:t xml:space="preserve">Collection provenance and retry accounting</w:t>
      </w:r>
    </w:p>
    <w:p>
      <w:pPr>
        <w:pStyle w:val="FirstParagraph"/>
      </w:pPr>
      <w:r>
        <w:t xml:space="preserve">The confirmatory grid contains 54</w:t>
      </w:r>
      <w:r>
        <w:t xml:space="preserve">,</w:t>
      </w:r>
      <w:r>
        <w:t xml:space="preserve">000 planned responses, all of which</w:t>
      </w:r>
      <w:r>
        <w:t xml:space="preserve"> </w:t>
      </w:r>
      <w:r>
        <w:t xml:space="preserve">ultimately returned valid outputs. Completing the grid required 94</w:t>
      </w:r>
      <w:r>
        <w:t xml:space="preserve">,</w:t>
      </w:r>
      <w:r>
        <w:t xml:space="preserve">566 API</w:t>
      </w:r>
      <w:r>
        <w:t xml:space="preserve"> </w:t>
      </w:r>
      <w:r>
        <w:t xml:space="preserve">requests. Of the 40</w:t>
      </w:r>
      <w:r>
        <w:t xml:space="preserve">,</w:t>
      </w:r>
      <w:r>
        <w:t xml:space="preserve">566 unsuccessful requests, 40</w:t>
      </w:r>
      <w:r>
        <w:t xml:space="preserve">,</w:t>
      </w:r>
      <w:r>
        <w:t xml:space="preserve">544 were provider</w:t>
      </w:r>
      <w:r>
        <w:t xml:space="preserve"> </w:t>
      </w:r>
      <w:r>
        <w:t xml:space="preserve">rate-limit or quota responses and 22 were transport or schema failures. Because</w:t>
      </w:r>
      <w:r>
        <w:t xml:space="preserve"> </w:t>
      </w:r>
      <w:r>
        <w:t xml:space="preserve">rate-limit and quota responses returned no model completion, retrying them did</w:t>
      </w:r>
      <w:r>
        <w:t xml:space="preserve"> </w:t>
      </w:r>
      <w:r>
        <w:t xml:space="preserve">not select observations based on generated content.</w:t>
      </w:r>
    </w:p>
    <w:p>
      <w:pPr>
        <w:pStyle w:val="BodyText"/>
      </w:pPr>
      <w:r>
        <w:t xml:space="preserve">Every request attempt is retained in the released log. Request settings were</w:t>
      </w:r>
      <w:r>
        <w:t xml:space="preserve"> </w:t>
      </w:r>
      <w:r>
        <w:t xml:space="preserve">fixed across configurations, including temperature 0.7, per-agent seed</w:t>
      </w:r>
      <w:r>
        <w:t xml:space="preserve"> </w:t>
      </w:r>
      <w:r>
        <w:t xml:space="preserve">construction, a 256-token completion limit, and strict JSON output. The released</w:t>
      </w:r>
      <w:r>
        <w:t xml:space="preserve"> </w:t>
      </w:r>
      <w:r>
        <w:t xml:space="preserve">reproducibility materials contain the prompts, prompt hashes, model identifiers,</w:t>
      </w:r>
      <w:r>
        <w:t xml:space="preserve"> </w:t>
      </w:r>
      <w:r>
        <w:t xml:space="preserve">prices, experimental configuration, and preregistration records.</w:t>
      </w:r>
    </w:p>
    <w:bookmarkEnd w:id="28"/>
    <w:bookmarkEnd w:id="29"/>
    <w:bookmarkStart w:id="72" w:name="results"/>
    <w:p>
      <w:pPr>
        <w:pStyle w:val="Heading1"/>
      </w:pPr>
      <w:r>
        <w:t xml:space="preserve">Results</w:t>
      </w:r>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bookmarkStart w:id="34" w:name="subsec:primary"/>
    <w:p>
      <w:pPr>
        <w:pStyle w:val="Heading2"/>
      </w:pPr>
      <w:r>
        <w:t xml:space="preserve">Heterogeneity and ensemble agreement (primary)</w:t>
      </w:r>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w:t>
      </w:r>
      <w:hyperlink w:anchor="tab:frontier">
        <w:r>
          <w:rPr>
            <w:rStyle w:val="Hyperlink"/>
          </w:rPr>
          <w:t xml:space="preserve">4</w:t>
        </w:r>
      </w:hyperlink>
      <w:r>
        <w:t xml:space="preserve"> </w:t>
      </w:r>
      <w:r>
        <w:t xml:space="preserve">and illustrated in</w:t>
      </w:r>
      <w:r>
        <w:t xml:space="preserve"> </w:t>
      </w:r>
      <w:r>
        <w:t xml:space="preserve">Fig. </w:t>
      </w:r>
      <w:hyperlink w:anchor="fig:frontier">
        <w:r>
          <w:rPr>
            <w:rStyle w:val="Hyperlink"/>
          </w:rPr>
          <w:t xml:space="preserve">1</w:t>
        </w:r>
      </w:hyperlink>
      <w:r>
        <w:t xml:space="preserve">. Using the unrounded configuration-level estimates, the</w:t>
      </w:r>
      <w:r>
        <w:t xml:space="preserve"> </w:t>
      </w:r>
      <w:r>
        <w:t xml:space="preserve">pre-registered primary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r>
            <m:t>0.336</m:t>
          </m:r>
          <m:r>
            <m:rPr>
              <m:sty m:val="p"/>
            </m:rPr>
            <m:t>,</m:t>
          </m:r>
        </m:oMath>
      </m:oMathPara>
    </w:p>
    <w:p>
      <w:pPr>
        <w:pStyle w:val="FirstParagraph"/>
      </w:pPr>
      <w:r>
        <w:t xml:space="preserve">with a 95% cluster-bootstrap confidence interval of</w:t>
      </w:r>
      <w:r>
        <w:t xml:space="preserve"> </w:t>
      </w:r>
      <m:oMath>
        <m:r>
          <m:rPr>
            <m:sty m:val="p"/>
          </m:rPr>
          <m:t>[</m:t>
        </m:r>
        <m:r>
          <m:t>0.304</m:t>
        </m:r>
        <m:r>
          <m:rPr>
            <m:sty m:val="p"/>
          </m:rPr>
          <m:t>,</m:t>
        </m:r>
        <m:r>
          <m:t>0.369</m:t>
        </m:r>
        <m:r>
          <m:rPr>
            <m:sty m:val="p"/>
          </m:rPr>
          <m:t>]</m:t>
        </m:r>
      </m:oMath>
      <w:r>
        <w:t xml:space="preserve">. Because</w:t>
      </w:r>
      <w:r>
        <w:t xml:space="preserve"> </w:t>
      </w:r>
      <w:r>
        <w:t xml:space="preserve">the confidence interval excludes zero, the pre-registered primary hypothesis</w:t>
      </w:r>
      <w:r>
        <w:t xml:space="preserve"> </w:t>
      </w:r>
      <w:r>
        <w:t xml:space="preserve">that greater cross-provider heterogeneity is associated with lower</w:t>
      </w:r>
      <w:r>
        <w:t xml:space="preserve"> </w:t>
      </w:r>
      <w:r>
        <w:t xml:space="preserve">within-ensemble agreement is supported. In Landis–Koch </w:t>
      </w:r>
      <w:r>
        <w:t xml:space="preserve">(Landis and Koch 1977)</w:t>
      </w:r>
      <w:r>
        <w:t xml:space="preserve"> </w:t>
      </w:r>
      <w:r>
        <w:t xml:space="preserve">terms, homogeneous ensembles reach</w:t>
      </w:r>
      <w:r>
        <w:t xml:space="preserve"> </w:t>
      </w:r>
      <w:r>
        <w:t xml:space="preserve">“moderate–substantial”</w:t>
      </w:r>
      <w:r>
        <w:t xml:space="preserve"> </w:t>
      </w:r>
      <w:r>
        <w:t xml:space="preserve">internal agreement while fully heterogeneous ones fall</w:t>
      </w:r>
      <w:r>
        <w:t xml:space="preserve"> </w:t>
      </w:r>
      <w:r>
        <w:t xml:space="preserve">to</w:t>
      </w:r>
      <w:r>
        <w:t xml:space="preserve"> </w:t>
      </w:r>
      <w:r>
        <w:t xml:space="preserve">“fair.”</w:t>
      </w:r>
      <w:r>
        <w:t xml:space="preserve"> </w:t>
      </w:r>
      <w:r>
        <w:t xml:space="preserve">Both pre-registered secondary contrasts are also positive, with</w:t>
      </w:r>
      <w:r>
        <w:t xml:space="preserve"> </w:t>
      </w:r>
      <w:r>
        <w:t xml:space="preserve">confidence intervals excluding zero (Table </w:t>
      </w:r>
      <w:hyperlink w:anchor="tab:endpoints">
        <w:r>
          <w:rPr>
            <w:rStyle w:val="Hyperlink"/>
          </w:rPr>
          <w:t xml:space="preserve">2</w:t>
        </w:r>
      </w:hyperlink>
      <w:r>
        <w:t xml:space="preserve">); under the</w:t>
      </w:r>
      <w:r>
        <w:t xml:space="preserve"> </w:t>
      </w:r>
      <w:r>
        <w:t xml:space="preserve">two-way scheme of Section </w:t>
      </w:r>
      <w:hyperlink w:anchor="subsec:uncertainty">
        <w:r>
          <w:rPr>
            <w:rStyle w:val="Hyperlink"/>
          </w:rPr>
          <w:t xml:space="preserve">3.4</w:t>
        </w:r>
      </w:hyperlink>
      <w:r>
        <w:t xml:space="preserve"> </w:t>
      </w:r>
      <w:r>
        <w:t xml:space="preserve">they remain so, at</w:t>
      </w:r>
      <w:r>
        <w:t xml:space="preserve"> </w:t>
      </w:r>
      <m:oMath>
        <m:r>
          <m:rPr>
            <m:sty m:val="p"/>
          </m:rPr>
          <m:t>[</m:t>
        </m:r>
        <m:r>
          <m:t>0.208</m:t>
        </m:r>
        <m:r>
          <m:rPr>
            <m:sty m:val="p"/>
          </m:rPr>
          <m:t>,</m:t>
        </m:r>
        <m:r>
          <m:t> </m:t>
        </m:r>
        <m:r>
          <m:t>0.290</m:t>
        </m:r>
        <m:r>
          <m:rPr>
            <m:sty m:val="p"/>
          </m:rPr>
          <m:t>]</m:t>
        </m:r>
      </m:oMath>
      <w:r>
        <w:t xml:space="preserve"> </w:t>
      </w:r>
      <w:r>
        <w:t xml:space="preserve">and</w:t>
      </w:r>
      <w:r>
        <w:t xml:space="preserve"> </w:t>
      </w:r>
      <m:oMath>
        <m:r>
          <m:rPr>
            <m:sty m:val="p"/>
          </m:rPr>
          <m:t>[</m:t>
        </m:r>
        <m:r>
          <m:t>0.045</m:t>
        </m:r>
        <m:r>
          <m:rPr>
            <m:sty m:val="p"/>
          </m:rPr>
          <m:t>,</m:t>
        </m:r>
        <m:r>
          <m:t> </m:t>
        </m:r>
        <m:r>
          <m:t>0.123</m:t>
        </m:r>
        <m:r>
          <m:rPr>
            <m:sty m:val="p"/>
          </m:rPr>
          <m:t>]</m:t>
        </m:r>
      </m:oMath>
      <w:r>
        <w:t xml:space="preserve"> </w:t>
      </w:r>
      <w:r>
        <w:t xml:space="preserve">respectively. Agreement</w:t>
      </w:r>
      <w:r>
        <w:t xml:space="preserve"> </w:t>
      </w:r>
      <w:r>
        <w:t xml:space="preserve">therefore decreases at each observed increase in heterogeneity, from HOM to</w:t>
      </w:r>
      <w:r>
        <w:t xml:space="preserve"> </w:t>
      </w:r>
      <w:r>
        <w:t xml:space="preserve">HET-LITE and from HET-LITE to HET. Across the evaluated</w:t>
      </w:r>
      <w:r>
        <w:t xml:space="preserve"> </w:t>
      </w:r>
      <w:r>
        <w:t xml:space="preserve">configurations the ordering is monotonic: agreement is lower at each higher level</w:t>
      </w:r>
      <w:r>
        <w:t xml:space="preserve"> </w:t>
      </w:r>
      <w:r>
        <w:t xml:space="preserve">of cross-provider heterogeneity in this task.</w:t>
      </w:r>
    </w:p>
    <w:bookmarkStart w:id="33" w:name="fig:frontier"/>
    <w:p>
      <w:pPr>
        <w:pStyle w:val="CaptionedFigure"/>
      </w:pPr>
      <w:r>
        <w:drawing>
          <wp:inline>
            <wp:extent cx="5334000" cy="3733799"/>
            <wp:effectExtent b="0" l="0" r="0" t="0"/>
            <wp:docPr descr="" title="" id="31" name="Picture"/>
            <a:graphic>
              <a:graphicData uri="http://schemas.openxmlformats.org/drawingml/2006/picture">
                <pic:pic>
                  <pic:nvPicPr>
                    <pic:cNvPr descr="fig1_frontier.png" id="32" name="Picture"/>
                    <pic:cNvPicPr>
                      <a:picLocks noChangeArrowheads="1" noChangeAspect="1"/>
                    </pic:cNvPicPr>
                  </pic:nvPicPr>
                  <pic:blipFill>
                    <a:blip r:embed="rId30"/>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rPr>
            <m:sty m:val="p"/>
          </m:rPr>
          <m:t>{</m:t>
        </m:r>
        <m:r>
          <m:t>0</m:t>
        </m:r>
        <m:r>
          <m:rPr>
            <m:sty m:val="p"/>
          </m:rPr>
          <m:t>,</m:t>
        </m:r>
        <m:r>
          <m:t>1</m:t>
        </m:r>
        <m:r>
          <m:rPr>
            <m:sty m:val="p"/>
          </m:rPr>
          <m:t>,</m:t>
        </m:r>
        <m:r>
          <m:t>3</m:t>
        </m:r>
        <m:r>
          <m:rPr>
            <m:sty m:val="p"/>
          </m:rP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bookmarkEnd w:id="33"/>
    <w:bookmarkEnd w:id="34"/>
    <w:bookmarkStart w:id="38" w:name="robustness-of-the-agreement-statistic"/>
    <w:p>
      <w:pPr>
        <w:pStyle w:val="Heading2"/>
      </w:pPr>
      <w:r>
        <w:t xml:space="preserve">Robustness of the agreement statistic</w:t>
      </w:r>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 </w:t>
      </w:r>
      <w:r>
        <w:t xml:space="preserve">(Krippendorff 2019)</w:t>
      </w:r>
      <w:r>
        <w:t xml:space="preserve"> </w:t>
      </w:r>
      <w:r>
        <w:t xml:space="preserve">for nominal outcomes and Gwet’s</w:t>
      </w:r>
      <w:r>
        <w:t xml:space="preserve"> </w:t>
      </w:r>
      <w:r>
        <w:t xml:space="preserve">AC1 </w:t>
      </w:r>
      <w:r>
        <w:t xml:space="preserve">(Gwet 2008)</w:t>
      </w:r>
      <w:r>
        <w:t xml:space="preserve">. All three statistics produce the same monotonic</w:t>
      </w:r>
      <w:r>
        <w:t xml:space="preserve"> </w:t>
      </w:r>
      <w:r>
        <w:t xml:space="preserve">configuration ordering: HOM</w:t>
      </w:r>
      <w:r>
        <w:t xml:space="preserve"> </w:t>
      </w:r>
      <m:oMath>
        <m:r>
          <m:rPr>
            <m:sty m:val="p"/>
          </m:rPr>
          <m:t>&gt;</m:t>
        </m:r>
      </m:oMath>
      <w:r>
        <w:t xml:space="preserve"> </w:t>
      </w:r>
      <w:r>
        <w:t xml:space="preserve">HET-LITE</w:t>
      </w:r>
      <w:r>
        <w:t xml:space="preserve"> </w:t>
      </w:r>
      <m:oMath>
        <m:r>
          <m:rPr>
            <m:sty m:val="p"/>
          </m:rPr>
          <m:t>&gt;</m:t>
        </m:r>
      </m:oMath>
      <w:r>
        <w:t xml:space="preserve"> </w:t>
      </w:r>
      <w:r>
        <w:t xml:space="preserve">HET (Table </w:t>
      </w:r>
      <w:hyperlink w:anchor="tab:stats">
        <w:r>
          <w:rPr>
            <w:rStyle w:val="Hyperlink"/>
          </w:rPr>
          <w:t xml:space="preserve">3</w:t>
        </w:r>
      </w:hyperlink>
      <w:r>
        <w:t xml:space="preserve">).</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35" w:name="tab:stats"/>
    <w:p>
      <w:pPr>
        <w:pStyle w:val="TableCaption"/>
      </w:pP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auto" w:w="0"/>
        <w:tblLook w:firstRow="1" w:lastRow="0" w:firstColumn="0" w:lastColumn="0" w:noHBand="0" w:noVBand="0" w:val="0020"/>
        <w:tblCaption w:val="Agreement under three statistics (per-run averaged), with the per-config directional marginals. All three statistics agree on the ordering despite the prevalence shift in HOLD."/>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agreement</w:t>
            </w:r>
          </w:p>
        </w:tc>
        <w:tc>
          <w:tcPr>
            <w:gridSpan w:val="3"/>
          </w:tcPr>
          <w:p>
            <w:pPr>
              <w:pStyle w:val="Compact"/>
              <w:jc w:val="center"/>
            </w:pPr>
            <w:r>
              <w:t xml:space="preserve">marginals</w:t>
            </w:r>
          </w:p>
        </w:tc>
      </w:tr>
      <w:tr>
        <w:tc>
          <w:tcPr/>
          <w:p>
            <w:pPr>
              <w:pStyle w:val="Compact"/>
              <w:jc w:val="left"/>
            </w:pPr>
            <w:r>
              <w:t xml:space="preserve">2-4</w:t>
            </w:r>
            <w:r>
              <w:t xml:space="preserve">(lr)</w:t>
            </w:r>
            <w:r>
              <w:t xml:space="preserve">5-7</w:t>
            </w:r>
            <w:r>
              <w:t xml:space="preserve"> </w:t>
            </w:r>
            <w:r>
              <w:t xml:space="preserve">Config</w:t>
            </w:r>
          </w:p>
        </w:tc>
        <w:tc>
          <w:tcPr/>
          <w:p>
            <w:pPr>
              <w:pStyle w:val="Compact"/>
              <w:jc w:val="center"/>
            </w:pPr>
            <m:oMath>
              <m:r>
                <m:t>κ</m:t>
              </m:r>
            </m:oMath>
            <w:r>
              <w:t xml:space="preserve">​</w:t>
            </w:r>
          </w:p>
        </w:tc>
        <w:tc>
          <w:tcPr/>
          <w:p>
            <w:pPr>
              <w:pStyle w:val="Compact"/>
              <w:jc w:val="center"/>
            </w:pPr>
            <m:oMath>
              <m:r>
                <m:t>α</m:t>
              </m:r>
            </m:oMath>
            <w:r>
              <w:t xml:space="preserve">​</w:t>
            </w:r>
          </w:p>
        </w:tc>
        <w:tc>
          <w:tcPr/>
          <w:p>
            <w:pPr>
              <w:pStyle w:val="Compact"/>
              <w:jc w:val="center"/>
            </w:pPr>
            <w:r>
              <w:t xml:space="preserve">AC1</w:t>
            </w:r>
          </w:p>
        </w:tc>
        <w:tc>
          <w:tcPr/>
          <w:p>
            <w:pPr>
              <w:pStyle w:val="Compact"/>
              <w:jc w:val="center"/>
            </w:pPr>
            <w:r>
              <w:t xml:space="preserve">BUY</w:t>
            </w:r>
          </w:p>
        </w:tc>
        <w:tc>
          <w:tcPr/>
          <w:p>
            <w:pPr>
              <w:pStyle w:val="Compact"/>
              <w:jc w:val="center"/>
            </w:pPr>
            <w:r>
              <w:t xml:space="preserve">HOLD</w:t>
            </w:r>
          </w:p>
        </w:tc>
        <w:tc>
          <w:tcPr/>
          <w:p>
            <w:pPr>
              <w:pStyle w:val="Compact"/>
              <w:jc w:val="center"/>
            </w:pPr>
            <w:r>
              <w:t xml:space="preserve">SELL</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0.552</w:t>
            </w:r>
          </w:p>
        </w:tc>
        <w:tc>
          <w:tcPr/>
          <w:p>
            <w:pPr>
              <w:pStyle w:val="Compact"/>
              <w:jc w:val="center"/>
            </w:pPr>
            <w:r>
              <w:t xml:space="preserve">0.743</w:t>
            </w:r>
          </w:p>
        </w:tc>
        <w:tc>
          <w:tcPr/>
          <w:p>
            <w:pPr>
              <w:pStyle w:val="Compact"/>
              <w:jc w:val="center"/>
            </w:pPr>
            <w:r>
              <w:t xml:space="preserve">0.212</w:t>
            </w:r>
          </w:p>
        </w:tc>
        <w:tc>
          <w:tcPr/>
          <w:p>
            <w:pPr>
              <w:pStyle w:val="Compact"/>
              <w:jc w:val="center"/>
            </w:pPr>
            <w:r>
              <w:t xml:space="preserve">0.709</w:t>
            </w:r>
          </w:p>
        </w:tc>
        <w:tc>
          <w:tcPr/>
          <w:p>
            <w:pPr>
              <w:pStyle w:val="Compact"/>
              <w:jc w:val="center"/>
            </w:pPr>
            <w:r>
              <w:t xml:space="preserve">0.079</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0.303</w:t>
            </w:r>
          </w:p>
        </w:tc>
        <w:tc>
          <w:tcPr/>
          <w:p>
            <w:pPr>
              <w:pStyle w:val="Compact"/>
              <w:jc w:val="center"/>
            </w:pPr>
            <w:r>
              <w:t xml:space="preserve">0.548</w:t>
            </w:r>
          </w:p>
        </w:tc>
        <w:tc>
          <w:tcPr/>
          <w:p>
            <w:pPr>
              <w:pStyle w:val="Compact"/>
              <w:jc w:val="center"/>
            </w:pPr>
            <w:r>
              <w:t xml:space="preserve">0.282</w:t>
            </w:r>
          </w:p>
        </w:tc>
        <w:tc>
          <w:tcPr/>
          <w:p>
            <w:pPr>
              <w:pStyle w:val="Compact"/>
              <w:jc w:val="center"/>
            </w:pPr>
            <w:r>
              <w:t xml:space="preserve">0.653</w:t>
            </w:r>
          </w:p>
        </w:tc>
        <w:tc>
          <w:tcPr/>
          <w:p>
            <w:pPr>
              <w:pStyle w:val="Compact"/>
              <w:jc w:val="center"/>
            </w:pPr>
            <w:r>
              <w:t xml:space="preserve">0.064</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0.216</w:t>
            </w:r>
          </w:p>
        </w:tc>
        <w:tc>
          <w:tcPr/>
          <w:p>
            <w:pPr>
              <w:pStyle w:val="Compact"/>
              <w:jc w:val="center"/>
            </w:pPr>
            <w:r>
              <w:t xml:space="preserve">0.398</w:t>
            </w:r>
          </w:p>
        </w:tc>
        <w:tc>
          <w:tcPr/>
          <w:p>
            <w:pPr>
              <w:pStyle w:val="Compact"/>
              <w:jc w:val="center"/>
            </w:pPr>
            <w:r>
              <w:t xml:space="preserve">0.358</w:t>
            </w:r>
          </w:p>
        </w:tc>
        <w:tc>
          <w:tcPr/>
          <w:p>
            <w:pPr>
              <w:pStyle w:val="Compact"/>
              <w:jc w:val="center"/>
            </w:pPr>
            <w:r>
              <w:t xml:space="preserve">0.556</w:t>
            </w:r>
          </w:p>
        </w:tc>
        <w:tc>
          <w:tcPr/>
          <w:p>
            <w:pPr>
              <w:pStyle w:val="Compact"/>
              <w:jc w:val="center"/>
            </w:pPr>
            <w:r>
              <w:t xml:space="preserve">0.085</w:t>
            </w:r>
          </w:p>
        </w:tc>
      </w:tr>
    </w:tbl>
    <w:bookmarkEnd w:id="35"/>
    <w:p/>
    <w:bookmarkStart w:id="36" w:name="tab:frontier"/>
    <w:p>
      <w:pPr>
        <w:pStyle w:val="TableCaption"/>
      </w:pPr>
      <w:r>
        <w:t xml:space="preserve">Frontier: within-ensemble agreement and cost by heterogeneity level.</w:t>
      </w:r>
    </w:p>
    <w:tbl>
      <w:tblPr>
        <w:tblStyle w:val="Table"/>
        <w:tblW w:type="auto" w:w="0"/>
        <w:tblLook w:firstRow="1" w:lastRow="0" w:firstColumn="0" w:lastColumn="0" w:noHBand="0" w:noVBand="0" w:val="0020"/>
        <w:tblCaption w:val="Frontier: within-ensemble agreement and cost by heterogeneity level."/>
      </w:tblPr>
      <w:tblGrid>
        <w:gridCol w:w="1980"/>
        <w:gridCol w:w="1980"/>
        <w:gridCol w:w="1980"/>
        <w:gridCol w:w="1980"/>
      </w:tblGrid>
      <w:tr>
        <w:trPr>
          <w:tblHeader w:val="on"/>
        </w:trPr>
        <w:tc>
          <w:tcPr/>
          <w:p>
            <w:pPr>
              <w:pStyle w:val="Compact"/>
              <w:jc w:val="left"/>
            </w:pPr>
            <w:r>
              <w:t xml:space="preserve">Config</w:t>
            </w:r>
          </w:p>
        </w:tc>
        <w:tc>
          <w:tcPr/>
          <w:p>
            <w:pPr>
              <w:pStyle w:val="Compact"/>
              <w:jc w:val="left"/>
            </w:pPr>
            <m:oMath>
              <m:r>
                <m:t>h</m:t>
              </m:r>
            </m:oMath>
            <w:r>
              <w:t xml:space="preserve">​</w:t>
            </w:r>
          </w:p>
        </w:tc>
        <w:tc>
          <w:tcPr/>
          <w:p>
            <w:pPr>
              <w:pStyle w:val="Compact"/>
              <w:jc w:val="center"/>
            </w:pPr>
            <m:oMath>
              <m:r>
                <m:t>κ</m:t>
              </m:r>
            </m:oMath>
            <w:r>
              <w:t xml:space="preserve">​</w:t>
            </w:r>
          </w:p>
        </w:tc>
        <w:tc>
          <w:tcPr/>
          <w:p>
            <w:pPr>
              <w:pStyle w:val="Compact"/>
              <w:jc w:val="center"/>
            </w:pPr>
            <w:r>
              <w:t xml:space="preserve">$ / ensemble-decision</w:t>
            </w:r>
          </w:p>
        </w:tc>
      </w:tr>
      <w:tr>
        <w:tc>
          <w:tcPr/>
          <w:p>
            <w:pPr>
              <w:pStyle w:val="Compact"/>
              <w:jc w:val="left"/>
            </w:pPr>
            <w:r>
              <w:t xml:space="preserve">HOM</w:t>
            </w:r>
          </w:p>
        </w:tc>
        <w:tc>
          <w:tcPr/>
          <w:p>
            <w:pPr>
              <w:pStyle w:val="Compact"/>
              <w:jc w:val="left"/>
            </w:pPr>
            <w:r>
              <w:t xml:space="preserve">0</w:t>
            </w:r>
          </w:p>
        </w:tc>
        <w:tc>
          <w:tcPr/>
          <w:p>
            <w:pPr>
              <w:pStyle w:val="Compact"/>
              <w:jc w:val="center"/>
            </w:pPr>
            <w:r>
              <w:t xml:space="preserve">0.552</w:t>
            </w:r>
          </w:p>
        </w:tc>
        <w:tc>
          <w:tcPr/>
          <w:p>
            <w:pPr>
              <w:pStyle w:val="Compact"/>
              <w:jc w:val="center"/>
            </w:pPr>
            <m:oMath>
              <m:r>
                <m:t>6.48</m:t>
              </m:r>
              <m:r>
                <m:rPr>
                  <m:sty m:val="p"/>
                </m:rPr>
                <m:t>×</m:t>
              </m:r>
              <m:sSup>
                <m:e>
                  <m:r>
                    <m:t>10</m:t>
                  </m:r>
                </m:e>
                <m:sup>
                  <m:r>
                    <m:rPr>
                      <m:sty m:val="p"/>
                    </m:rPr>
                    <m:t>−</m:t>
                  </m:r>
                  <m:r>
                    <m:t>4</m:t>
                  </m:r>
                </m:sup>
              </m:sSup>
            </m:oMath>
            <w:r>
              <w:t xml:space="preserve">​</w:t>
            </w:r>
          </w:p>
        </w:tc>
      </w:tr>
      <w:tr>
        <w:tc>
          <w:tcPr/>
          <w:p>
            <w:pPr>
              <w:pStyle w:val="Compact"/>
              <w:jc w:val="left"/>
            </w:pPr>
            <w:r>
              <w:t xml:space="preserve">HET-LITE</w:t>
            </w:r>
          </w:p>
        </w:tc>
        <w:tc>
          <w:tcPr/>
          <w:p>
            <w:pPr>
              <w:pStyle w:val="Compact"/>
              <w:jc w:val="left"/>
            </w:pPr>
            <w:r>
              <w:t xml:space="preserve">1</w:t>
            </w:r>
          </w:p>
        </w:tc>
        <w:tc>
          <w:tcPr/>
          <w:p>
            <w:pPr>
              <w:pStyle w:val="Compact"/>
              <w:jc w:val="center"/>
            </w:pPr>
            <w:r>
              <w:t xml:space="preserve">0.302</w:t>
            </w:r>
          </w:p>
        </w:tc>
        <w:tc>
          <w:tcPr/>
          <w:p>
            <w:pPr>
              <w:pStyle w:val="Compact"/>
              <w:jc w:val="center"/>
            </w:pPr>
            <m:oMath>
              <m:r>
                <m:t>1.52</m:t>
              </m:r>
              <m:r>
                <m:rPr>
                  <m:sty m:val="p"/>
                </m:rPr>
                <m:t>×</m:t>
              </m:r>
              <m:sSup>
                <m:e>
                  <m:r>
                    <m:t>10</m:t>
                  </m:r>
                </m:e>
                <m:sup>
                  <m:r>
                    <m:rPr>
                      <m:sty m:val="p"/>
                    </m:rPr>
                    <m:t>−</m:t>
                  </m:r>
                  <m:r>
                    <m:t>3</m:t>
                  </m:r>
                </m:sup>
              </m:sSup>
            </m:oMath>
            <w:r>
              <w:t xml:space="preserve">​</w:t>
            </w:r>
          </w:p>
        </w:tc>
      </w:tr>
      <w:tr>
        <w:tc>
          <w:tcPr/>
          <w:p>
            <w:pPr>
              <w:pStyle w:val="Compact"/>
              <w:jc w:val="left"/>
            </w:pPr>
            <w:r>
              <w:t xml:space="preserve">HET</w:t>
            </w:r>
          </w:p>
        </w:tc>
        <w:tc>
          <w:tcPr/>
          <w:p>
            <w:pPr>
              <w:pStyle w:val="Compact"/>
              <w:jc w:val="left"/>
            </w:pPr>
            <w:r>
              <w:t xml:space="preserve">3</w:t>
            </w:r>
          </w:p>
        </w:tc>
        <w:tc>
          <w:tcPr/>
          <w:p>
            <w:pPr>
              <w:pStyle w:val="Compact"/>
              <w:jc w:val="center"/>
            </w:pPr>
            <w:r>
              <w:t xml:space="preserve">0.215</w:t>
            </w:r>
          </w:p>
        </w:tc>
        <w:tc>
          <w:tcPr/>
          <w:p>
            <w:pPr>
              <w:pStyle w:val="Compact"/>
              <w:jc w:val="center"/>
            </w:pPr>
            <m:oMath>
              <m:r>
                <m:t>2.84</m:t>
              </m:r>
              <m:r>
                <m:rPr>
                  <m:sty m:val="p"/>
                </m:rPr>
                <m:t>×</m:t>
              </m:r>
              <m:sSup>
                <m:e>
                  <m:r>
                    <m:t>10</m:t>
                  </m:r>
                </m:e>
                <m:sup>
                  <m:r>
                    <m:rPr>
                      <m:sty m:val="p"/>
                    </m:rPr>
                    <m:t>−</m:t>
                  </m:r>
                  <m:r>
                    <m:t>3</m:t>
                  </m:r>
                </m:sup>
              </m:sSup>
            </m:oMath>
            <w:r>
              <w:t xml:space="preserve">​</w:t>
            </w:r>
          </w:p>
        </w:tc>
      </w:tr>
    </w:tbl>
    <w:bookmarkEnd w:id="36"/>
    <w:p/>
    <w:bookmarkStart w:id="37" w:name="tab:clustering"/>
    <w:p>
      <w:pPr>
        <w:pStyle w:val="TableCaption"/>
      </w:pPr>
      <w:r>
        <w:t xml:space="preserve">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under alternative</w:t>
      </w:r>
      <w:r>
        <w:t xml:space="preserve"> </w:t>
      </w:r>
      <w:r>
        <w:t xml:space="preserve">resampling units. The point estimate does not depend on the resampling scheme.</w:t>
      </w:r>
    </w:p>
    <w:tbl>
      <w:tblPr>
        <w:tblStyle w:val="Table"/>
        <w:tblW w:type="auto" w:w="0"/>
        <w:tblLook w:firstRow="1" w:lastRow="0" w:firstColumn="0" w:lastColumn="0" w:noHBand="0" w:noVBand="0" w:val="0020"/>
        <w:tblCaption w:val="Primary contrast \Delta\kappa_{\mathrm{HOM-HET}} under alternative resampling units. The point estimate does not depend on the resampling scheme."/>
      </w:tblPr>
      <w:tblGrid>
        <w:gridCol w:w="1980"/>
        <w:gridCol w:w="1980"/>
        <w:gridCol w:w="1980"/>
        <w:gridCol w:w="1980"/>
      </w:tblGrid>
      <w:tr>
        <w:trPr>
          <w:tblHeader w:val="on"/>
        </w:trPr>
        <w:tc>
          <w:tcPr/>
          <w:p>
            <w:pPr>
              <w:pStyle w:val="Compact"/>
              <w:jc w:val="left"/>
            </w:pPr>
            <w:r>
              <w:t xml:space="preserve">Resampling unit</w:t>
            </w:r>
          </w:p>
        </w:tc>
        <w:tc>
          <w:tcPr/>
          <w:p>
            <w:pPr>
              <w:pStyle w:val="Compact"/>
              <w:jc w:val="center"/>
            </w:pPr>
            <w:r>
              <w:t xml:space="preserve">Resampled units</w:t>
            </w:r>
          </w:p>
        </w:tc>
        <w:tc>
          <w:tcPr/>
          <w:p>
            <w:pPr>
              <w:pStyle w:val="Compact"/>
              <w:jc w:val="center"/>
            </w:pPr>
            <m:oMath>
              <m:r>
                <m:rPr>
                  <m:sty m:val="p"/>
                </m:rPr>
                <m:t>Δ</m:t>
              </m:r>
              <m:r>
                <m:t>κ</m:t>
              </m:r>
            </m:oMath>
            <w:r>
              <w:t xml:space="preserve">​</w:t>
            </w:r>
          </w:p>
        </w:tc>
        <w:tc>
          <w:tcPr/>
          <w:p>
            <w:pPr>
              <w:pStyle w:val="Compact"/>
              <w:jc w:val="center"/>
            </w:pPr>
            <w:r>
              <w:t xml:space="preserve">95% CI</w:t>
            </w:r>
          </w:p>
        </w:tc>
      </w:tr>
      <w:tr>
        <w:tc>
          <w:tcPr/>
          <w:p>
            <w:pPr>
              <w:pStyle w:val="Compact"/>
              <w:jc w:val="left"/>
            </w:pPr>
            <w:r>
              <w:t xml:space="preserve">Equity (pre-reg.)</w:t>
            </w:r>
          </w:p>
        </w:tc>
        <w:tc>
          <w:tcPr/>
          <w:p>
            <w:pPr>
              <w:pStyle w:val="Compact"/>
              <w:jc w:val="center"/>
            </w:pPr>
            <w:r>
              <w:t xml:space="preserve">100 equities</w:t>
            </w:r>
          </w:p>
        </w:tc>
        <w:tc>
          <w:tcPr/>
          <w:p>
            <w:pPr>
              <w:pStyle w:val="Compact"/>
              <w:jc w:val="center"/>
            </w:pPr>
            <w:r>
              <w:t xml:space="preserve">0.3363</w:t>
            </w:r>
          </w:p>
        </w:tc>
        <w:tc>
          <w:tcPr/>
          <w:p>
            <w:pPr>
              <w:pStyle w:val="Compact"/>
              <w:jc w:val="center"/>
            </w:pPr>
            <m:oMath>
              <m:r>
                <m:rPr>
                  <m:sty m:val="p"/>
                </m:rPr>
                <m:t>[</m:t>
              </m:r>
              <m:r>
                <m:t>0.3035</m:t>
              </m:r>
              <m:r>
                <m:rPr>
                  <m:sty m:val="p"/>
                </m:rPr>
                <m:t>,</m:t>
              </m:r>
              <m:r>
                <m:t> </m:t>
              </m:r>
              <m:r>
                <m:t>0.3689</m:t>
              </m:r>
              <m:r>
                <m:rPr>
                  <m:sty m:val="p"/>
                </m:rPr>
                <m:t>]</m:t>
              </m:r>
            </m:oMath>
            <w:r>
              <w:t xml:space="preserve">​</w:t>
            </w:r>
          </w:p>
        </w:tc>
      </w:tr>
      <w:tr>
        <w:tc>
          <w:tcPr/>
          <w:p>
            <w:pPr>
              <w:pStyle w:val="Compact"/>
              <w:jc w:val="left"/>
            </w:pPr>
            <w:r>
              <w:t xml:space="preserve">Analysis date</w:t>
            </w:r>
          </w:p>
        </w:tc>
        <w:tc>
          <w:tcPr/>
          <w:p>
            <w:pPr>
              <w:pStyle w:val="Compact"/>
              <w:jc w:val="center"/>
            </w:pPr>
            <w:r>
              <w:t xml:space="preserve">12 dates</w:t>
            </w:r>
          </w:p>
        </w:tc>
        <w:tc>
          <w:tcPr/>
          <w:p>
            <w:pPr>
              <w:pStyle w:val="Compact"/>
              <w:jc w:val="center"/>
            </w:pPr>
            <w:r>
              <w:t xml:space="preserve">0.3363</w:t>
            </w:r>
          </w:p>
        </w:tc>
        <w:tc>
          <w:tcPr/>
          <w:p>
            <w:pPr>
              <w:pStyle w:val="Compact"/>
              <w:jc w:val="center"/>
            </w:pPr>
            <m:oMath>
              <m:r>
                <m:rPr>
                  <m:sty m:val="p"/>
                </m:rPr>
                <m:t>[</m:t>
              </m:r>
              <m:r>
                <m:t>0.2989</m:t>
              </m:r>
              <m:r>
                <m:rPr>
                  <m:sty m:val="p"/>
                </m:rPr>
                <m:t>,</m:t>
              </m:r>
              <m:r>
                <m:t> </m:t>
              </m:r>
              <m:r>
                <m:t>0.3656</m:t>
              </m:r>
              <m:r>
                <m:rPr>
                  <m:sty m:val="p"/>
                </m:rPr>
                <m:t>]</m:t>
              </m:r>
            </m:oMath>
            <w:r>
              <w:t xml:space="preserve">​</w:t>
            </w:r>
          </w:p>
        </w:tc>
      </w:tr>
      <w:tr>
        <w:tc>
          <w:tcPr/>
          <w:p>
            <w:pPr>
              <w:pStyle w:val="Compact"/>
              <w:jc w:val="left"/>
            </w:pPr>
            <w:r>
              <w:t xml:space="preserve">Two-way</w:t>
            </w:r>
          </w:p>
        </w:tc>
        <w:tc>
          <w:tcPr/>
          <w:p>
            <w:pPr>
              <w:pStyle w:val="Compact"/>
              <w:jc w:val="center"/>
            </w:pPr>
            <m:oMath>
              <m:r>
                <m:t>100</m:t>
              </m:r>
              <m:r>
                <m:rPr>
                  <m:sty m:val="p"/>
                </m:rPr>
                <m:t>×</m:t>
              </m:r>
              <m:r>
                <m:t>12</m:t>
              </m:r>
            </m:oMath>
            <w:r>
              <w:t xml:space="preserve">​</w:t>
            </w:r>
          </w:p>
        </w:tc>
        <w:tc>
          <w:tcPr/>
          <w:p>
            <w:pPr>
              <w:pStyle w:val="Compact"/>
              <w:jc w:val="center"/>
            </w:pPr>
            <w:r>
              <w:t xml:space="preserve">0.3363</w:t>
            </w:r>
          </w:p>
        </w:tc>
        <w:tc>
          <w:tcPr/>
          <w:p>
            <w:pPr>
              <w:pStyle w:val="Compact"/>
              <w:jc w:val="center"/>
            </w:pPr>
            <m:oMath>
              <m:r>
                <m:rPr>
                  <m:sty m:val="p"/>
                </m:rPr>
                <m:t>[</m:t>
              </m:r>
              <m:r>
                <m:t>0.2786</m:t>
              </m:r>
              <m:r>
                <m:rPr>
                  <m:sty m:val="p"/>
                </m:rPr>
                <m:t>,</m:t>
              </m:r>
              <m:r>
                <m:t> </m:t>
              </m:r>
              <m:r>
                <m:t>0.3877</m:t>
              </m:r>
              <m:r>
                <m:rPr>
                  <m:sty m:val="p"/>
                </m:rPr>
                <m:t>]</m:t>
              </m:r>
            </m:oMath>
            <w:r>
              <w:t xml:space="preserve">​</w:t>
            </w:r>
          </w:p>
        </w:tc>
      </w:tr>
    </w:tbl>
    <w:bookmarkEnd w:id="37"/>
    <w:bookmarkEnd w:id="38"/>
    <w:bookmarkStart w:id="39" w:name="subsec:errcorr"/>
    <w:p>
      <w:pPr>
        <w:pStyle w:val="Heading2"/>
      </w:pPr>
      <w:r>
        <w:t xml:space="preserve">Agreement, error correlation, and decorrelation</w:t>
      </w:r>
    </w:p>
    <w:p>
      <w:pPr>
        <w:pStyle w:val="FirstParagraph"/>
      </w:pPr>
      <w:r>
        <w:t xml:space="preserve">Agreement and error dependence capture different properties of an ensemble. We</w:t>
      </w:r>
      <w:r>
        <w:t xml:space="preserve"> </w:t>
      </w:r>
      <w:r>
        <w:t xml:space="preserve">therefore distinguish five concepts used throughout the analysis:</w:t>
      </w:r>
    </w:p>
    <w:p>
      <w:pPr>
        <w:numPr>
          <w:ilvl w:val="0"/>
          <w:numId w:val="1003"/>
        </w:numPr>
      </w:pPr>
      <w:r>
        <w:rPr>
          <w:i/>
          <w:iCs/>
        </w:rPr>
        <w:t xml:space="preserve">Output agreement</w:t>
      </w:r>
      <w:r>
        <w:t xml:space="preserve">: the extent to which agents return the same</w:t>
      </w:r>
      <w:r>
        <w:t xml:space="preserve"> </w:t>
      </w:r>
      <w:r>
        <w:t xml:space="preserve">categorical label. This is measured by Fleiss’</w:t>
      </w:r>
      <w:r>
        <w:t xml:space="preserve"> </w:t>
      </w:r>
      <m:oMath>
        <m:r>
          <m:t>κ</m:t>
        </m:r>
      </m:oMath>
      <w:r>
        <w:t xml:space="preserve"> </w:t>
      </w:r>
      <w:r>
        <w:t xml:space="preserve">and constitutes the</w:t>
      </w:r>
      <w:r>
        <w:t xml:space="preserve"> </w:t>
      </w:r>
      <w:r>
        <w:t xml:space="preserve">primary agreement endpoint.</w:t>
      </w:r>
    </w:p>
    <w:p>
      <w:pPr>
        <w:numPr>
          <w:ilvl w:val="0"/>
          <w:numId w:val="1003"/>
        </w:numPr>
      </w:pPr>
      <w:r>
        <w:rPr>
          <w:i/>
          <w:iCs/>
        </w:rPr>
        <w:t xml:space="preserve">Error correlation</w:t>
      </w:r>
      <w:r>
        <w:t xml:space="preserve">: dependence between agents’ mistakes. This is</w:t>
      </w:r>
      <w:r>
        <w:t xml:space="preserve"> </w:t>
      </w:r>
      <w:r>
        <w:t xml:space="preserve">measured using</w:t>
      </w:r>
      <w:r>
        <w:t xml:space="preserve"> </w:t>
      </w:r>
      <m:oMath>
        <m:r>
          <m:t>ϕ</m:t>
        </m:r>
      </m:oMath>
      <w:r>
        <w:t xml:space="preserve"> </w:t>
      </w:r>
      <w:r>
        <w:t xml:space="preserve">computed from binary error indicators.</w:t>
      </w:r>
    </w:p>
    <w:p>
      <w:pPr>
        <w:numPr>
          <w:ilvl w:val="0"/>
          <w:numId w:val="1003"/>
        </w:numPr>
      </w:pPr>
      <w:r>
        <w:rPr>
          <w:i/>
          <w:iCs/>
        </w:rPr>
        <w:t xml:space="preserve">Sampling independence</w:t>
      </w:r>
      <w:r>
        <w:t xml:space="preserve">: whether repeated responses share elements of</w:t>
      </w:r>
      <w:r>
        <w:t xml:space="preserve"> </w:t>
      </w:r>
      <w:r>
        <w:t xml:space="preserve">the sampling process, such as a random seed or decoding trajectory.</w:t>
      </w:r>
    </w:p>
    <w:p>
      <w:pPr>
        <w:numPr>
          <w:ilvl w:val="0"/>
          <w:numId w:val="1003"/>
        </w:numPr>
      </w:pPr>
      <w:r>
        <w:rPr>
          <w:i/>
          <w:iCs/>
        </w:rPr>
        <w:t xml:space="preserve">Model diversity</w:t>
      </w:r>
      <w:r>
        <w:t xml:space="preserve">: differences in model weights, architecture,</w:t>
      </w:r>
      <w:r>
        <w:t xml:space="preserve"> </w:t>
      </w:r>
      <w:r>
        <w:t xml:space="preserve">training data, or related model characteristics.</w:t>
      </w:r>
    </w:p>
    <w:p>
      <w:pPr>
        <w:numPr>
          <w:ilvl w:val="0"/>
          <w:numId w:val="1003"/>
        </w:numPr>
      </w:pPr>
      <w:r>
        <w:rPr>
          <w:i/>
          <w:iCs/>
        </w:rPr>
        <w:t xml:space="preserve">Provider diversity</w:t>
      </w:r>
      <w:r>
        <w:t xml:space="preserve">: whether agents are supplied by different</w:t>
      </w:r>
      <w:r>
        <w:t xml:space="preserve"> </w:t>
      </w:r>
      <w:r>
        <w:t xml:space="preserve">organizations. The ensemble configurations vary provider composition, although</w:t>
      </w:r>
      <w:r>
        <w:t xml:space="preserve"> </w:t>
      </w:r>
      <w:r>
        <w:t xml:space="preserve">provider remains bundled with other model-specific characteristics.</w:t>
      </w:r>
    </w:p>
    <w:p>
      <w:pPr>
        <w:pStyle w:val="FirstParagraph"/>
      </w:pPr>
      <w:r>
        <w:t xml:space="preserve">In this study, decorrelation denotes a reduction in error correlation, measured</w:t>
      </w:r>
      <w:r>
        <w:t xml:space="preserve"> </w:t>
      </w:r>
      <w:r>
        <w:t xml:space="preserve">by</w:t>
      </w:r>
      <w:r>
        <w:t xml:space="preserve"> </w:t>
      </w:r>
      <m:oMath>
        <m:r>
          <m:t>ϕ</m:t>
        </m:r>
      </m:oMath>
      <w:r>
        <w:t xml:space="preserve">. The agreement measure</w:t>
      </w:r>
      <w:r>
        <w:t xml:space="preserve"> </w:t>
      </w:r>
      <m:oMath>
        <m:r>
          <m:t>κ</m:t>
        </m:r>
      </m:oMath>
      <w:r>
        <w:t xml:space="preserve"> </w:t>
      </w:r>
      <w:r>
        <w:t xml:space="preserve">captures a related but distinct change</w:t>
      </w:r>
      <w:r>
        <w:t xml:space="preserve"> </w:t>
      </w:r>
      <w:r>
        <w:t xml:space="preserve">in categorical consensus. Accordingly, the</w:t>
      </w:r>
      <w:r>
        <w:t xml:space="preserve"> </w:t>
      </w:r>
      <w:r>
        <w:t xml:space="preserve">“price of de-correlation”</w:t>
      </w:r>
      <w:r>
        <w:t xml:space="preserve"> </w:t>
      </w:r>
      <w:r>
        <w:t xml:space="preserve">in the</w:t>
      </w:r>
      <w:r>
        <w:t xml:space="preserve"> </w:t>
      </w:r>
      <w:r>
        <w:t xml:space="preserve">title refers to the additional inference cost associated with ensemble</w:t>
      </w:r>
      <w:r>
        <w:t xml:space="preserve"> </w:t>
      </w:r>
      <w:r>
        <w:t xml:space="preserve">configurations that exhibit lower error dependence.</w:t>
      </w:r>
    </w:p>
    <w:p>
      <w:pPr>
        <w:pStyle w:val="BodyText"/>
      </w:pPr>
      <w:r>
        <w:t xml:space="preserve">Pairwise dependence between binary error indicators is a standard</w:t>
      </w:r>
      <w:r>
        <w:t xml:space="preserve"> </w:t>
      </w:r>
      <w:r>
        <w:t xml:space="preserve">characterization of classifier-ensemble diversity, and that literature also shows</w:t>
      </w:r>
      <w:r>
        <w:t xml:space="preserve"> </w:t>
      </w:r>
      <w:r>
        <w:t xml:space="preserve">that diversity and ensemble accuracy are related but not</w:t>
      </w:r>
      <w:r>
        <w:t xml:space="preserve"> </w:t>
      </w:r>
      <w:r>
        <w:t xml:space="preserve">interchangeable </w:t>
      </w:r>
      <w:r>
        <w:t xml:space="preserve">(Kuncheva and Whitaker 2003)</w:t>
      </w:r>
      <w:r>
        <w:t xml:space="preserve">. We therefore complement the</w:t>
      </w:r>
      <w:r>
        <w:t xml:space="preserve"> </w:t>
      </w:r>
      <w:r>
        <w:t xml:space="preserve">categorical agreement statistic</w:t>
      </w:r>
      <w:r>
        <w:t xml:space="preserve"> </w:t>
      </w:r>
      <m:oMath>
        <m:r>
          <m:t>κ</m:t>
        </m:r>
      </m:oMath>
      <w:r>
        <w:t xml:space="preserve"> </w:t>
      </w:r>
      <w:r>
        <w:t xml:space="preserve">with a</w:t>
      </w:r>
      <w:r>
        <w:t xml:space="preserve"> </w:t>
      </w:r>
      <m:oMath>
        <m:r>
          <m:t>ϕ</m:t>
        </m:r>
      </m:oMath>
      <w:r>
        <w:t xml:space="preserve"> </w:t>
      </w:r>
      <w:r>
        <w:t xml:space="preserve">correlation computed from</w:t>
      </w:r>
      <w:r>
        <w:t xml:space="preserve"> </w:t>
      </w:r>
      <w:r>
        <w:t xml:space="preserve">paired error indicators. Within each evaluation cell, that is each</w:t>
      </w:r>
      <w:r>
        <w:t xml:space="preserve"> </w:t>
      </w:r>
      <w:r>
        <w:t xml:space="preserve">(configuration, equity, date, run)</w:t>
      </w:r>
      <w:r>
        <w:t xml:space="preserve"> </w:t>
      </w:r>
      <w:r>
        <w:t xml:space="preserve">combination, we form for every unordered pair of agent positions the pair of</w:t>
      </w:r>
      <w:r>
        <w:t xml:space="preserve"> </w:t>
      </w:r>
      <w:r>
        <w:t xml:space="preserve">binary error indicators defined against the realized forward-return sign. These</w:t>
      </w:r>
      <w:r>
        <w:t xml:space="preserve"> </w:t>
      </w:r>
      <w:r>
        <w:t xml:space="preserve">paired indicators are pooled over all cells and all agent-position pairs within a</w:t>
      </w:r>
      <w:r>
        <w:t xml:space="preserve"> </w:t>
      </w:r>
      <w:r>
        <w:t xml:space="preserve">configuration, and</w:t>
      </w:r>
      <w:r>
        <w:t xml:space="preserve"> </w:t>
      </w:r>
      <m:oMath>
        <m:r>
          <m:t>ϕ</m:t>
        </m:r>
      </m:oMath>
      <w:r>
        <w:t xml:space="preserve"> </w:t>
      </w:r>
      <w:r>
        <w:t xml:space="preserve">is the Pearson correlation of that pooled set, so one</w:t>
      </w:r>
      <w:r>
        <w:t xml:space="preserve"> </w:t>
      </w:r>
      <m:oMath>
        <m:r>
          <m:t>ϕ</m:t>
        </m:r>
      </m:oMath>
      <w:r>
        <w:t xml:space="preserve"> </w:t>
      </w:r>
      <w:r>
        <w:t xml:space="preserve">is reported per configuration rather than one per agent pair. Error</w:t>
      </w:r>
      <w:r>
        <w:t xml:space="preserve"> </w:t>
      </w:r>
      <w:r>
        <w:t xml:space="preserve">correlation decreases from</w:t>
      </w:r>
      <w:r>
        <w:t xml:space="preserve"> </w:t>
      </w:r>
      <m:oMath>
        <m:r>
          <m:t>ϕ</m:t>
        </m:r>
        <m:r>
          <m:rPr>
            <m:sty m:val="p"/>
          </m:rPr>
          <m:t>=</m:t>
        </m:r>
        <m:r>
          <m:t>0.984</m:t>
        </m:r>
      </m:oMath>
      <w:r>
        <w:t xml:space="preserve"> </w:t>
      </w:r>
      <w:r>
        <w:t xml:space="preserve">for HOM to</w:t>
      </w:r>
      <w:r>
        <w:t xml:space="preserve"> </w:t>
      </w:r>
      <m:oMath>
        <m:r>
          <m:t>0.742</m:t>
        </m:r>
      </m:oMath>
      <w:r>
        <w:t xml:space="preserve"> </w:t>
      </w:r>
      <w:r>
        <w:t xml:space="preserve">for HET-LITE and</w:t>
      </w:r>
      <w:r>
        <w:t xml:space="preserve"> </w:t>
      </w:r>
      <m:oMath>
        <m:r>
          <m:t>0.530</m:t>
        </m:r>
      </m:oMath>
      <w:r>
        <w:t xml:space="preserve"> </w:t>
      </w:r>
      <w:r>
        <w:t xml:space="preserve">for HET, giving</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0.454</m:t>
        </m:r>
      </m:oMath>
      <w:r>
        <w:t xml:space="preserve"> </w:t>
      </w:r>
      <w:r>
        <w:t xml:space="preserve">(95% CI</w:t>
      </w:r>
      <w:r>
        <w:t xml:space="preserve"> </w:t>
      </w:r>
      <m:oMath>
        <m:r>
          <m:rPr>
            <m:sty m:val="p"/>
          </m:rPr>
          <m:t>[</m:t>
        </m:r>
        <m:r>
          <m:t>0.376</m:t>
        </m:r>
        <m:r>
          <m:rPr>
            <m:sty m:val="p"/>
          </m:rPr>
          <m:t>,</m:t>
        </m:r>
        <m:r>
          <m:t> </m:t>
        </m:r>
        <m:r>
          <m:t>0.534</m:t>
        </m:r>
        <m:r>
          <m:rPr>
            <m:sty m:val="p"/>
          </m:rPr>
          <m:t>]</m:t>
        </m:r>
      </m:oMath>
      <w:r>
        <w:t xml:space="preserve">). Under the two-way scheme that also admits date</w:t>
      </w:r>
      <w:r>
        <w:t xml:space="preserve"> </w:t>
      </w:r>
      <w:r>
        <w:t xml:space="preserve">dependence, the interval widens to</w:t>
      </w:r>
      <w:r>
        <w:t xml:space="preserve"> </w:t>
      </w:r>
      <m:oMath>
        <m:r>
          <m:rPr>
            <m:sty m:val="p"/>
          </m:rPr>
          <m:t>[</m:t>
        </m:r>
        <m:r>
          <m:t>0.328</m:t>
        </m:r>
        <m:r>
          <m:rPr>
            <m:sty m:val="p"/>
          </m:rPr>
          <m:t>,</m:t>
        </m:r>
        <m:r>
          <m:t> </m:t>
        </m:r>
        <m:r>
          <m:t>0.586</m:t>
        </m:r>
        <m:r>
          <m:rPr>
            <m:sty m:val="p"/>
          </m:rPr>
          <m:t>]</m:t>
        </m:r>
      </m:oMath>
      <w:r>
        <w:t xml:space="preserve"> </w:t>
      </w:r>
      <w:r>
        <w:t xml:space="preserve">and still excludes zero.</w:t>
      </w:r>
    </w:p>
    <w:p>
      <w:pPr>
        <w:pStyle w:val="BodyText"/>
      </w:pPr>
      <w:r>
        <w:t xml:space="preserve">Because treating HOLD as an abstention changes the scoreable subset, we repeat</w:t>
      </w:r>
      <w:r>
        <w:t xml:space="preserve"> </w:t>
      </w:r>
      <w:r>
        <w:t xml:space="preserve">the analysis with HOLD counted as an error. The corresponding values are</w:t>
      </w:r>
      <w:r>
        <w:t xml:space="preserve"> </w:t>
      </w:r>
      <m:oMath>
        <m:r>
          <m:t>0.586</m:t>
        </m:r>
      </m:oMath>
      <w:r>
        <w:t xml:space="preserve">,</w:t>
      </w:r>
      <w:r>
        <w:t xml:space="preserve"> </w:t>
      </w:r>
      <m:oMath>
        <m:r>
          <m:t>0.359</m:t>
        </m:r>
      </m:oMath>
      <w:r>
        <w:t xml:space="preserve">, and</w:t>
      </w:r>
      <w:r>
        <w:t xml:space="preserve"> </w:t>
      </w:r>
      <m:oMath>
        <m:r>
          <m:t>0.277</m:t>
        </m:r>
      </m:oMath>
      <w:r>
        <w:t xml:space="preserve">, with</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0.309</m:t>
        </m:r>
      </m:oMath>
      <w:r>
        <w:t xml:space="preserve"> </w:t>
      </w:r>
      <w:r>
        <w:t xml:space="preserve">(95% CI</w:t>
      </w:r>
      <w:r>
        <w:t xml:space="preserve"> </w:t>
      </w:r>
      <m:oMath>
        <m:r>
          <m:rPr>
            <m:sty m:val="p"/>
          </m:rPr>
          <m:t>[</m:t>
        </m:r>
        <m:r>
          <m:t>0.262</m:t>
        </m:r>
        <m:r>
          <m:rPr>
            <m:sty m:val="p"/>
          </m:rPr>
          <m:t>,</m:t>
        </m:r>
        <m:r>
          <m:t> </m:t>
        </m:r>
        <m:r>
          <m:t>0.354</m:t>
        </m:r>
        <m:r>
          <m:rPr>
            <m:sty m:val="p"/>
          </m:rPr>
          <m:t>]</m:t>
        </m:r>
      </m:oMath>
      <w:r>
        <w:t xml:space="preserve">; two-way</w:t>
      </w:r>
      <w:r>
        <w:t xml:space="preserve"> </w:t>
      </w:r>
      <m:oMath>
        <m:r>
          <m:rPr>
            <m:sty m:val="p"/>
          </m:rPr>
          <m:t>[</m:t>
        </m:r>
        <m:r>
          <m:t>0.227</m:t>
        </m:r>
        <m:r>
          <m:rPr>
            <m:sty m:val="p"/>
          </m:rPr>
          <m:t>,</m:t>
        </m:r>
        <m:r>
          <m:t> </m:t>
        </m:r>
        <m:r>
          <m:t>0.387</m:t>
        </m:r>
        <m:r>
          <m:rPr>
            <m:sty m:val="p"/>
          </m:rPr>
          <m:t>]</m:t>
        </m:r>
      </m:oMath>
      <w:r>
        <w:t xml:space="preserve">). The ordering is preserved</w:t>
      </w:r>
      <w:r>
        <w:t xml:space="preserve"> </w:t>
      </w:r>
      <w:r>
        <w:t xml:space="preserve">under both treatments of HOLD, and under both resampling schemes.</w:t>
      </w:r>
    </w:p>
    <w:p>
      <w:pPr>
        <w:pStyle w:val="BodyText"/>
      </w:pPr>
      <w:r>
        <w:t xml:space="preserve">Mean per-agent error rates are similar across configurations, indicating that the</w:t>
      </w:r>
      <w:r>
        <w:t xml:space="preserve"> </w:t>
      </w:r>
      <w:r>
        <w:t xml:space="preserve">decline in</w:t>
      </w:r>
      <w:r>
        <w:t xml:space="preserve"> </w:t>
      </w:r>
      <m:oMath>
        <m:r>
          <m:t>ϕ</m:t>
        </m:r>
      </m:oMath>
      <w:r>
        <w:t xml:space="preserve"> </w:t>
      </w:r>
      <w:r>
        <w:t xml:space="preserve">reflects lower error dependence rather than differences in</w:t>
      </w:r>
      <w:r>
        <w:t xml:space="preserve"> </w:t>
      </w:r>
      <w:r>
        <w:t xml:space="preserve">average correctness. The reduction is partial rather than complete, as</w:t>
      </w:r>
      <w:r>
        <w:t xml:space="preserve"> </w:t>
      </w:r>
      <w:r>
        <w:t xml:space="preserve">heterogeneous agents continue to make correlated errors.</w:t>
      </w:r>
    </w:p>
    <w:bookmarkEnd w:id="39"/>
    <w:bookmarkStart w:id="40" w:name="subsec:frontier"/>
    <w:p>
      <w:pPr>
        <w:pStyle w:val="Heading2"/>
      </w:pPr>
      <w:r>
        <w:t xml:space="preserve">The agreement–cost frontier</w:t>
      </w:r>
    </w:p>
    <w:p>
      <w:pPr>
        <w:pStyle w:val="FirstParagraph"/>
      </w:pPr>
      <w:r>
        <w:t xml:space="preserve">The reduction in agreement is accompanied by higher inference cost. Cost per</w:t>
      </w:r>
      <w:r>
        <w:t xml:space="preserve"> </w:t>
      </w:r>
      <w:r>
        <w:t xml:space="preserve">ensemble decision is calculated from metered prompt and completion tokens. For</w:t>
      </w:r>
      <w:r>
        <w:t xml:space="preserve"> </w:t>
      </w:r>
      <w:r>
        <w:t xml:space="preserve">each call, provider-reported token counts are priced using the per-million token</w:t>
      </w:r>
      <w:r>
        <w:t xml:space="preserve"> </w:t>
      </w:r>
      <w:r>
        <w:t xml:space="preserve">rates reported in Table </w:t>
      </w:r>
      <w:hyperlink w:anchor="tab:models">
        <w:r>
          <w:rPr>
            <w:rStyle w:val="Hyperlink"/>
          </w:rPr>
          <w:t xml:space="preserve">1</w:t>
        </w:r>
      </w:hyperlink>
      <w:r>
        <w:t xml:space="preserve">. Costs are summed across the five agents</w:t>
      </w:r>
      <w:r>
        <w:t xml:space="preserve"> </w:t>
      </w:r>
      <w:r>
        <w:t xml:space="preserve">within a cell and then averaged across cells within each configuration.</w:t>
      </w:r>
    </w:p>
    <w:p>
      <w:pPr>
        <w:pStyle w:val="BodyText"/>
      </w:pPr>
      <w:r>
        <w:t xml:space="preserve">Prices are fixed at those applicable during data collection, so differences across</w:t>
      </w:r>
      <w:r>
        <w:t xml:space="preserve"> </w:t>
      </w:r>
      <w:r>
        <w:t xml:space="preserve">configurations reflect token usage and model composition rather than later price</w:t>
      </w:r>
      <w:r>
        <w:t xml:space="preserve"> </w:t>
      </w:r>
      <w:r>
        <w:t xml:space="preserve">changes. No discount, batching, or caching adjustment is applied. Failed requests</w:t>
      </w:r>
      <w:r>
        <w:t xml:space="preserve"> </w:t>
      </w:r>
      <w:r>
        <w:t xml:space="preserve">that return no billable completion are excluded. The observed</w:t>
      </w:r>
      <w:r>
        <w:t xml:space="preserve"> </w:t>
      </w:r>
      <w:r>
        <w:t xml:space="preserve">cost per five-agent ensemble decision increases from approximately</w:t>
      </w:r>
      <w:r>
        <w:t xml:space="preserve"> </w:t>
      </w:r>
      <m:oMath>
        <m:r>
          <m:rPr>
            <m:sty m:val="p"/>
          </m:rPr>
          <m:t>$</m:t>
        </m:r>
        <m:r>
          <m:t>6.5</m:t>
        </m:r>
        <m:r>
          <m:rPr>
            <m:sty m:val="p"/>
          </m:rPr>
          <m:t>×</m:t>
        </m:r>
        <m:sSup>
          <m:e>
            <m:r>
              <m:t>10</m:t>
            </m:r>
          </m:e>
          <m:sup>
            <m:r>
              <m:rPr>
                <m:sty m:val="p"/>
              </m:rPr>
              <m:t>−</m:t>
            </m:r>
            <m:r>
              <m:t>4</m:t>
            </m:r>
          </m:sup>
        </m:sSup>
      </m:oMath>
      <w:r>
        <w:t xml:space="preserve"> </w:t>
      </w:r>
      <w:r>
        <w:t xml:space="preserve">for HOM to</w:t>
      </w:r>
      <w:r>
        <w:t xml:space="preserve"> </w:t>
      </w:r>
      <m:oMath>
        <m:r>
          <m:rPr>
            <m:sty m:val="p"/>
          </m:rPr>
          <m:t>$</m:t>
        </m:r>
        <m:r>
          <m:t>1.5</m:t>
        </m:r>
        <m:r>
          <m:rPr>
            <m:sty m:val="p"/>
          </m:rPr>
          <m:t>×</m:t>
        </m:r>
        <m:sSup>
          <m:e>
            <m:r>
              <m:t>10</m:t>
            </m:r>
          </m:e>
          <m:sup>
            <m:r>
              <m:rPr>
                <m:sty m:val="p"/>
              </m:rPr>
              <m:t>−</m:t>
            </m:r>
            <m:r>
              <m:t>3</m:t>
            </m:r>
          </m:sup>
        </m:sSup>
      </m:oMath>
      <w:r>
        <w:t xml:space="preserve"> </w:t>
      </w:r>
      <w:r>
        <w:t xml:space="preserve">for HET-LITE and</w:t>
      </w:r>
      <w:r>
        <w:t xml:space="preserve"> </w:t>
      </w:r>
      <m:oMath>
        <m:r>
          <m:rPr>
            <m:sty m:val="p"/>
          </m:rPr>
          <m:t>$</m:t>
        </m:r>
        <m:r>
          <m:t>2.8</m:t>
        </m:r>
        <m:r>
          <m:rPr>
            <m:sty m:val="p"/>
          </m:rPr>
          <m:t>×</m:t>
        </m:r>
        <m:sSup>
          <m:e>
            <m:r>
              <m:t>10</m:t>
            </m:r>
          </m:e>
          <m:sup>
            <m:r>
              <m:rPr>
                <m:sty m:val="p"/>
              </m:rP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rPr>
            <m:sty m:val="p"/>
          </m:rPr>
          <m:t>×</m:t>
        </m:r>
      </m:oMath>
      <w:r>
        <w:t xml:space="preserve"> </w:t>
      </w:r>
      <w:r>
        <w:t xml:space="preserve">(Table </w:t>
      </w:r>
      <w:hyperlink w:anchor="tab:frontier">
        <w:r>
          <w:rPr>
            <w:rStyle w:val="Hyperlink"/>
          </w:rPr>
          <w:t xml:space="preserve">4</w:t>
        </w:r>
      </w:hyperlink>
      <w:r>
        <w:t xml:space="preserve">). Fig. </w:t>
      </w:r>
      <w:hyperlink w:anchor="fig:frontier">
        <w:r>
          <w:rPr>
            <w:rStyle w:val="Hyperlink"/>
          </w:rPr>
          <w:t xml:space="preserve">1</w:t>
        </w:r>
      </w:hyperlink>
      <w:r>
        <w:t xml:space="preserve"> </w:t>
      </w:r>
      <w:r>
        <w:t xml:space="preserve">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bookmarkEnd w:id="40"/>
    <w:bookmarkStart w:id="52" w:name="sec:protocol"/>
    <w:p>
      <w:pPr>
        <w:pStyle w:val="Heading2"/>
      </w:pPr>
      <w:r>
        <w:t xml:space="preserve">Shared-seed dependence and measurement validation</w:t>
      </w:r>
    </w:p>
    <w:bookmarkStart w:id="42" w:name="exactly-what-was-shared"/>
    <w:p>
      <w:pPr>
        <w:pStyle w:val="Heading4"/>
      </w:pPr>
      <w:r>
        <w:t xml:space="preserve">Exactly what was shared</w:t>
      </w:r>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w:t>
      </w:r>
      <w:hyperlink w:anchor="fig:seed">
        <w:r>
          <w:rPr>
            <w:rStyle w:val="Hyperlink"/>
          </w:rPr>
          <w:t xml:space="preserve">2</w:t>
        </w:r>
      </w:hyperlink>
      <w:r>
        <w:t xml:space="preserve">).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bookmarkStart w:id="41" w:name="fig:seed"/>
    <w:tbl>
      <w:tblPr>
        <w:tblStyle w:val="FigureTable"/>
        <w:tblW w:type="auto" w:w="0"/>
        <w:jc w:val="center"/>
        <w:tblLook w:firstRow="0" w:lastRow="0" w:firstColumn="0" w:lastColumn="0"/>
      </w:tblPr>
      <w:tblGrid>
        <w:gridCol w:w="7920"/>
      </w:tblGrid>
      <w:tr>
        <w:tc>
          <w:tcPr/>
          <w:p>
            <w:pPr>
              <w:pStyle w:val="SourceCode"/>
              <w:jc w:val="center"/>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distinct per-agent seed</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distinct seed</w:t>
            </w:r>
          </w:p>
        </w:tc>
      </w:tr>
    </w:tbl>
    <w:p>
      <w:pPr>
        <w:pStyle w:val="ImageCaption"/>
      </w:pPr>
      <w:r>
        <w:t xml:space="preserve">The one-line fix. The pilot derived the seed per run, so all five</w:t>
      </w:r>
      <w:r>
        <w:t xml:space="preserve"> </w:t>
      </w:r>
      <w:r>
        <w:t xml:space="preserve">same-model agents shared a sampling path. The study assigns a distinct</w:t>
      </w:r>
      <w:r>
        <w:t xml:space="preserve"> </w:t>
      </w:r>
      <w:r>
        <w:t xml:space="preserve">reproducible seed to each agent, removing the shared-seed artifact observed in</w:t>
      </w:r>
      <w:r>
        <w:t xml:space="preserve"> </w:t>
      </w:r>
      <w:r>
        <w:t xml:space="preserve">the pilot. As Section </w:t>
      </w:r>
      <w:hyperlink w:anchor="subsec:estimand">
        <w:r>
          <w:rPr>
            <w:rStyle w:val="Hyperlink"/>
          </w:rPr>
          <w:t xml:space="preserve">3.3</w:t>
        </w:r>
      </w:hyperlink>
      <w:r>
        <w:t xml:space="preserve"> </w:t>
      </w:r>
      <w:r>
        <w:t xml:space="preserve">notes, this does not establish</w:t>
      </w:r>
      <w:r>
        <w:t xml:space="preserve"> </w:t>
      </w:r>
      <w:r>
        <w:t xml:space="preserve">statistical independence of the responses.</w:t>
      </w:r>
    </w:p>
    <w:bookmarkEnd w:id="41"/>
    <w:bookmarkEnd w:id="42"/>
    <w:bookmarkStart w:id="43" w:name="ruling-out-adjacent-explanations"/>
    <w:p>
      <w:pPr>
        <w:pStyle w:val="Heading4"/>
      </w:pPr>
      <w:r>
        <w:t xml:space="preserve">Ruling out adjacent explanations</w:t>
      </w:r>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bookmarkEnd w:id="43"/>
    <w:bookmarkStart w:id="49" w:name="diagnostic-verification"/>
    <w:p>
      <w:pPr>
        <w:pStyle w:val="Heading4"/>
      </w:pPr>
      <w:r>
        <w:t xml:space="preserve">Diagnostic verification</w:t>
      </w:r>
    </w:p>
    <w:p>
      <w:pPr>
        <w:pStyle w:val="FirstParagraph"/>
      </w:pPr>
      <w:r>
        <w:t xml:space="preserve">We evaluate residual within-run dependence by comparing within-run and cross-run</w:t>
      </w:r>
      <w:r>
        <w:t xml:space="preserve"> </w:t>
      </w:r>
      <w:r>
        <w:t xml:space="preserve">agreement (Table </w:t>
      </w:r>
      <w:hyperlink w:anchor="tab:nondet">
        <w:r>
          <w:rPr>
            <w:rStyle w:val="Hyperlink"/>
          </w:rPr>
          <w:t xml:space="preserve">6</w:t>
        </w:r>
      </w:hyperlink>
      <w:r>
        <w:t xml:space="preserve">).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agreement contrast by approximately fourfold</w:t>
      </w:r>
      <w:r>
        <w:t xml:space="preserve"> </w:t>
      </w:r>
      <w:r>
        <w:t xml:space="preserve">(Fig. </w:t>
      </w:r>
      <w:hyperlink w:anchor="fig:trap">
        <w:r>
          <w:rPr>
            <w:rStyle w:val="Hyperlink"/>
          </w:rPr>
          <w:t xml:space="preserve">3</w:t>
        </w:r>
      </w:hyperlink>
      <w:r>
        <w:t xml:space="preserve">). The pilot grid comprised 8 equities</w:t>
      </w:r>
      <w:r>
        <w:t xml:space="preserve"> </w:t>
      </w:r>
      <m:oMath>
        <m:r>
          <m:rPr>
            <m:sty m:val="p"/>
          </m:rPr>
          <m:t>×</m:t>
        </m:r>
      </m:oMath>
      <w:r>
        <w:t xml:space="preserve"> </w:t>
      </w:r>
      <w:r>
        <w:t xml:space="preserve">2 analysis</w:t>
      </w:r>
      <w:r>
        <w:t xml:space="preserve"> </w:t>
      </w:r>
      <w:r>
        <w:t xml:space="preserve">dates</w:t>
      </w:r>
      <w:r>
        <w:t xml:space="preserve"> </w:t>
      </w:r>
      <m:oMath>
        <m:r>
          <m:rPr>
            <m:sty m:val="p"/>
          </m:rPr>
          <m:t>×</m:t>
        </m:r>
      </m:oMath>
      <w:r>
        <w:t xml:space="preserve"> </w:t>
      </w:r>
      <w:r>
        <w:t xml:space="preserve">2 configurations (HOM and HET)</w:t>
      </w:r>
      <w:r>
        <w:t xml:space="preserve"> </w:t>
      </w:r>
      <m:oMath>
        <m:r>
          <m:rPr>
            <m:sty m:val="p"/>
          </m:rPr>
          <m:t>×</m:t>
        </m:r>
      </m:oMath>
      <w:r>
        <w:t xml:space="preserve"> </w:t>
      </w:r>
      <w:r>
        <w:t xml:space="preserve">3 runs</w:t>
      </w:r>
      <w:r>
        <w:t xml:space="preserve"> </w:t>
      </w:r>
      <m:oMath>
        <m:r>
          <m:rPr>
            <m:sty m:val="p"/>
          </m:rP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rPr>
            <m:sty m:val="p"/>
          </m:rPr>
          <m:t>−</m:t>
        </m:r>
        <m:r>
          <m:t>0.048</m:t>
        </m:r>
      </m:oMath>
      <w:r>
        <w:t xml:space="preserve"> </w:t>
      </w:r>
      <w:r>
        <w:t xml:space="preserve">and</w:t>
      </w:r>
      <w:r>
        <w:t xml:space="preserve"> </w:t>
      </w:r>
      <m:oMath>
        <m:r>
          <m:rPr>
            <m:sty m:val="p"/>
          </m:rP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44" w:name="tab:nondet"/>
    <w:p>
      <w:pPr>
        <w:pStyle w:val="TableCaption"/>
      </w:pPr>
      <w:r>
        <w:t xml:space="preserve">Non-determinism check: within-run vs. cross-run</w:t>
      </w:r>
      <w:r>
        <w:t xml:space="preserve"> </w:t>
      </w:r>
      <m:oMath>
        <m:r>
          <m:t>κ</m:t>
        </m:r>
      </m:oMath>
      <w:r>
        <w:t xml:space="preserve"> </w:t>
      </w:r>
      <w:r>
        <w:t xml:space="preserve">(must be</w:t>
      </w:r>
      <w:r>
        <w:t xml:space="preserve"> </w:t>
      </w:r>
      <m:oMath>
        <m:r>
          <m:rPr>
            <m:sty m:val="p"/>
          </m:rPr>
          <m:t>≈</m:t>
        </m:r>
        <m:r>
          <m:t>0</m:t>
        </m:r>
      </m:oMath>
      <w:r>
        <w:t xml:space="preserve"> </w:t>
      </w:r>
      <w:r>
        <w:t xml:space="preserve">for the primary/homogeneous configuration).</w:t>
      </w:r>
    </w:p>
    <w:tbl>
      <w:tblPr>
        <w:tblStyle w:val="Table"/>
        <w:tblW w:type="auto" w:w="0"/>
        <w:tblLook w:firstRow="1" w:lastRow="0" w:firstColumn="0" w:lastColumn="0" w:noHBand="0" w:noVBand="0" w:val="0020"/>
        <w:tblCaption w:val="Non-determinism check: within-run vs. cross-run \kappa (must be \approx 0 for the primary/homogeneous configuration)."/>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within</w:t>
            </w:r>
          </w:p>
        </w:tc>
        <w:tc>
          <w:tcPr/>
          <w:p>
            <w:pPr>
              <w:pStyle w:val="Compact"/>
              <w:jc w:val="center"/>
            </w:pPr>
            <w:r>
              <w:t xml:space="preserve">cross</w:t>
            </w:r>
          </w:p>
        </w:tc>
        <w:tc>
          <w:tcPr/>
          <w:p>
            <w:pPr>
              <w:pStyle w:val="Compact"/>
              <w:jc w:val="center"/>
            </w:pPr>
            <w:r>
              <w:t xml:space="preserve">within</w:t>
            </w:r>
            <m:oMath>
              <m:r>
                <m:rPr>
                  <m:sty m:val="p"/>
                </m:rPr>
                <m:t>−</m:t>
              </m:r>
            </m:oMath>
            <w:r>
              <w:t xml:space="preserve">cross</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0.551</w:t>
            </w:r>
          </w:p>
        </w:tc>
        <w:tc>
          <w:tcPr/>
          <w:p>
            <w:pPr>
              <w:pStyle w:val="Compact"/>
              <w:jc w:val="center"/>
            </w:pPr>
            <m:oMath>
              <m:r>
                <m:rPr>
                  <m:sty m:val="p"/>
                </m:rPr>
                <m:t>+</m:t>
              </m:r>
              <m:r>
                <m:t>0.001</m:t>
              </m:r>
            </m:oMath>
            <w:r>
              <w:t xml:space="preserve">​</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0.350</w:t>
            </w:r>
          </w:p>
        </w:tc>
        <w:tc>
          <w:tcPr/>
          <w:p>
            <w:pPr>
              <w:pStyle w:val="Compact"/>
              <w:jc w:val="center"/>
            </w:pPr>
            <m:oMath>
              <m:r>
                <m:rPr>
                  <m:sty m:val="p"/>
                </m:rPr>
                <m:t>−</m:t>
              </m:r>
              <m:r>
                <m:t>0.048</m:t>
              </m:r>
            </m:oMath>
            <w:r>
              <w:t xml:space="preserve">​</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0.289</w:t>
            </w:r>
          </w:p>
        </w:tc>
        <w:tc>
          <w:tcPr/>
          <w:p>
            <w:pPr>
              <w:pStyle w:val="Compact"/>
              <w:jc w:val="center"/>
            </w:pPr>
            <m:oMath>
              <m:r>
                <m:rPr>
                  <m:sty m:val="p"/>
                </m:rPr>
                <m:t>−</m:t>
              </m:r>
              <m:r>
                <m:t>0.074</m:t>
              </m:r>
            </m:oMath>
            <w:r>
              <w:t xml:space="preserve">​</w:t>
            </w:r>
          </w:p>
        </w:tc>
      </w:tr>
    </w:tbl>
    <w:bookmarkEnd w:id="44"/>
    <w:bookmarkStart w:id="48" w:name="fig:trap"/>
    <w:p>
      <w:pPr>
        <w:pStyle w:val="CaptionedFigure"/>
      </w:pPr>
      <w:r>
        <w:drawing>
          <wp:inline>
            <wp:extent cx="5334000" cy="3733799"/>
            <wp:effectExtent b="0" l="0" r="0" t="0"/>
            <wp:docPr descr="" title="" id="46" name="Picture"/>
            <a:graphic>
              <a:graphicData uri="http://schemas.openxmlformats.org/drawingml/2006/picture">
                <pic:pic>
                  <pic:nvPicPr>
                    <pic:cNvPr descr="fig2_protocol.png" id="47" name="Picture"/>
                    <pic:cNvPicPr>
                      <a:picLocks noChangeArrowheads="1" noChangeAspect="1"/>
                    </pic:cNvPicPr>
                  </pic:nvPicPr>
                  <pic:blipFill>
                    <a:blip r:embed="rId45"/>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Effect of seeding protocol on the pilot HOM</w:t>
      </w:r>
      <m:oMath>
        <m:r>
          <m:rPr>
            <m:sty m:val="p"/>
          </m:rPr>
          <m:t>−</m:t>
        </m:r>
      </m:oMath>
      <w:r>
        <w:t xml:space="preserve">HET agreement contrast.</w:t>
      </w:r>
      <w:r>
        <w:t xml:space="preserve"> </w:t>
      </w:r>
      <w:r>
        <w:t xml:space="preserve">The contrast is</w:t>
      </w:r>
      <w:r>
        <w:t xml:space="preserve"> </w:t>
      </w:r>
      <m:oMath>
        <m:r>
          <m:t>0.485</m:t>
        </m:r>
      </m:oMath>
      <w:r>
        <w:t xml:space="preserve"> </w:t>
      </w:r>
      <w:r>
        <w:t xml:space="preserve">under a shared seed and</w:t>
      </w:r>
      <w:r>
        <w:t xml:space="preserve"> </w:t>
      </w:r>
      <m:oMath>
        <m:r>
          <m:t>0.113</m:t>
        </m:r>
      </m:oMath>
      <w:r>
        <w:t xml:space="preserve"> </w:t>
      </w:r>
      <w:r>
        <w:t xml:space="preserve">under distinct per-agent</w:t>
      </w:r>
      <w:r>
        <w:t xml:space="preserve"> </w:t>
      </w:r>
      <w:r>
        <w:t xml:space="preserve">seeds. Both estimates use the same pilot grid and model set.</w:t>
      </w:r>
    </w:p>
    <w:bookmarkEnd w:id="48"/>
    <w:bookmarkEnd w:id="49"/>
    <w:bookmarkStart w:id="50" w:name="sensitivity-agreement-by-pair-type"/>
    <w:p>
      <w:pPr>
        <w:pStyle w:val="Heading4"/>
      </w:pPr>
      <w:r>
        <w:t xml:space="preserve">Sensitivity: agreement by pair type</w:t>
      </w:r>
    </w:p>
    <w:p>
      <w:pPr>
        <w:pStyle w:val="FirstParagraph"/>
      </w:pPr>
      <w:r>
        <w:t xml:space="preserve">We additionally separate pairwise agreement according to whether two agents use</w:t>
      </w:r>
      <w:r>
        <w:t xml:space="preserve"> </w:t>
      </w:r>
      <w:r>
        <w:t xml:space="preserve">the same model. Same-model agreement is</w:t>
      </w:r>
      <w:r>
        <w:t xml:space="preserve"> </w:t>
      </w:r>
      <m:oMath>
        <m:r>
          <m:t>0.800</m:t>
        </m:r>
      </m:oMath>
      <w:r>
        <w:t xml:space="preserve"> </w:t>
      </w:r>
      <w:r>
        <w:t xml:space="preserve">in HOM,</w:t>
      </w:r>
      <w:r>
        <w:t xml:space="preserve"> </w:t>
      </w:r>
      <m:oMath>
        <m:r>
          <m:t>0.794</m:t>
        </m:r>
      </m:oMath>
      <w:r>
        <w:t xml:space="preserve"> </w:t>
      </w:r>
      <w:r>
        <w:t xml:space="preserve">in HET-LITE, and</w:t>
      </w:r>
      <w:r>
        <w:t xml:space="preserve"> </w:t>
      </w:r>
      <m:oMath>
        <m:r>
          <m:t>0.862</m:t>
        </m:r>
      </m:oMath>
      <w:r>
        <w:t xml:space="preserve"> </w:t>
      </w:r>
      <w:r>
        <w:t xml:space="preserve">in HET, while different-model agreement is</w:t>
      </w:r>
      <w:r>
        <w:t xml:space="preserve"> </w:t>
      </w:r>
      <m:oMath>
        <m:r>
          <m:t>0.455</m:t>
        </m:r>
      </m:oMath>
      <w:r>
        <w:t xml:space="preserve"> </w:t>
      </w:r>
      <w:r>
        <w:t xml:space="preserve">in HET-LITE and</w:t>
      </w:r>
      <w:r>
        <w:t xml:space="preserve"> </w:t>
      </w:r>
      <m:oMath>
        <m:r>
          <m:t>0.490</m:t>
        </m:r>
      </m:oMath>
      <w:r>
        <w:t xml:space="preserve"> </w:t>
      </w:r>
      <w:r>
        <w:t xml:space="preserve">in HET.</w:t>
      </w:r>
    </w:p>
    <w:p>
      <w:pPr>
        <w:pStyle w:val="BodyText"/>
      </w:pPr>
      <w:r>
        <w:t xml:space="preserve">The reduction in ensemble agreement is therefore associated with the introduction</w:t>
      </w:r>
      <w:r>
        <w:t xml:space="preserve"> </w:t>
      </w:r>
      <w:r>
        <w:t xml:space="preserve">of different-model pairs rather than a systematic decline in agreement among</w:t>
      </w:r>
      <w:r>
        <w:t xml:space="preserve"> </w:t>
      </w:r>
      <w:r>
        <w:t xml:space="preserve">repeated instances of the same model. This analysis is a sensitivity check on the</w:t>
      </w:r>
      <w:r>
        <w:t xml:space="preserve"> </w:t>
      </w:r>
      <w:r>
        <w:t xml:space="preserve">frozen dataset and does not independently verify provider seed behavior.</w:t>
      </w:r>
    </w:p>
    <w:bookmarkEnd w:id="50"/>
    <w:bookmarkStart w:id="51" w:name="X1ebcf1bbc8ffb8a5c3670468c95fcdb4423b518"/>
    <w:p>
      <w:pPr>
        <w:pStyle w:val="Heading4"/>
      </w:pPr>
      <w:r>
        <w:t xml:space="preserve">What unique seeds do and do not establish</w:t>
      </w:r>
    </w:p>
    <w:p>
      <w:pPr>
        <w:pStyle w:val="FirstParagraph"/>
      </w:pPr>
      <w:r>
        <w:t xml:space="preserve">Assigning a distinct seed to each agent removes the specific shared-seed artifact</w:t>
      </w:r>
      <w:r>
        <w:t xml:space="preserve"> </w:t>
      </w:r>
      <w:r>
        <w:t xml:space="preserve">observed in the pilot. It does not establish statistical independence of the</w:t>
      </w:r>
      <w:r>
        <w:t xml:space="preserve"> </w:t>
      </w:r>
      <w:r>
        <w:t xml:space="preserve">resulting responses.</w:t>
      </w:r>
    </w:p>
    <w:p>
      <w:pPr>
        <w:pStyle w:val="BodyText"/>
      </w:pPr>
      <w:r>
        <w:t xml:space="preserve">Seed support in commercial inference systems is best-effort rather than a</w:t>
      </w:r>
      <w:r>
        <w:t xml:space="preserve"> </w:t>
      </w:r>
      <w:r>
        <w:t xml:space="preserve">guarantee of deterministic execution. Distinct per-agent seeds are therefore</w:t>
      </w:r>
      <w:r>
        <w:t xml:space="preserve"> </w:t>
      </w:r>
      <w:r>
        <w:t xml:space="preserve">treated as a control against one demonstrated dependence mechanism, not as proof</w:t>
      </w:r>
      <w:r>
        <w:t xml:space="preserve"> </w:t>
      </w:r>
      <w:r>
        <w:t xml:space="preserve">of independence.</w:t>
      </w:r>
    </w:p>
    <w:bookmarkEnd w:id="51"/>
    <w:bookmarkEnd w:id="52"/>
    <w:bookmarkStart w:id="57" w:name="provider-pair-agreement"/>
    <w:p>
      <w:pPr>
        <w:pStyle w:val="Heading2"/>
      </w:pPr>
      <w:r>
        <w:t xml:space="preserve">Provider-pair agreement</w:t>
      </w:r>
    </w:p>
    <w:p>
      <w:pPr>
        <w:pStyle w:val="FirstParagraph"/>
      </w:pPr>
      <w:r>
        <w:t xml:space="preserve">The pairwise directional-agreement matrix in Fig. </w:t>
      </w:r>
      <w:hyperlink w:anchor="fig:provider">
        <w:r>
          <w:rPr>
            <w:rStyle w:val="Hyperlink"/>
          </w:rPr>
          <w:t xml:space="preserve">4</w:t>
        </w:r>
      </w:hyperlink>
      <w:r>
        <w:t xml:space="preserve"> </w:t>
      </w:r>
      <w:r>
        <w:t xml:space="preserve">provides</w:t>
      </w:r>
      <w:r>
        <w:t xml:space="preserve"> </w:t>
      </w:r>
      <w:r>
        <w:t xml:space="preserve">additional evidence on where the reduction in ensemble agreement comes from.</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w:t>
      </w:r>
    </w:p>
    <w:p>
      <w:pPr>
        <w:pStyle w:val="BodyText"/>
      </w:pPr>
      <w:r>
        <w:t xml:space="preserve">This comparison should be interpreted as a configuration-specific observational</w:t>
      </w:r>
      <w:r>
        <w:t xml:space="preserve"> </w:t>
      </w:r>
      <w:r>
        <w:t xml:space="preserve">finding rather than as an isolated provider effect. In the present design,</w:t>
      </w:r>
      <w:r>
        <w:t xml:space="preserve"> </w:t>
      </w:r>
      <w:r>
        <w:t xml:space="preserve">provider is not experimentally separable from model identity, parameter count,</w:t>
      </w:r>
      <w:r>
        <w:t xml:space="preserve"> </w:t>
      </w:r>
      <w:r>
        <w:t xml:space="preserve">training corpus, architecture, or alignment procedure because each provider</w:t>
      </w:r>
      <w:r>
        <w:t xml:space="preserve"> </w:t>
      </w:r>
      <w:r>
        <w:t xml:space="preserve">contributes one model. The observed contrast therefore reflects substitution among</w:t>
      </w:r>
      <w:r>
        <w:t xml:space="preserve"> </w:t>
      </w:r>
      <w:r>
        <w:t xml:space="preserve">the specific model and provider combinations evaluated here. The term</w:t>
      </w:r>
      <w:r>
        <w:t xml:space="preserve"> </w:t>
      </w:r>
      <w:r>
        <w:t xml:space="preserve">“provider”</w:t>
      </w:r>
      <w:r>
        <w:t xml:space="preserve"> </w:t>
      </w:r>
      <w:r>
        <w:t xml:space="preserve">should be understood as shorthand for that bundle of characteristics rather than</w:t>
      </w:r>
      <w:r>
        <w:t xml:space="preserve"> </w:t>
      </w:r>
      <w:r>
        <w:t xml:space="preserve">as an independently identified causal factor.</w:t>
      </w:r>
    </w:p>
    <w:p>
      <w:pPr>
        <w:pStyle w:val="BodyText"/>
      </w:pPr>
      <w:r>
        <w:t xml:space="preserve">Section </w:t>
      </w:r>
      <w:hyperlink w:anchor="subsec:crossdomain">
        <w:r>
          <w:rPr>
            <w:rStyle w:val="Hyperlink"/>
          </w:rPr>
          <w:t xml:space="preserve">5.10</w:t>
        </w:r>
      </w:hyperlink>
      <w:r>
        <w:t xml:space="preserve"> </w:t>
      </w:r>
      <w:r>
        <w:t xml:space="preserve">provides an additional capability-matched</w:t>
      </w:r>
      <w:r>
        <w:t xml:space="preserve"> </w:t>
      </w:r>
      <w:r>
        <w:t xml:space="preserve">comparison on a second domain, in which one same-provider pair and one</w:t>
      </w:r>
      <w:r>
        <w:t xml:space="preserve"> </w:t>
      </w:r>
      <w:r>
        <w:t xml:space="preserve">cross-provider pair have nearly identical member accuracy. The</w:t>
      </w:r>
      <w:r>
        <w:t xml:space="preserve"> </w:t>
      </w:r>
      <w:r>
        <w:t xml:space="preserve">provider-associated ordering persists under that comparison, but provider remains</w:t>
      </w:r>
      <w:r>
        <w:t xml:space="preserve"> </w:t>
      </w:r>
      <w:r>
        <w:t xml:space="preserve">inseparable from other model-specific characteristics. A design that varied model</w:t>
      </w:r>
      <w:r>
        <w:t xml:space="preserve"> </w:t>
      </w:r>
      <w:r>
        <w:t xml:space="preserve">identity within provider and provider within capability tier would be required to</w:t>
      </w:r>
      <w:r>
        <w:t xml:space="preserve"> </w:t>
      </w:r>
      <w:r>
        <w:t xml:space="preserve">separate these effects further.</w:t>
      </w:r>
    </w:p>
    <w:bookmarkStart w:id="56" w:name="fig:provider"/>
    <w:p>
      <w:pPr>
        <w:pStyle w:val="CaptionedFigure"/>
      </w:pPr>
      <w:r>
        <w:drawing>
          <wp:inline>
            <wp:extent cx="4389120" cy="3840479"/>
            <wp:effectExtent b="0" l="0" r="0" t="0"/>
            <wp:docPr descr="" title="" id="54" name="Picture"/>
            <a:graphic>
              <a:graphicData uri="http://schemas.openxmlformats.org/drawingml/2006/picture">
                <pic:pic>
                  <pic:nvPicPr>
                    <pic:cNvPr descr="fig3_provider_heatmap.png" id="55" name="Picture"/>
                    <pic:cNvPicPr>
                      <a:picLocks noChangeArrowheads="1" noChangeAspect="1"/>
                    </pic:cNvPicPr>
                  </pic:nvPicPr>
                  <pic:blipFill>
                    <a:blip r:embed="rId53"/>
                    <a:stretch>
                      <a:fillRect/>
                    </a:stretch>
                  </pic:blipFill>
                  <pic:spPr bwMode="auto">
                    <a:xfrm>
                      <a:off x="0" y="0"/>
                      <a:ext cx="4389120" cy="3840479"/>
                    </a:xfrm>
                    <a:prstGeom prst="rect">
                      <a:avLst/>
                    </a:prstGeom>
                    <a:noFill/>
                    <a:ln w="9525">
                      <a:noFill/>
                      <a:headEnd/>
                      <a:tailEnd/>
                    </a:ln>
                  </pic:spPr>
                </pic:pic>
              </a:graphicData>
            </a:graphic>
          </wp:inline>
        </w:drawing>
      </w:r>
    </w:p>
    <w:p>
      <w:pPr>
        <w:pStyle w:val="ImageCaption"/>
      </w:pPr>
      <w:r>
        <w:t xml:space="preserve">Pairwise directional-agreement matrix by provider. Diagonal</w:t>
      </w:r>
      <w:r>
        <w:t xml:space="preserve"> </w:t>
      </w:r>
      <w:r>
        <w:t xml:space="preserve">(within-provider) agreement greatly exceeds off-diagonal (cross-provider),</w:t>
      </w:r>
      <w:r>
        <w:t xml:space="preserve"> </w:t>
      </w:r>
      <w:r>
        <w:t xml:space="preserve">which is where the reduction in ensemble agreement originates. The xAI–xAI diagonal is undefined (marked</w:t>
      </w:r>
      <w:r>
        <w:t xml:space="preserve"> </w:t>
      </w:r>
      <w:r>
        <w:t xml:space="preserve">N/A, not 0): each HET cell contains a single xAI agent, so no within-xAI agent</w:t>
      </w:r>
      <w:r>
        <w:t xml:space="preserve"> </w:t>
      </w:r>
      <w:r>
        <w:t xml:space="preserve">pair exists.</w:t>
      </w:r>
    </w:p>
    <w:bookmarkEnd w:id="56"/>
    <w:bookmarkEnd w:id="57"/>
    <w:bookmarkStart w:id="59" w:name="secondary-directional-accuracy-analysis"/>
    <w:p>
      <w:pPr>
        <w:pStyle w:val="Heading2"/>
      </w:pPr>
      <w:r>
        <w:t xml:space="preserve">Secondary directional-accuracy analysis</w:t>
      </w:r>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w:t>
      </w:r>
      <w:hyperlink w:anchor="tab:acc">
        <w:r>
          <w:rPr>
            <w:rStyle w:val="Hyperlink"/>
          </w:rPr>
          <w:t xml:space="preserve">7</w:t>
        </w:r>
      </w:hyperlink>
      <w:r>
        <w:t xml:space="preserve">). The associated</w:t>
      </w:r>
      <w:r>
        <w:t xml:space="preserve"> </w:t>
      </w:r>
      <w:r>
        <w:t xml:space="preserve">Wilson confidence intervals </w:t>
      </w:r>
      <w:r>
        <w:t xml:space="preserve">(Wilson 1927)</w:t>
      </w:r>
      <w:r>
        <w:t xml:space="preserve"> </w:t>
      </w:r>
      <w:r>
        <w:t xml:space="preserve">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rPr>
            <m:sty m:val="p"/>
          </m:rP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agreement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8" w:name="tab:acc"/>
    <w:p>
      <w:pPr>
        <w:pStyle w:val="TableCaption"/>
      </w:pPr>
      <w:r>
        <w:t xml:space="preserve">Accuracy proxy (SECONDARY; underpowered by design). Hit-rate of</w:t>
      </w:r>
      <w:r>
        <w:t xml:space="preserve"> </w:t>
      </w:r>
      <w:r>
        <w:t xml:space="preserve">majority-vote direction vs. 20-day forward-return sign; HOLD abstains.</w:t>
      </w:r>
    </w:p>
    <w:tbl>
      <w:tblPr>
        <w:tblStyle w:val="Table"/>
        <w:tblW w:type="auto" w:w="0"/>
        <w:tblLook w:firstRow="1" w:lastRow="0" w:firstColumn="0" w:lastColumn="0" w:noHBand="0" w:noVBand="0" w:val="0020"/>
        <w:tblCaption w:val="Accuracy proxy (SECONDARY; underpowered by design). Hit-rate of majority-vote direction vs. 20-day forward-return sign; HOLD abstains."/>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hit-rate</w:t>
            </w:r>
          </w:p>
        </w:tc>
        <w:tc>
          <w:tcPr/>
          <w:p>
            <w:pPr>
              <w:pStyle w:val="Compact"/>
              <w:jc w:val="center"/>
            </w:pPr>
            <m:oMath>
              <m:r>
                <m:t>n</m:t>
              </m:r>
            </m:oMath>
            <w:r>
              <w:t xml:space="preserve">​</w:t>
            </w:r>
          </w:p>
        </w:tc>
        <w:tc>
          <w:tcPr/>
          <w:p>
            <w:pPr>
              <w:pStyle w:val="Compact"/>
              <w:jc w:val="center"/>
            </w:pPr>
            <w:r>
              <w:t xml:space="preserve">95% CI (Wilson)</w:t>
            </w:r>
          </w:p>
        </w:tc>
      </w:tr>
      <w:tr>
        <w:tc>
          <w:tcPr/>
          <w:p>
            <w:pPr>
              <w:pStyle w:val="Compact"/>
              <w:jc w:val="left"/>
            </w:pPr>
            <w:r>
              <w:t xml:space="preserve">HOM</w:t>
            </w:r>
          </w:p>
        </w:tc>
        <w:tc>
          <w:tcPr/>
          <w:p>
            <w:pPr>
              <w:pStyle w:val="Compact"/>
              <w:jc w:val="center"/>
            </w:pPr>
            <w:r>
              <w:t xml:space="preserve">0.438</w:t>
            </w:r>
          </w:p>
        </w:tc>
        <w:tc>
          <w:tcPr/>
          <w:p>
            <w:pPr>
              <w:pStyle w:val="Compact"/>
              <w:jc w:val="center"/>
            </w:pPr>
            <w:r>
              <w:t xml:space="preserve">315</w:t>
            </w:r>
          </w:p>
        </w:tc>
        <w:tc>
          <w:tcPr/>
          <w:p>
            <w:pPr>
              <w:pStyle w:val="Compact"/>
              <w:jc w:val="center"/>
            </w:pPr>
            <m:oMath>
              <m:r>
                <m:rPr>
                  <m:sty m:val="p"/>
                </m:rPr>
                <m:t>[</m:t>
              </m:r>
              <m:r>
                <m:t>0.384</m:t>
              </m:r>
              <m:r>
                <m:rPr>
                  <m:sty m:val="p"/>
                </m:rPr>
                <m:t>,</m:t>
              </m:r>
              <m:r>
                <m:t> </m:t>
              </m:r>
              <m:r>
                <m:t>0.493</m:t>
              </m:r>
              <m:r>
                <m:rPr>
                  <m:sty m:val="p"/>
                </m:rPr>
                <m:t>]</m:t>
              </m:r>
            </m:oMath>
            <w:r>
              <w:t xml:space="preserve">​</w:t>
            </w:r>
          </w:p>
        </w:tc>
      </w:tr>
      <w:tr>
        <w:tc>
          <w:tcPr/>
          <w:p>
            <w:pPr>
              <w:pStyle w:val="Compact"/>
              <w:jc w:val="left"/>
            </w:pPr>
            <w:r>
              <w:t xml:space="preserve">HET-LITE</w:t>
            </w:r>
          </w:p>
        </w:tc>
        <w:tc>
          <w:tcPr/>
          <w:p>
            <w:pPr>
              <w:pStyle w:val="Compact"/>
              <w:jc w:val="center"/>
            </w:pPr>
            <w:r>
              <w:t xml:space="preserve">0.463</w:t>
            </w:r>
          </w:p>
        </w:tc>
        <w:tc>
          <w:tcPr/>
          <w:p>
            <w:pPr>
              <w:pStyle w:val="Compact"/>
              <w:jc w:val="center"/>
            </w:pPr>
            <w:r>
              <w:t xml:space="preserve">339</w:t>
            </w:r>
          </w:p>
        </w:tc>
        <w:tc>
          <w:tcPr/>
          <w:p>
            <w:pPr>
              <w:pStyle w:val="Compact"/>
              <w:jc w:val="center"/>
            </w:pPr>
            <m:oMath>
              <m:r>
                <m:rPr>
                  <m:sty m:val="p"/>
                </m:rPr>
                <m:t>[</m:t>
              </m:r>
              <m:r>
                <m:t>0.411</m:t>
              </m:r>
              <m:r>
                <m:rPr>
                  <m:sty m:val="p"/>
                </m:rPr>
                <m:t>,</m:t>
              </m:r>
              <m:r>
                <m:t> </m:t>
              </m:r>
              <m:r>
                <m:t>0.516</m:t>
              </m:r>
              <m:r>
                <m:rPr>
                  <m:sty m:val="p"/>
                </m:rPr>
                <m:t>]</m:t>
              </m:r>
            </m:oMath>
            <w:r>
              <w:t xml:space="preserve">​</w:t>
            </w:r>
          </w:p>
        </w:tc>
      </w:tr>
      <w:tr>
        <w:tc>
          <w:tcPr/>
          <w:p>
            <w:pPr>
              <w:pStyle w:val="Compact"/>
              <w:jc w:val="left"/>
            </w:pPr>
            <w:r>
              <w:t xml:space="preserve">HET</w:t>
            </w:r>
          </w:p>
        </w:tc>
        <w:tc>
          <w:tcPr/>
          <w:p>
            <w:pPr>
              <w:pStyle w:val="Compact"/>
              <w:jc w:val="center"/>
            </w:pPr>
            <w:r>
              <w:t xml:space="preserve">0.488</w:t>
            </w:r>
          </w:p>
        </w:tc>
        <w:tc>
          <w:tcPr/>
          <w:p>
            <w:pPr>
              <w:pStyle w:val="Compact"/>
              <w:jc w:val="center"/>
            </w:pPr>
            <w:r>
              <w:t xml:space="preserve">525</w:t>
            </w:r>
          </w:p>
        </w:tc>
        <w:tc>
          <w:tcPr/>
          <w:p>
            <w:pPr>
              <w:pStyle w:val="Compact"/>
              <w:jc w:val="center"/>
            </w:pPr>
            <m:oMath>
              <m:r>
                <m:rPr>
                  <m:sty m:val="p"/>
                </m:rPr>
                <m:t>[</m:t>
              </m:r>
              <m:r>
                <m:t>0.445</m:t>
              </m:r>
              <m:r>
                <m:rPr>
                  <m:sty m:val="p"/>
                </m:rPr>
                <m:t>,</m:t>
              </m:r>
              <m:r>
                <m:t> </m:t>
              </m:r>
              <m:r>
                <m:t>0.530</m:t>
              </m:r>
              <m:r>
                <m:rPr>
                  <m:sty m:val="p"/>
                </m:rPr>
                <m:t>]</m:t>
              </m:r>
            </m:oMath>
            <w:r>
              <w:t xml:space="preserve">​</w:t>
            </w:r>
          </w:p>
        </w:tc>
      </w:tr>
    </w:tbl>
    <w:bookmarkEnd w:id="58"/>
    <w:bookmarkEnd w:id="59"/>
    <w:bookmarkStart w:id="65" w:name="sec:consensus"/>
    <w:p>
      <w:pPr>
        <w:pStyle w:val="Heading2"/>
      </w:pPr>
      <w:r>
        <w:t xml:space="preserve">Exploratory analysis of consensus errors</w:t>
      </w:r>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“manufactured-consensus”</w:t>
      </w:r>
      <w:r>
        <w:t xml:space="preserve"> </w:t>
      </w:r>
      <w:r>
        <w:t xml:space="preserve">failure that monoculture warnings</w:t>
      </w:r>
      <w:r>
        <w:t xml:space="preserve"> </w:t>
      </w:r>
      <w:r>
        <w:t xml:space="preserve">describe </w:t>
      </w:r>
      <w:r>
        <w:t xml:space="preserve">(Kim et al. 2025)</w:t>
      </w:r>
      <w:r>
        <w:t xml:space="preserve">; and, conditional on an incorrect majority</w:t>
      </w:r>
      <w:r>
        <w:t xml:space="preserve"> </w:t>
      </w:r>
      <w:r>
        <w:t xml:space="preserve">decision, the proportion of agents endorsing that incorrect majority</w:t>
      </w:r>
      <w:r>
        <w:t xml:space="preserve"> </w:t>
      </w:r>
      <w:r>
        <w:t xml:space="preserve">(Table </w:t>
      </w:r>
      <w:hyperlink w:anchor="tab:consensus">
        <w:r>
          <w:rPr>
            <w:rStyle w:val="Hyperlink"/>
          </w:rPr>
          <w:t xml:space="preserve">8</w:t>
        </w:r>
      </w:hyperlink>
      <w:r>
        <w:t xml:space="preserve">).</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rPr>
            <m:sty m:val="p"/>
          </m:rPr>
          <m:t>×</m:t>
        </m:r>
      </m:oMath>
      <w:r>
        <w:t xml:space="preserve"> </w:t>
      </w:r>
      <w:r>
        <w:t xml:space="preserve">the rate of</w:t>
      </w:r>
      <w:r>
        <w:t xml:space="preserve"> </w:t>
      </w:r>
      <w:r>
        <w:t xml:space="preserve">the fully heterogeneous ensemble. The equity-clustered bootstrap gives a 95%</w:t>
      </w:r>
      <w:r>
        <w:t xml:space="preserve"> </w:t>
      </w:r>
      <w:r>
        <w:t xml:space="preserve">confidence interval of</w:t>
      </w:r>
      <w:r>
        <w:t xml:space="preserve"> </w:t>
      </w:r>
      <m:oMath>
        <m:r>
          <m:rPr>
            <m:sty m:val="p"/>
          </m:rPr>
          <m:t>[</m:t>
        </m:r>
        <m:r>
          <m:t>1.42</m:t>
        </m:r>
        <m:r>
          <m:rPr>
            <m:sty m:val="p"/>
          </m:rPr>
          <m:t>,</m:t>
        </m:r>
        <m:r>
          <m:t> </m:t>
        </m:r>
        <m:r>
          <m:t>2.52</m:t>
        </m:r>
        <m:r>
          <m:rPr>
            <m:sty m:val="p"/>
          </m:rPr>
          <m:t>]</m:t>
        </m:r>
      </m:oMath>
      <w:r>
        <w:t xml:space="preserve"> </w:t>
      </w:r>
      <w:r>
        <w:t xml:space="preserve">for this ratio, which excludes unity.</w:t>
      </w:r>
      <w:r>
        <w:t xml:space="preserve"> </w:t>
      </w:r>
      <w:r>
        <w:t xml:space="preserve">Because this statement is inferential rather than descriptive, we also admit date</w:t>
      </w:r>
      <w:r>
        <w:t xml:space="preserve"> </w:t>
      </w:r>
      <w:r>
        <w:t xml:space="preserve">dependence under the two-way scheme used for the primary endpoint: the interval</w:t>
      </w:r>
      <w:r>
        <w:t xml:space="preserve"> </w:t>
      </w:r>
      <w:r>
        <w:t xml:space="preserve">widens to</w:t>
      </w:r>
      <w:r>
        <w:t xml:space="preserve"> </w:t>
      </w:r>
      <m:oMath>
        <m:r>
          <m:rPr>
            <m:sty m:val="p"/>
          </m:rPr>
          <m:t>[</m:t>
        </m:r>
        <m:r>
          <m:t>1.13</m:t>
        </m:r>
        <m:r>
          <m:rPr>
            <m:sty m:val="p"/>
          </m:rPr>
          <m:t>,</m:t>
        </m:r>
        <m:r>
          <m:t> </m:t>
        </m:r>
        <m:r>
          <m:t>3.06</m:t>
        </m:r>
        <m:r>
          <m:rPr>
            <m:sty m:val="p"/>
          </m:rPr>
          <m:t>]</m:t>
        </m:r>
      </m:oMath>
      <w:r>
        <w:t xml:space="preserve"> </w:t>
      </w:r>
      <w:r>
        <w:t xml:space="preserve">and still excludes unity.</w:t>
      </w:r>
      <w:r>
        <w:t xml:space="preserve"> </w:t>
      </w:r>
      <w:r>
        <w:t xml:space="preserve">HET-LITE exhibits a similar reduction in unanimous directional errors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w:t>
      </w:r>
    </w:p>
    <w:p>
      <w:pPr>
        <w:pStyle w:val="BodyText"/>
      </w:pPr>
      <w:r>
        <w:t xml:space="preserve">These results are exploratory. Neither the configuration comparison nor the</w:t>
      </w:r>
      <w:r>
        <w:t xml:space="preserve"> </w:t>
      </w:r>
      <w:r>
        <w:t xml:space="preserve">reported statistic was pre-registered, multiple related comparisons were available</w:t>
      </w:r>
      <w:r>
        <w:t xml:space="preserve"> </w:t>
      </w:r>
      <w:r>
        <w:t xml:space="preserve">within this analysis, and no multiplicity adjustment is applied. The corresponding</w:t>
      </w:r>
      <w:r>
        <w:t xml:space="preserve"> </w:t>
      </w:r>
      <w:r>
        <w:t xml:space="preserve">intervals should therefore not be interpreted as confirmatory evidence. We do not</w:t>
      </w:r>
      <w:r>
        <w:t xml:space="preserve"> </w:t>
      </w:r>
      <w:r>
        <w:t xml:space="preserve">present HET-LITE as a recommended ensemble design. Its apparent cost efficiency is</w:t>
      </w:r>
      <w:r>
        <w:t xml:space="preserve"> </w:t>
      </w:r>
      <w:r>
        <w:t xml:space="preserve">instead treated as a hypothesis for prospective evaluation in a confirmatory</w:t>
      </w:r>
      <w:r>
        <w:t xml:space="preserve"> </w:t>
      </w:r>
      <w:r>
        <w:t xml:space="preserve">study.</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A paired equity-clustered bootstrap over the same 100 equities,</w:t>
      </w:r>
      <w:r>
        <w:t xml:space="preserve"> </w:t>
      </w:r>
      <w:r>
        <w:t xml:space="preserve">using 2</w:t>
      </w:r>
      <w:r>
        <w:t xml:space="preserve">,</w:t>
      </w:r>
      <w:r>
        <w:t xml:space="preserve">000 draws and the resampling scheme of the primary endpoint, gives a</w:t>
      </w:r>
      <w:r>
        <w:t xml:space="preserve"> </w:t>
      </w:r>
      <w:r>
        <w:t xml:space="preserve">HOM</w:t>
      </w:r>
      <m:oMath>
        <m:r>
          <m:rPr>
            <m:sty m:val="p"/>
          </m:rPr>
          <m:t>−</m:t>
        </m:r>
      </m:oMath>
      <w:r>
        <w:t xml:space="preserve">HET difference of</w:t>
      </w:r>
      <w:r>
        <w:t xml:space="preserve"> </w:t>
      </w:r>
      <m:oMath>
        <m:r>
          <m:t>0.189</m:t>
        </m:r>
      </m:oMath>
      <w:r>
        <w:t xml:space="preserve"> </w:t>
      </w:r>
      <w:r>
        <w:t xml:space="preserve">with a 95% confidence interval of</w:t>
      </w:r>
      <w:r>
        <w:t xml:space="preserve"> </w:t>
      </w:r>
      <m:oMath>
        <m:r>
          <m:rPr>
            <m:sty m:val="p"/>
          </m:rPr>
          <m:t>[</m:t>
        </m:r>
        <m:r>
          <m:t>0.160</m:t>
        </m:r>
        <m:r>
          <m:rPr>
            <m:sty m:val="p"/>
          </m:rPr>
          <m:t>,</m:t>
        </m:r>
        <m:r>
          <m:t> </m:t>
        </m:r>
        <m:r>
          <m:t>0.216</m:t>
        </m:r>
        <m:r>
          <m:rPr>
            <m:sty m:val="p"/>
          </m:rPr>
          <m:t>]</m:t>
        </m:r>
      </m:oMath>
      <w:r>
        <w:t xml:space="preserve">. When dependence across analysis dates is also included using</w:t>
      </w:r>
      <w:r>
        <w:t xml:space="preserve"> </w:t>
      </w:r>
      <w:r>
        <w:t xml:space="preserve">the same two-way resampling procedure applied to the primary endpoint, the</w:t>
      </w:r>
      <w:r>
        <w:t xml:space="preserve"> </w:t>
      </w:r>
      <w:r>
        <w:t xml:space="preserve">interval widens to</w:t>
      </w:r>
      <w:r>
        <w:t xml:space="preserve"> </w:t>
      </w:r>
      <m:oMath>
        <m:r>
          <m:rPr>
            <m:sty m:val="p"/>
          </m:rPr>
          <m:t>[</m:t>
        </m:r>
        <m:r>
          <m:t>0.140</m:t>
        </m:r>
        <m:r>
          <m:rPr>
            <m:sty m:val="p"/>
          </m:rPr>
          <m:t>,</m:t>
        </m:r>
        <m:r>
          <m:t> </m:t>
        </m:r>
        <m:r>
          <m:t>0.232</m:t>
        </m:r>
        <m:r>
          <m:rPr>
            <m:sty m:val="p"/>
          </m:rPr>
          <m:t>]</m:t>
        </m:r>
      </m:oMath>
      <w:r>
        <w:t xml:space="preserve"> </w:t>
      </w:r>
      <w:r>
        <w:t xml:space="preserve">and remains above zero. Thus, within the</w:t>
      </w:r>
      <w:r>
        <w:t xml:space="preserve"> </w:t>
      </w:r>
      <w:r>
        <w:t xml:space="preserve">evaluated data, incorrect majority decisions in heterogeneous ensembles are</w:t>
      </w:r>
      <w:r>
        <w:t xml:space="preserve"> </w:t>
      </w:r>
      <w:r>
        <w:t xml:space="preserve">accompanied by more within-committee dissent than in the homogeneous</w:t>
      </w:r>
      <w:r>
        <w:t xml:space="preserve"> </w:t>
      </w:r>
      <w:r>
        <w:t xml:space="preserve">configuration. This result remains exploratory and does not by itself establish a</w:t>
      </w:r>
      <w:r>
        <w:t xml:space="preserve"> </w:t>
      </w:r>
      <w:r>
        <w:t xml:space="preserve">reduction in downstream decision risk.</w:t>
      </w:r>
    </w:p>
    <w:p>
      <w:pPr>
        <w:pStyle w:val="BodyText"/>
      </w:pPr>
      <w:r>
        <w:t xml:space="preserve">Self-reported conviction does not exhibit a reliable positive relationship with</w:t>
      </w:r>
      <w:r>
        <w:t xml:space="preserve"> </w:t>
      </w:r>
      <w:r>
        <w:t xml:space="preserve">per-agent directional accuracy in any configuration (Fig. </w:t>
      </w:r>
      <w:hyperlink w:anchor="fig:cal">
        <w:r>
          <w:rPr>
            <w:rStyle w:val="Hyperlink"/>
          </w:rPr>
          <w:t xml:space="preserve">5</w:t>
        </w:r>
      </w:hyperlink>
      <w:r>
        <w:t xml:space="preserve">).</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60" w:name="tab:consensus"/>
    <w:p>
      <w:pPr>
        <w:pStyle w:val="TableCaption"/>
      </w:pP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“Unan. wrong”</w:t>
      </w:r>
      <w:r>
        <w:t xml:space="preserve"> </w:t>
      </w:r>
      <m:oMath>
        <m:r>
          <m:rPr>
            <m:sty m:val="p"/>
          </m:rPr>
          <m:t>=</m:t>
        </m:r>
      </m:oMath>
      <w:r>
        <w:t xml:space="preserve"> </w:t>
      </w:r>
      <w:r>
        <w:t xml:space="preserve">all five agents agree on</w:t>
      </w:r>
      <w:r>
        <w:t xml:space="preserve"> </w:t>
      </w:r>
      <w:r>
        <w:t xml:space="preserve">one directional call that is wrong;</w:t>
      </w:r>
      <w:r>
        <w:t xml:space="preserve"> </w:t>
      </w:r>
      <w:r>
        <w:t xml:space="preserve">“pile-on”</w:t>
      </w:r>
      <w:r>
        <w:t xml:space="preserve"> </w:t>
      </w:r>
      <m:oMath>
        <m:r>
          <m:rPr>
            <m:sty m:val="p"/>
          </m:rPr>
          <m:t>=</m:t>
        </m:r>
      </m:oMath>
      <w:r>
        <w:t xml:space="preserve"> </w:t>
      </w:r>
      <m:oMath>
        <m:r>
          <m:t>P</m:t>
        </m:r>
        <m:r>
          <m:rPr>
            <m:sty m:val="p"/>
          </m:rP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rPr>
            <m:sty m:val="p"/>
          </m:rPr>
          <m:t>)</m:t>
        </m:r>
      </m:oMath>
      <w:r>
        <w:t xml:space="preserve">.</w:t>
      </w:r>
    </w:p>
    <w:tbl>
      <w:tblPr>
        <w:tblStyle w:val="Table"/>
        <w:tblW w:type="auto" w:w="0"/>
        <w:tblLook w:firstRow="1" w:lastRow="0" w:firstColumn="0" w:lastColumn="0" w:noHBand="0" w:noVBand="0" w:val="0020"/>
        <w:tblCaption w:val="Consensus structure by heterogeneity (exploratory; 3,600 scoreable five-agent decisions per config). “Unan. wrong” = all five agents agree on one directional call that is wrong; “pile-on” = P(\mathrm{agent\ endorses\ majority}\mid\mathrm{majority\ wrong})."/>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unanimity</w:t>
            </w:r>
          </w:p>
        </w:tc>
        <w:tc>
          <w:tcPr/>
          <w:p>
            <w:pPr>
              <w:pStyle w:val="Compact"/>
              <w:jc w:val="center"/>
            </w:pPr>
            <w:r>
              <w:t xml:space="preserve">unan. wrong</w:t>
            </w:r>
          </w:p>
        </w:tc>
        <w:tc>
          <w:tcPr/>
          <w:p>
            <w:pPr>
              <w:pStyle w:val="Compact"/>
              <w:jc w:val="center"/>
            </w:pPr>
            <w:r>
              <w:t xml:space="preserve">pile-on</w:t>
            </w:r>
          </w:p>
        </w:tc>
      </w:tr>
      <w:tr>
        <w:tc>
          <w:tcPr/>
          <w:p>
            <w:pPr>
              <w:pStyle w:val="Compact"/>
              <w:jc w:val="left"/>
            </w:pPr>
            <w:r>
              <w:t xml:space="preserve">HOM</w:t>
            </w:r>
          </w:p>
        </w:tc>
        <w:tc>
          <w:tcPr/>
          <w:p>
            <w:pPr>
              <w:pStyle w:val="Compact"/>
              <w:jc w:val="center"/>
            </w:pPr>
            <w:r>
              <w:t xml:space="preserve">0.591</w:t>
            </w:r>
          </w:p>
        </w:tc>
        <w:tc>
          <w:tcPr/>
          <w:p>
            <w:pPr>
              <w:pStyle w:val="Compact"/>
              <w:jc w:val="center"/>
            </w:pPr>
            <w:r>
              <w:t xml:space="preserve">0.058</w:t>
            </w:r>
          </w:p>
        </w:tc>
        <w:tc>
          <w:tcPr/>
          <w:p>
            <w:pPr>
              <w:pStyle w:val="Compact"/>
              <w:jc w:val="center"/>
            </w:pPr>
            <w:r>
              <w:t xml:space="preserve">0.824</w:t>
            </w:r>
          </w:p>
        </w:tc>
      </w:tr>
      <w:tr>
        <w:tc>
          <w:tcPr/>
          <w:p>
            <w:pPr>
              <w:pStyle w:val="Compact"/>
              <w:jc w:val="left"/>
            </w:pPr>
            <w:r>
              <w:t xml:space="preserve">HET-LITE</w:t>
            </w:r>
          </w:p>
        </w:tc>
        <w:tc>
          <w:tcPr/>
          <w:p>
            <w:pPr>
              <w:pStyle w:val="Compact"/>
              <w:jc w:val="center"/>
            </w:pPr>
            <w:r>
              <w:t xml:space="preserve">0.315</w:t>
            </w:r>
          </w:p>
        </w:tc>
        <w:tc>
          <w:tcPr/>
          <w:p>
            <w:pPr>
              <w:pStyle w:val="Compact"/>
              <w:jc w:val="center"/>
            </w:pPr>
            <w:r>
              <w:t xml:space="preserve">0.030</w:t>
            </w:r>
          </w:p>
        </w:tc>
        <w:tc>
          <w:tcPr/>
          <w:p>
            <w:pPr>
              <w:pStyle w:val="Compact"/>
              <w:jc w:val="center"/>
            </w:pPr>
            <w:r>
              <w:t xml:space="preserve">0.761</w:t>
            </w:r>
          </w:p>
        </w:tc>
      </w:tr>
      <w:tr>
        <w:tc>
          <w:tcPr/>
          <w:p>
            <w:pPr>
              <w:pStyle w:val="Compact"/>
              <w:jc w:val="left"/>
            </w:pPr>
            <w:r>
              <w:t xml:space="preserve">HET</w:t>
            </w:r>
          </w:p>
        </w:tc>
        <w:tc>
          <w:tcPr/>
          <w:p>
            <w:pPr>
              <w:pStyle w:val="Compact"/>
              <w:jc w:val="center"/>
            </w:pPr>
            <w:r>
              <w:t xml:space="preserve">0.267</w:t>
            </w:r>
          </w:p>
        </w:tc>
        <w:tc>
          <w:tcPr/>
          <w:p>
            <w:pPr>
              <w:pStyle w:val="Compact"/>
              <w:jc w:val="center"/>
            </w:pPr>
            <w:r>
              <w:t xml:space="preserve">0.032</w:t>
            </w:r>
          </w:p>
        </w:tc>
        <w:tc>
          <w:tcPr/>
          <w:p>
            <w:pPr>
              <w:pStyle w:val="Compact"/>
              <w:jc w:val="center"/>
            </w:pPr>
            <w:r>
              <w:t xml:space="preserve">0.636</w:t>
            </w:r>
          </w:p>
        </w:tc>
      </w:tr>
    </w:tbl>
    <w:bookmarkEnd w:id="60"/>
    <w:bookmarkStart w:id="64" w:name="fig:cal"/>
    <w:p>
      <w:pPr>
        <w:pStyle w:val="CaptionedFigure"/>
      </w:pPr>
      <w:r>
        <w:drawing>
          <wp:inline>
            <wp:extent cx="4572000" cy="2926080"/>
            <wp:effectExtent b="0" l="0" r="0" t="0"/>
            <wp:docPr descr="" title="" id="62" name="Picture"/>
            <a:graphic>
              <a:graphicData uri="http://schemas.openxmlformats.org/drawingml/2006/picture">
                <pic:pic>
                  <pic:nvPicPr>
                    <pic:cNvPr descr="fig5_calibration.png" id="63" name="Picture"/>
                    <pic:cNvPicPr>
                      <a:picLocks noChangeArrowheads="1" noChangeAspect="1"/>
                    </pic:cNvPicPr>
                  </pic:nvPicPr>
                  <pic:blipFill>
                    <a:blip r:embed="rId61"/>
                    <a:stretch>
                      <a:fillRect/>
                    </a:stretch>
                  </pic:blipFill>
                  <pic:spPr bwMode="auto">
                    <a:xfrm>
                      <a:off x="0" y="0"/>
                      <a:ext cx="4572000" cy="2926080"/>
                    </a:xfrm>
                    <a:prstGeom prst="rect">
                      <a:avLst/>
                    </a:prstGeom>
                    <a:noFill/>
                    <a:ln w="9525">
                      <a:noFill/>
                      <a:headEnd/>
                      <a:tailEnd/>
                    </a:ln>
                  </pic:spPr>
                </pic:pic>
              </a:graphicData>
            </a:graphic>
          </wp:inline>
        </w:drawing>
      </w:r>
    </w:p>
    <w:p>
      <w:pPr>
        <w:pStyle w:val="ImageCaption"/>
      </w:pP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bookmarkEnd w:id="64"/>
    <w:bookmarkEnd w:id="65"/>
    <w:bookmarkStart w:id="66" w:name="subsec:selective"/>
    <w:p>
      <w:pPr>
        <w:pStyle w:val="Heading2"/>
      </w:pPr>
      <w:r>
        <w:t xml:space="preserve">Selective prediction</w:t>
      </w:r>
    </w:p>
    <w:p>
      <w:pPr>
        <w:pStyle w:val="FirstParagraph"/>
      </w:pPr>
      <w:r>
        <w:t xml:space="preserve">Reduced agreement is only useful if it buys something downstream, so we ask</w:t>
      </w:r>
      <w:r>
        <w:t xml:space="preserve"> </w:t>
      </w:r>
      <w:r>
        <w:t xml:space="preserve">whether the configurations differ in their ability to rank their own errors.</w:t>
      </w:r>
      <w:r>
        <w:t xml:space="preserve"> </w:t>
      </w:r>
      <w:r>
        <w:t xml:space="preserve">Following the selective-classification framework of El-Yaniv and</w:t>
      </w:r>
      <w:r>
        <w:t xml:space="preserve"> </w:t>
      </w:r>
      <w:r>
        <w:t xml:space="preserve">Wiener </w:t>
      </w:r>
      <w:r>
        <w:t xml:space="preserve">(El-Yaniv and Wiener 2010)</w:t>
      </w:r>
      <w:r>
        <w:t xml:space="preserve">, we evaluate the risk–coverage trade-off</w:t>
      </w:r>
      <w:r>
        <w:t xml:space="preserve"> </w:t>
      </w:r>
      <w:r>
        <w:t xml:space="preserve">obtained by ranking ensemble decisions according to mean agent conviction. A</w:t>
      </w:r>
      <w:r>
        <w:t xml:space="preserve"> </w:t>
      </w:r>
      <w:r>
        <w:t xml:space="preserve">decision is the majority vote of the five agents in an (equity, date) cell on the</w:t>
      </w:r>
      <w:r>
        <w:t xml:space="preserve"> </w:t>
      </w:r>
      <w:r>
        <w:t xml:space="preserve">financial grid. Decisions whose majority is HOLD are excluded, as are cells whose</w:t>
      </w:r>
      <w:r>
        <w:t xml:space="preserve"> </w:t>
      </w:r>
      <w:r>
        <w:t xml:space="preserve">forward-return sign is undefined or zero, which leaves the directional decisions</w:t>
      </w:r>
      <w:r>
        <w:t xml:space="preserve"> </w:t>
      </w:r>
      <w:r>
        <w:t xml:space="preserve">that can be scored; the denominator for coverage is that retained set, not the</w:t>
      </w:r>
      <w:r>
        <w:t xml:space="preserve"> </w:t>
      </w:r>
      <w:r>
        <w:t xml:space="preserve">full grid. Each decision is scored as erroneous when its direction disagrees with</w:t>
      </w:r>
      <w:r>
        <w:t xml:space="preserve"> </w:t>
      </w:r>
      <w:r>
        <w:t xml:space="preserve">the realized forward-return sign, and is assigned the mean conviction its five</w:t>
      </w:r>
      <w:r>
        <w:t xml:space="preserve"> </w:t>
      </w:r>
      <w:r>
        <w:t xml:space="preserve">agents reported. Decisions are ranked by that mean conviction in descending</w:t>
      </w:r>
      <w:r>
        <w:t xml:space="preserve"> </w:t>
      </w:r>
      <w:r>
        <w:t xml:space="preserve">order, coverage is swept from the single most confident decision to the full set,</w:t>
      </w:r>
      <w:r>
        <w:t xml:space="preserve"> </w:t>
      </w:r>
      <w:r>
        <w:t xml:space="preserve">and selective risk at a coverage level is the error rate among the decisions</w:t>
      </w:r>
      <w:r>
        <w:t xml:space="preserve"> </w:t>
      </w:r>
      <w:r>
        <w:t xml:space="preserve">retained at that level. AURC is the trapezoidal area under the resulting</w:t>
      </w:r>
      <w:r>
        <w:t xml:space="preserve"> </w:t>
      </w:r>
      <w:r>
        <w:t xml:space="preserve">risk–coverage curve, so lower is better. The HOM</w:t>
      </w:r>
      <m:oMath>
        <m:r>
          <m:rPr>
            <m:sty m:val="p"/>
          </m:rPr>
          <m:t>−</m:t>
        </m:r>
      </m:oMath>
      <w:r>
        <w:t xml:space="preserve">HET contrast is formed within</w:t>
      </w:r>
      <w:r>
        <w:t xml:space="preserve"> </w:t>
      </w:r>
      <w:r>
        <w:t xml:space="preserve">each bootstrap draw rather than between arms, since both configurations are</w:t>
      </w:r>
      <w:r>
        <w:t xml:space="preserve"> </w:t>
      </w:r>
      <w:r>
        <w:t xml:space="preserve">measured on the same equities, and its interval is the equity-clustered bootstrap</w:t>
      </w:r>
      <w:r>
        <w:t xml:space="preserve"> </w:t>
      </w:r>
      <w:r>
        <w:t xml:space="preserve">used for the primary endpoint, with the two-way scheme reported alongside it.</w:t>
      </w:r>
    </w:p>
    <w:p>
      <w:pPr>
        <w:pStyle w:val="BodyText"/>
      </w:pPr>
      <w:r>
        <w:t xml:space="preserve">We evaluate whether reduced agreement improves selective prediction by ranking</w:t>
      </w:r>
      <w:r>
        <w:t xml:space="preserve"> </w:t>
      </w:r>
      <w:r>
        <w:t xml:space="preserve">ensemble decisions according to mean agent conviction. AURC is</w:t>
      </w:r>
      <w:r>
        <w:t xml:space="preserve"> </w:t>
      </w:r>
      <m:oMath>
        <m:r>
          <m:t>0.553</m:t>
        </m:r>
      </m:oMath>
      <w:r>
        <w:t xml:space="preserve"> </w:t>
      </w:r>
      <w:r>
        <w:t xml:space="preserve">for HOM,</w:t>
      </w:r>
      <w:r>
        <w:t xml:space="preserve"> </w:t>
      </w:r>
      <m:oMath>
        <m:r>
          <m:t>0.568</m:t>
        </m:r>
      </m:oMath>
      <w:r>
        <w:t xml:space="preserve"> </w:t>
      </w:r>
      <w:r>
        <w:t xml:space="preserve">for HET-LITE, and</w:t>
      </w:r>
      <w:r>
        <w:t xml:space="preserve"> </w:t>
      </w:r>
      <m:oMath>
        <m:r>
          <m:t>0.554</m:t>
        </m:r>
      </m:oMath>
      <w:r>
        <w:t xml:space="preserve"> </w:t>
      </w:r>
      <w:r>
        <w:t xml:space="preserve">for HET. The HOM</w:t>
      </w:r>
      <m:oMath>
        <m:r>
          <m:rPr>
            <m:sty m:val="p"/>
          </m:rPr>
          <m:t>−</m:t>
        </m:r>
      </m:oMath>
      <w:r>
        <w:t xml:space="preserve">HET difference is</w:t>
      </w:r>
      <w:r>
        <w:t xml:space="preserve"> </w:t>
      </w:r>
      <m:oMath>
        <m:r>
          <m:rPr>
            <m:sty m:val="p"/>
          </m:rPr>
          <m:t>−</m:t>
        </m:r>
        <m:r>
          <m:t>0.001</m:t>
        </m:r>
      </m:oMath>
      <w:r>
        <w:t xml:space="preserve"> </w:t>
      </w:r>
      <w:r>
        <w:t xml:space="preserve">(95% CI</w:t>
      </w:r>
      <w:r>
        <w:t xml:space="preserve"> </w:t>
      </w:r>
      <m:oMath>
        <m:r>
          <m:rPr>
            <m:sty m:val="p"/>
          </m:rPr>
          <m:t>[</m:t>
        </m:r>
        <m:r>
          <m:rPr>
            <m:sty m:val="p"/>
          </m:rPr>
          <m:t>−</m:t>
        </m:r>
        <m:r>
          <m:t>0.059</m:t>
        </m:r>
        <m:r>
          <m:rPr>
            <m:sty m:val="p"/>
          </m:rPr>
          <m:t>,</m:t>
        </m:r>
        <m:r>
          <m:t> </m:t>
        </m:r>
        <m:r>
          <m:t>0.060</m:t>
        </m:r>
        <m:r>
          <m:rPr>
            <m:sty m:val="p"/>
          </m:rPr>
          <m:t>]</m:t>
        </m:r>
      </m:oMath>
      <w:r>
        <w:t xml:space="preserve">). The corresponding two-way interval is</w:t>
      </w:r>
      <w:r>
        <w:t xml:space="preserve"> </w:t>
      </w:r>
      <m:oMath>
        <m:r>
          <m:rPr>
            <m:sty m:val="p"/>
          </m:rPr>
          <m:t>[</m:t>
        </m:r>
        <m:r>
          <m:rPr>
            <m:sty m:val="p"/>
          </m:rPr>
          <m:t>−</m:t>
        </m:r>
        <m:r>
          <m:t>0.113</m:t>
        </m:r>
        <m:r>
          <m:rPr>
            <m:sty m:val="p"/>
          </m:rPr>
          <m:t>,</m:t>
        </m:r>
        <m:r>
          <m:t> </m:t>
        </m:r>
        <m:r>
          <m:t>0.115</m:t>
        </m:r>
        <m:r>
          <m:rPr>
            <m:sty m:val="p"/>
          </m:rPr>
          <m:t>]</m:t>
        </m:r>
      </m:oMath>
      <w:r>
        <w:t xml:space="preserve">. Both intervals contain zero.</w:t>
      </w:r>
    </w:p>
    <w:p>
      <w:pPr>
        <w:pStyle w:val="BodyText"/>
      </w:pPr>
      <w:r>
        <w:t xml:space="preserve">Restricting evaluation to the most confident half of decisions does not</w:t>
      </w:r>
      <w:r>
        <w:t xml:space="preserve"> </w:t>
      </w:r>
      <w:r>
        <w:t xml:space="preserve">materially reduce selective risk in any configuration. These results therefore do</w:t>
      </w:r>
      <w:r>
        <w:t xml:space="preserve"> </w:t>
      </w:r>
      <w:r>
        <w:t xml:space="preserve">not establish an improvement in calibration or abstention quality. The agreement</w:t>
      </w:r>
      <w:r>
        <w:t xml:space="preserve"> </w:t>
      </w:r>
      <w:r>
        <w:t xml:space="preserve">and cost frontier of Section </w:t>
      </w:r>
      <w:hyperlink w:anchor="subsec:frontier">
        <w:r>
          <w:rPr>
            <w:rStyle w:val="Hyperlink"/>
          </w:rPr>
          <w:t xml:space="preserve">5.4</w:t>
        </w:r>
      </w:hyperlink>
      <w:r>
        <w:t xml:space="preserve"> </w:t>
      </w:r>
      <w:r>
        <w:t xml:space="preserve">describes the cost associated</w:t>
      </w:r>
      <w:r>
        <w:t xml:space="preserve"> </w:t>
      </w:r>
      <w:r>
        <w:t xml:space="preserve">with greater behavioral diversity, not a demonstrated improvement in decision</w:t>
      </w:r>
      <w:r>
        <w:t xml:space="preserve"> </w:t>
      </w:r>
      <w:r>
        <w:t xml:space="preserve">quality.</w:t>
      </w:r>
    </w:p>
    <w:bookmarkEnd w:id="66"/>
    <w:bookmarkStart w:id="67" w:name="subsec:crossdomain"/>
    <w:p>
      <w:pPr>
        <w:pStyle w:val="Heading2"/>
      </w:pPr>
      <w:r>
        <w:t xml:space="preserve">Cross-domain replication: clinical knowledge</w:t>
      </w:r>
    </w:p>
    <w:p>
      <w:pPr>
        <w:pStyle w:val="FirstParagraph"/>
      </w:pPr>
      <w:r>
        <w:t xml:space="preserve">To test whether the observed ordering is specific to the financial task, we</w:t>
      </w:r>
      <w:r>
        <w:t xml:space="preserve"> </w:t>
      </w:r>
      <w:r>
        <w:t xml:space="preserve">repeated the protocol using 537 multiple-choice items from the MMLU</w:t>
      </w:r>
      <w:r>
        <w:t xml:space="preserve"> </w:t>
      </w:r>
      <w:r>
        <w:t xml:space="preserve">professional-medicine and clinical-knowledge subsets </w:t>
      </w:r>
      <w:r>
        <w:t xml:space="preserve">(Hendrycks et al. 2021)</w:t>
      </w:r>
      <w:r>
        <w:t xml:space="preserve">.</w:t>
      </w:r>
      <w:r>
        <w:t xml:space="preserve"> </w:t>
      </w:r>
      <w:r>
        <w:t xml:space="preserve">Each item presents a medical or clinical question, often as a short patient</w:t>
      </w:r>
      <w:r>
        <w:t xml:space="preserve"> </w:t>
      </w:r>
      <w:r>
        <w:t xml:space="preserve">scenario describing symptoms, medical history, examination findings, or test</w:t>
      </w:r>
      <w:r>
        <w:t xml:space="preserve"> </w:t>
      </w:r>
      <w:r>
        <w:t xml:space="preserve">results, and asks the model to identify the most appropriate diagnosis,</w:t>
      </w:r>
      <w:r>
        <w:t xml:space="preserve"> </w:t>
      </w:r>
      <w:r>
        <w:t xml:space="preserve">treatment, next clinical step, or factual medical answer. Four candidate answers</w:t>
      </w:r>
      <w:r>
        <w:t xml:space="preserve"> </w:t>
      </w:r>
      <w:r>
        <w:t xml:space="preserve">are provided and one is designated correct by the benchmark. For example, an item</w:t>
      </w:r>
      <w:r>
        <w:t xml:space="preserve"> </w:t>
      </w:r>
      <w:r>
        <w:t xml:space="preserve">may describe a patient with a particular set of symptoms and laboratory findings</w:t>
      </w:r>
      <w:r>
        <w:t xml:space="preserve"> </w:t>
      </w:r>
      <w:r>
        <w:t xml:space="preserve">and ask which diagnosis or management option is most appropriate. The four</w:t>
      </w:r>
      <w:r>
        <w:t xml:space="preserve"> </w:t>
      </w:r>
      <w:r>
        <w:t xml:space="preserve">response options correspond to alternative diagnoses, treatments, or clinical</w:t>
      </w:r>
      <w:r>
        <w:t xml:space="preserve"> </w:t>
      </w:r>
      <w:r>
        <w:t xml:space="preserve">actions. Each of the five agents independently selects one of the four choices.</w:t>
      </w:r>
      <w:r>
        <w:t xml:space="preserve"> </w:t>
      </w:r>
      <w:r>
        <w:t xml:space="preserve">Agreement is therefore measured across the agents’ selected answers, while error</w:t>
      </w:r>
      <w:r>
        <w:t xml:space="preserve"> </w:t>
      </w:r>
      <w:r>
        <w:t xml:space="preserve">correlation is measured by whether agents are incorrect on the same items.</w:t>
      </w:r>
      <w:r>
        <w:t xml:space="preserve"> </w:t>
      </w:r>
      <w:r>
        <w:t xml:space="preserve">Choice order is shuffled deterministically to</w:t>
      </w:r>
      <w:r>
        <w:t xml:space="preserve"> </w:t>
      </w:r>
      <w:r>
        <w:t xml:space="preserve">remove positional imbalance in the published answer key. The five-agent</w:t>
      </w:r>
      <w:r>
        <w:t xml:space="preserve"> </w:t>
      </w:r>
      <w:r>
        <w:t xml:space="preserve">structure, three configurations, seeding procedure, temperature, number of runs,</w:t>
      </w:r>
      <w:r>
        <w:t xml:space="preserve"> </w:t>
      </w:r>
      <w:r>
        <w:t xml:space="preserve">and estimators remain unchanged. The replication design, predicted direction, and</w:t>
      </w:r>
      <w:r>
        <w:t xml:space="preserve"> </w:t>
      </w:r>
      <w:r>
        <w:t xml:space="preserve">decision rule were registered before collection. Confidence intervals for the</w:t>
      </w:r>
      <w:r>
        <w:t xml:space="preserve"> </w:t>
      </w:r>
      <w:r>
        <w:t xml:space="preserve">clinical replication are obtained by resampling MMLU items with replacement,</w:t>
      </w:r>
      <w:r>
        <w:t xml:space="preserve"> </w:t>
      </w:r>
      <w:r>
        <w:t xml:space="preserve">since the equity and analysis-date clustering structure of the financial</w:t>
      </w:r>
      <w:r>
        <w:t xml:space="preserve"> </w:t>
      </w:r>
      <w:r>
        <w:t xml:space="preserve">experiment does not apply to this task.</w:t>
      </w:r>
    </w:p>
    <w:p>
      <w:pPr>
        <w:pStyle w:val="BodyText"/>
      </w:pPr>
      <w:r>
        <w:t xml:space="preserve">Agreement decreases from</w:t>
      </w:r>
      <w:r>
        <w:t xml:space="preserve"> </w:t>
      </w:r>
      <m:oMath>
        <m:r>
          <m:t>κ</m:t>
        </m:r>
        <m:r>
          <m:rPr>
            <m:sty m:val="p"/>
          </m:rPr>
          <m:t>=</m:t>
        </m:r>
        <m:r>
          <m:t>0.881</m:t>
        </m:r>
      </m:oMath>
      <w:r>
        <w:t xml:space="preserve"> </w:t>
      </w:r>
      <w:r>
        <w:t xml:space="preserve">for HOM to</w:t>
      </w:r>
      <w:r>
        <w:t xml:space="preserve"> </w:t>
      </w:r>
      <m:oMath>
        <m:r>
          <m:t>0.809</m:t>
        </m:r>
      </m:oMath>
      <w:r>
        <w:t xml:space="preserve"> </w:t>
      </w:r>
      <w:r>
        <w:t xml:space="preserve">for HET, giving</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0.072</m:t>
        </m:r>
      </m:oMath>
      <w:r>
        <w:t xml:space="preserve"> </w:t>
      </w:r>
      <w:r>
        <w:t xml:space="preserve">(95% CI</w:t>
      </w:r>
      <w:r>
        <w:t xml:space="preserve"> </w:t>
      </w:r>
      <m:oMath>
        <m:r>
          <m:rPr>
            <m:sty m:val="p"/>
          </m:rPr>
          <m:t>[</m:t>
        </m:r>
        <m:r>
          <m:t>0.040</m:t>
        </m:r>
        <m:r>
          <m:rPr>
            <m:sty m:val="p"/>
          </m:rPr>
          <m:t>,</m:t>
        </m:r>
        <m:r>
          <m:t> </m:t>
        </m:r>
        <m:r>
          <m:t>0.104</m:t>
        </m:r>
        <m:r>
          <m:rPr>
            <m:sty m:val="p"/>
          </m:rPr>
          <m:t>]</m:t>
        </m:r>
      </m:oMath>
      <w:r>
        <w:t xml:space="preserve">), compared</w:t>
      </w:r>
      <w:r>
        <w:t xml:space="preserve"> </w:t>
      </w:r>
      <w:r>
        <w:t xml:space="preserve">with</w:t>
      </w:r>
      <w:r>
        <w:t xml:space="preserve"> </w:t>
      </w:r>
      <m:oMath>
        <m:r>
          <m:t>0.336</m:t>
        </m:r>
      </m:oMath>
      <w:r>
        <w:t xml:space="preserve"> </w:t>
      </w:r>
      <w:r>
        <w:t xml:space="preserve">in the financial experiment. Error correlation decreases by</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0.393</m:t>
        </m:r>
      </m:oMath>
      <w:r>
        <w:t xml:space="preserve"> </w:t>
      </w:r>
      <w:r>
        <w:t xml:space="preserve">(95% CI</w:t>
      </w:r>
      <w:r>
        <w:t xml:space="preserve"> </w:t>
      </w:r>
      <m:oMath>
        <m:r>
          <m:rPr>
            <m:sty m:val="p"/>
          </m:rPr>
          <m:t>[</m:t>
        </m:r>
        <m:r>
          <m:t>0.325</m:t>
        </m:r>
        <m:r>
          <m:rPr>
            <m:sty m:val="p"/>
          </m:rPr>
          <m:t>,</m:t>
        </m:r>
        <m:r>
          <m:t> </m:t>
        </m:r>
        <m:r>
          <m:t>0.459</m:t>
        </m:r>
        <m:r>
          <m:rPr>
            <m:sty m:val="p"/>
          </m:rPr>
          <m:t>]</m:t>
        </m:r>
      </m:oMath>
      <w:r>
        <w:t xml:space="preserve">), compared</w:t>
      </w:r>
      <w:r>
        <w:t xml:space="preserve"> </w:t>
      </w:r>
      <w:r>
        <w:t xml:space="preserve">with</w:t>
      </w:r>
      <w:r>
        <w:t xml:space="preserve"> </w:t>
      </w:r>
      <m:oMath>
        <m:r>
          <m:t>0.454</m:t>
        </m:r>
      </m:oMath>
      <w:r>
        <w:t xml:space="preserve"> </w:t>
      </w:r>
      <w:r>
        <w:t xml:space="preserve">in finance. The agreement contrast therefore changes substantially</w:t>
      </w:r>
      <w:r>
        <w:t xml:space="preserve"> </w:t>
      </w:r>
      <w:r>
        <w:t xml:space="preserve">more across the two tasks than the error correlation contrast.</w:t>
      </w:r>
    </w:p>
    <w:p>
      <w:pPr>
        <w:pStyle w:val="BodyText"/>
      </w:pPr>
      <w:r>
        <w:t xml:space="preserve">The pooled clinical comparison still combines provider and capability</w:t>
      </w:r>
      <w:r>
        <w:t xml:space="preserve"> </w:t>
      </w:r>
      <w:r>
        <w:t xml:space="preserve">differences. However, one same-provider pair and one cross-provider pair have</w:t>
      </w:r>
      <w:r>
        <w:t xml:space="preserve"> </w:t>
      </w:r>
      <w:r>
        <w:t xml:space="preserve">nearly identical member accuracy,</w:t>
      </w:r>
      <w:r>
        <w:t xml:space="preserve"> </w:t>
      </w:r>
      <m:oMath>
        <m:r>
          <m:t>0.951</m:t>
        </m:r>
      </m:oMath>
      <w:r>
        <w:t xml:space="preserve"> </w:t>
      </w:r>
      <w:r>
        <w:t xml:space="preserve">and</w:t>
      </w:r>
      <w:r>
        <w:t xml:space="preserve"> </w:t>
      </w:r>
      <m:oMath>
        <m:r>
          <m:t>0.955</m:t>
        </m:r>
      </m:oMath>
      <w:r>
        <w:t xml:space="preserve"> </w:t>
      </w:r>
      <w:r>
        <w:t xml:space="preserve">respectively. Their error</w:t>
      </w:r>
      <w:r>
        <w:t xml:space="preserve"> </w:t>
      </w:r>
      <w:r>
        <w:t xml:space="preserve">correlations are</w:t>
      </w:r>
      <w:r>
        <w:t xml:space="preserve"> </w:t>
      </w:r>
      <m:oMath>
        <m:r>
          <m:t>0.954</m:t>
        </m:r>
      </m:oMath>
      <w:r>
        <w:t xml:space="preserve"> </w:t>
      </w:r>
      <w:r>
        <w:t xml:space="preserve">and</w:t>
      </w:r>
      <w:r>
        <w:t xml:space="preserve"> </w:t>
      </w:r>
      <m:oMath>
        <m:r>
          <m:t>0.607</m:t>
        </m:r>
      </m:oMath>
      <w:r>
        <w:t xml:space="preserve">, a difference of</w:t>
      </w:r>
      <w:r>
        <w:t xml:space="preserve"> </w:t>
      </w:r>
      <m:oMath>
        <m:r>
          <m:t>0.347</m:t>
        </m:r>
      </m:oMath>
      <w:r>
        <w:t xml:space="preserve"> </w:t>
      </w:r>
      <w:r>
        <w:t xml:space="preserve">(95% CI</w:t>
      </w:r>
      <w:r>
        <w:t xml:space="preserve"> </w:t>
      </w:r>
      <m:oMath>
        <m:r>
          <m:rPr>
            <m:sty m:val="p"/>
          </m:rPr>
          <m:t>[</m:t>
        </m:r>
        <m:r>
          <m:t>0.207</m:t>
        </m:r>
        <m:r>
          <m:rPr>
            <m:sty m:val="p"/>
          </m:rPr>
          <m:t>,</m:t>
        </m:r>
        <m:r>
          <m:t> </m:t>
        </m:r>
        <m:r>
          <m:t>0.507</m:t>
        </m:r>
        <m:r>
          <m:rPr>
            <m:sty m:val="p"/>
          </m:rPr>
          <m:t>]</m:t>
        </m:r>
      </m:oMath>
      <w:r>
        <w:t xml:space="preserve">). The provider-associated ordering therefore persists</w:t>
      </w:r>
      <w:r>
        <w:t xml:space="preserve"> </w:t>
      </w:r>
      <w:r>
        <w:t xml:space="preserve">after approximate capability matching, although provider remains confounded with</w:t>
      </w:r>
      <w:r>
        <w:t xml:space="preserve"> </w:t>
      </w:r>
      <w:r>
        <w:t xml:space="preserve">other model-specific characteristics.</w:t>
      </w:r>
    </w:p>
    <w:p>
      <w:pPr>
        <w:pStyle w:val="BodyText"/>
      </w:pPr>
      <w:r>
        <w:t xml:space="preserve">The cross-domain replication varies domain and response structure while</w:t>
      </w:r>
      <w:r>
        <w:t xml:space="preserve"> </w:t>
      </w:r>
      <w:r>
        <w:t xml:space="preserve">intentionally retaining the five-agent ensemble, prompt structure, aggregation</w:t>
      </w:r>
      <w:r>
        <w:t xml:space="preserve"> </w:t>
      </w:r>
      <w:r>
        <w:t xml:space="preserve">rule, and evaluated model mixtures. It therefore tests whether the observed</w:t>
      </w:r>
      <w:r>
        <w:t xml:space="preserve"> </w:t>
      </w:r>
      <w:r>
        <w:t xml:space="preserve">ordering is confined to the financial task, rather than establishing invariance</w:t>
      </w:r>
      <w:r>
        <w:t xml:space="preserve"> </w:t>
      </w:r>
      <w:r>
        <w:t xml:space="preserve">across ensemble-design choices. The replication supports the ordering across two</w:t>
      </w:r>
      <w:r>
        <w:t xml:space="preserve"> </w:t>
      </w:r>
      <w:r>
        <w:t xml:space="preserve">substantially different domains; it does not establish that heterogeneity</w:t>
      </w:r>
      <w:r>
        <w:t xml:space="preserve"> </w:t>
      </w:r>
      <w:r>
        <w:t xml:space="preserve">improves predictive accuracy, and the agreement contrast is substantially smaller</w:t>
      </w:r>
      <w:r>
        <w:t xml:space="preserve"> </w:t>
      </w:r>
      <w:r>
        <w:t xml:space="preserve">in the clinical arm, so the magnitude is task-dependent.</w:t>
      </w:r>
    </w:p>
    <w:bookmarkEnd w:id="67"/>
    <w:bookmarkStart w:id="68" w:name="sec:control"/>
    <w:p>
      <w:pPr>
        <w:pStyle w:val="Heading2"/>
      </w:pPr>
      <w:r>
        <w:t xml:space="preserve">Robustness: capability-matched control</w:t>
      </w:r>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rPr>
            <m:sty m:val="p"/>
          </m:rP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0.236</m:t>
        </m:r>
      </m:oMath>
      <w:r>
        <w:t xml:space="preserve">. The resulting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0.315</m:t>
          </m:r>
          <m:r>
            <m:rPr>
              <m:sty m:val="p"/>
            </m:rPr>
            <m:t>,</m:t>
          </m:r>
          <m:r>
            <m:t> </m:t>
          </m:r>
          <m:r>
            <m:t>95</m:t>
          </m:r>
          <m:r>
            <m:rPr>
              <m:sty m:val="p"/>
            </m:rPr>
            <m:t>%</m:t>
          </m:r>
          <m:r>
            <m:t> </m:t>
          </m:r>
          <m:r>
            <m:rPr>
              <m:sty m:val="p"/>
            </m:rPr>
            <m:t>C</m:t>
          </m:r>
          <m:r>
            <m:rPr>
              <m:sty m:val="p"/>
            </m:rPr>
            <m:t>I</m:t>
          </m:r>
          <m:r>
            <m:t> </m:t>
          </m:r>
          <m:r>
            <m:rPr>
              <m:sty m:val="p"/>
            </m:rPr>
            <m:t>[</m:t>
          </m:r>
          <m:r>
            <m:t>0.288</m:t>
          </m:r>
          <m:r>
            <m:rPr>
              <m:sty m:val="p"/>
            </m:rPr>
            <m:t>,</m:t>
          </m:r>
          <m:r>
            <m:t> </m:t>
          </m:r>
          <m:r>
            <m:t>0.341</m:t>
          </m:r>
          <m:r>
            <m:rPr>
              <m:sty m:val="p"/>
            </m:rPr>
            <m:t>]</m:t>
          </m:r>
          <m:r>
            <m:rPr>
              <m:sty m:val="p"/>
            </m:rPr>
            <m:t>,</m:t>
          </m:r>
        </m:oMath>
      </m:oMathPara>
    </w:p>
    <w:p>
      <w:pPr>
        <w:pStyle w:val="FirstParagraph"/>
      </w:pPr>
      <w:r>
        <w:t xml:space="preserve">with a two-way interval of</w:t>
      </w:r>
      <w:r>
        <w:t xml:space="preserve"> </w:t>
      </w:r>
      <m:oMath>
        <m:r>
          <m:rPr>
            <m:sty m:val="p"/>
          </m:rPr>
          <m:t>[</m:t>
        </m:r>
        <m:r>
          <m:t>0.270</m:t>
        </m:r>
        <m:r>
          <m:rPr>
            <m:sty m:val="p"/>
          </m:rPr>
          <m:t>,</m:t>
        </m:r>
        <m:r>
          <m:t> </m:t>
        </m:r>
        <m:r>
          <m:t>0.361</m:t>
        </m:r>
        <m:r>
          <m:rPr>
            <m:sty m:val="p"/>
          </m:rPr>
          <m:t>]</m:t>
        </m:r>
      </m:oMath>
      <w:r>
        <w:t xml:space="preserve">; both exclude zero. This capability-matched estimate is approximately 94% of</w:t>
      </w:r>
      <w:r>
        <w:t xml:space="preserve"> </w:t>
      </w:r>
      <w:r>
        <w:t xml:space="preserve">the primary HOM-to-HET contrast. The result indicates that the observed</w:t>
      </w:r>
      <w:r>
        <w:t xml:space="preserve"> </w:t>
      </w:r>
      <w:r>
        <w:t xml:space="preserve">reduction in agreement is largely preserved when model tier is held approximately</w:t>
      </w:r>
      <w:r>
        <w:t xml:space="preserve"> </w:t>
      </w:r>
      <w:r>
        <w:t xml:space="preserve">constant. The contrast therefore remains substantial under approximate</w:t>
      </w:r>
      <w:r>
        <w:t xml:space="preserve"> </w:t>
      </w:r>
      <w:r>
        <w:t xml:space="preserve">capability matching, although that control does not isolate provider from other</w:t>
      </w:r>
      <w:r>
        <w:t xml:space="preserve"> </w:t>
      </w:r>
      <w:r>
        <w:t xml:space="preserve">model-specific characteristics, which are not independently identified by this</w:t>
      </w:r>
      <w:r>
        <w:t xml:space="preserve"> </w:t>
      </w:r>
      <w:r>
        <w:t xml:space="preserve">design. The capability-matched control therefore reduces, but does not eliminate,</w:t>
      </w:r>
      <w:r>
        <w:t xml:space="preserve"> </w:t>
      </w:r>
      <w:r>
        <w:t xml:space="preserve">the capability-tier confound, because matching is approximate and covers only two</w:t>
      </w:r>
      <w:r>
        <w:t xml:space="preserve"> </w:t>
      </w:r>
      <w:r>
        <w:t xml:space="preserve">providers. The close reproduction of</w:t>
      </w:r>
      <w:r>
        <w:t xml:space="preserve"> </w:t>
      </w:r>
      <m:oMath>
        <m:sSub>
          <m:e>
            <m:r>
              <m:t>κ</m:t>
            </m:r>
          </m:e>
          <m:sub>
            <m:r>
              <m:rPr>
                <m:sty m:val="p"/>
              </m:rPr>
              <m:t>H</m:t>
            </m:r>
            <m:r>
              <m:rPr>
                <m:sty m:val="p"/>
              </m:rPr>
              <m:t>O</m:t>
            </m:r>
            <m:r>
              <m:rPr>
                <m:sty m:val="p"/>
              </m:rPr>
              <m:t>M</m:t>
            </m:r>
          </m:sub>
        </m:sSub>
      </m:oMath>
      <w:r>
        <w:t xml:space="preserve"> </w:t>
      </w:r>
      <w:r>
        <w:t xml:space="preserve">across independently</w:t>
      </w:r>
      <w:r>
        <w:t xml:space="preserve"> </w:t>
      </w:r>
      <w:r>
        <w:t xml:space="preserve">collected datasets provides an additional consistency check for the homogeneous</w:t>
      </w:r>
      <w:r>
        <w:t xml:space="preserve"> </w:t>
      </w:r>
      <w:r>
        <w:t xml:space="preserve">baseline.</w:t>
      </w:r>
    </w:p>
    <w:bookmarkEnd w:id="68"/>
    <w:bookmarkStart w:id="70" w:name="robustness-temperature-sensitivity"/>
    <w:p>
      <w:pPr>
        <w:pStyle w:val="Heading2"/>
      </w:pPr>
      <w:r>
        <w:t xml:space="preserve">Robustness: temperature sensitivity</w:t>
      </w:r>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rPr>
            <m:sty m:val="p"/>
          </m:rP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rPr>
            <m:sty m:val="p"/>
          </m:rPr>
          <m:t>∈</m:t>
        </m:r>
        <m:r>
          <m:rPr>
            <m:sty m:val="p"/>
          </m:rPr>
          <m:t>{</m:t>
        </m:r>
        <m:r>
          <m:t>0.0</m:t>
        </m:r>
        <m:r>
          <m:rPr>
            <m:sty m:val="p"/>
          </m:rPr>
          <m:t>,</m:t>
        </m:r>
        <m:r>
          <m:t>0.7</m:t>
        </m:r>
        <m:r>
          <m:rPr>
            <m:sty m:val="p"/>
          </m:rPr>
          <m:t>,</m:t>
        </m:r>
        <m:r>
          <m:t>1.0</m:t>
        </m:r>
        <m:r>
          <m:rPr>
            <m:sty m:val="p"/>
          </m:rP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rPr>
            <m:sty m:val="p"/>
          </m:rP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w:t>
      </w:r>
      <w:hyperlink w:anchor="tab:temp">
        <w:r>
          <w:rPr>
            <w:rStyle w:val="Hyperlink"/>
          </w:rPr>
          <w:t xml:space="preserve">9</w:t>
        </w:r>
      </w:hyperlink>
      <w:r>
        <w:t xml:space="preserve">).</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rPr>
            <m:sty m:val="p"/>
          </m:rPr>
          <m:t>=</m:t>
        </m:r>
        <m:r>
          <m:t>0</m:t>
        </m:r>
      </m:oMath>
      <w:r>
        <w:t xml:space="preserve">, the homogeneous</w:t>
      </w:r>
      <w:r>
        <w:t xml:space="preserve"> </w:t>
      </w:r>
      <w:r>
        <w:t xml:space="preserve">configuration produces a more nearly uniform label distribution, whereas at</w:t>
      </w:r>
      <w:r>
        <w:t xml:space="preserve"> </w:t>
      </w:r>
      <m:oMath>
        <m:r>
          <m:t>T</m:t>
        </m:r>
        <m:r>
          <m:rPr>
            <m:sty m:val="p"/>
          </m:rPr>
          <m:t>=</m:t>
        </m:r>
        <m:r>
          <m:t>0.7</m:t>
        </m:r>
      </m:oMath>
      <w:r>
        <w:t xml:space="preserve"> </w:t>
      </w:r>
      <w:r>
        <w:t xml:space="preserve">and</w:t>
      </w:r>
      <w:r>
        <w:t xml:space="preserve"> </w:t>
      </w:r>
      <m:oMath>
        <m:r>
          <m:t>T</m:t>
        </m:r>
        <m:r>
          <m:rPr>
            <m:sty m:val="p"/>
          </m:rP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rPr>
            <m:sty m:val="p"/>
          </m:rP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rPr>
            <m:sty m:val="p"/>
          </m:rPr>
          <m:t>×</m:t>
        </m:r>
        <m:r>
          <m:t>2</m:t>
        </m:r>
      </m:oMath>
      <w:r>
        <w:t xml:space="preserve"> </w:t>
      </w:r>
      <w:r>
        <w:t xml:space="preserve">subgrid, whose wide confidence</w:t>
      </w:r>
      <w:r>
        <w:t xml:space="preserve"> </w:t>
      </w:r>
      <w:r>
        <w:t xml:space="preserve">interval (</w:t>
      </w:r>
      <m:oMath>
        <m:r>
          <m:rPr>
            <m:sty m:val="p"/>
          </m:rPr>
          <m:t>[</m:t>
        </m:r>
        <m:r>
          <m:t>0.21</m:t>
        </m:r>
        <m:r>
          <m:rPr>
            <m:sty m:val="p"/>
          </m:rPr>
          <m:t>,</m:t>
        </m:r>
        <m:r>
          <m:t> </m:t>
        </m:r>
        <m:r>
          <m:t>0.78</m:t>
        </m:r>
        <m:r>
          <m:rPr>
            <m:sty m:val="p"/>
          </m:rP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Its intervals are clustered on the eight equities only: the</w:t>
      </w:r>
      <w:r>
        <w:t xml:space="preserve"> </w:t>
      </w:r>
      <w:r>
        <w:t xml:space="preserve">subgrid spans two analysis dates, which is too few clusters to support</w:t>
      </w:r>
      <w:r>
        <w:t xml:space="preserve"> </w:t>
      </w:r>
      <w:r>
        <w:t xml:space="preserve">date-clustered or two-way inference, so this analysis contributes no independent</w:t>
      </w:r>
      <w:r>
        <w:t xml:space="preserve"> </w:t>
      </w:r>
      <w:r>
        <w:t xml:space="preserve">multiway evidence and the intervals below should be read as indicative rather</w:t>
      </w:r>
      <w:r>
        <w:t xml:space="preserve"> </w:t>
      </w:r>
      <w:r>
        <w:t xml:space="preserve">than as a test.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9" w:name="tab:temp"/>
    <w:p>
      <w:pPr>
        <w:pStyle w:val="TableCaption"/>
      </w:pPr>
      <w:r>
        <w:t xml:space="preserve">Temperature-sensitivity robustness (</w:t>
      </w:r>
      <m:oMath>
        <m:r>
          <m:t>8</m:t>
        </m:r>
        <m:r>
          <m:rPr>
            <m:sty m:val="p"/>
          </m:rP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auto" w:w="0"/>
        <w:tblLook w:firstRow="1" w:lastRow="0" w:firstColumn="0" w:lastColumn="0" w:noHBand="0" w:noVBand="0" w:val="0020"/>
        <w:tblCaption w:val="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gridCol w:w="1584"/>
        <w:gridCol w:w="1584"/>
        <w:gridCol w:w="1584"/>
        <w:gridCol w:w="1584"/>
        <w:gridCol w:w="1584"/>
      </w:tblGrid>
      <w:tr>
        <w:trPr>
          <w:tblHeader w:val="on"/>
        </w:trPr>
        <w:tc>
          <w:tcPr/>
          <w:p>
            <w:pPr>
              <w:pStyle w:val="Compact"/>
              <w:jc w:val="left"/>
            </w:pPr>
            <m:oMath>
              <m:r>
                <m:t>T</m:t>
              </m:r>
            </m:oMath>
            <w:r>
              <w:t xml:space="preserve">​</w:t>
            </w:r>
          </w:p>
        </w:tc>
        <w:tc>
          <w:tcPr/>
          <w:p>
            <w:pPr>
              <w:pStyle w:val="Compact"/>
              <w:jc w:val="center"/>
            </w:pPr>
            <m:oMath>
              <m:sSub>
                <m:e>
                  <m:r>
                    <m:t>κ</m:t>
                  </m:r>
                </m:e>
                <m:sub>
                  <m:r>
                    <m:rPr>
                      <m:sty m:val="p"/>
                    </m:rPr>
                    <m:t>H</m:t>
                  </m:r>
                  <m:r>
                    <m:rPr>
                      <m:sty m:val="p"/>
                    </m:rPr>
                    <m:t>O</m:t>
                  </m:r>
                  <m:r>
                    <m:rPr>
                      <m:sty m:val="p"/>
                    </m:rPr>
                    <m:t>M</m:t>
                  </m:r>
                </m:sub>
              </m:sSub>
            </m:oMath>
            <w:r>
              <w:t xml:space="preserve">​</w:t>
            </w:r>
          </w:p>
        </w:tc>
        <w:tc>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w:t>
            </w:r>
          </w:p>
        </w:tc>
        <w:tc>
          <w:tcPr/>
          <w:p>
            <w:pPr>
              <w:pStyle w:val="Compact"/>
              <w:jc w:val="center"/>
            </w:pPr>
            <m:oMath>
              <m:sSub>
                <m:e>
                  <m:r>
                    <m:t>κ</m:t>
                  </m:r>
                </m:e>
                <m:sub>
                  <m:r>
                    <m:rPr>
                      <m:sty m:val="p"/>
                    </m:rPr>
                    <m:t>H</m:t>
                  </m:r>
                  <m:r>
                    <m:rPr>
                      <m:sty m:val="p"/>
                    </m:rPr>
                    <m:t>E</m:t>
                  </m:r>
                  <m:r>
                    <m:rPr>
                      <m:sty m:val="p"/>
                    </m:rPr>
                    <m:t>T</m:t>
                  </m:r>
                </m:sub>
              </m:sSub>
            </m:oMath>
            <w:r>
              <w:t xml:space="preserve">​</w:t>
            </w:r>
          </w:p>
        </w:tc>
        <w:tc>
          <w:tcPr/>
          <w:p>
            <w:pPr>
              <w:pStyle w:val="Compact"/>
              <w:jc w:val="center"/>
            </w:pPr>
            <m:oMath>
              <m:r>
                <m:rPr>
                  <m:sty m:val="p"/>
                </m:rPr>
                <m:t>Δ</m:t>
              </m:r>
              <m:r>
                <m:t>κ</m:t>
              </m:r>
            </m:oMath>
            <w:r>
              <w:t xml:space="preserve"> </w:t>
            </w:r>
            <w:r>
              <w:t xml:space="preserve">[95% CI]</w:t>
            </w:r>
          </w:p>
        </w:tc>
      </w:tr>
      <w:tr>
        <w:tc>
          <w:tcPr/>
          <w:p>
            <w:pPr>
              <w:pStyle w:val="Compact"/>
              <w:jc w:val="left"/>
            </w:pPr>
            <w:r>
              <w:t xml:space="preserve">0.0</w:t>
            </w:r>
          </w:p>
        </w:tc>
        <w:tc>
          <w:tcPr/>
          <w:p>
            <w:pPr>
              <w:pStyle w:val="Compact"/>
              <w:jc w:val="center"/>
            </w:pPr>
            <w:r>
              <w:t xml:space="preserve">0.33</w:t>
            </w:r>
          </w:p>
        </w:tc>
        <w:tc>
          <w:tcPr/>
          <w:p>
            <w:pPr>
              <w:pStyle w:val="Compact"/>
              <w:jc w:val="center"/>
            </w:pPr>
            <w:r>
              <w:t xml:space="preserve">0.17</w:t>
            </w:r>
          </w:p>
        </w:tc>
        <w:tc>
          <w:tcPr/>
          <w:p>
            <w:pPr>
              <w:pStyle w:val="Compact"/>
              <w:jc w:val="center"/>
            </w:pPr>
            <w:r>
              <w:t xml:space="preserve">0.03</w:t>
            </w:r>
          </w:p>
        </w:tc>
        <w:tc>
          <w:tcPr/>
          <w:p>
            <w:pPr>
              <w:pStyle w:val="Compact"/>
              <w:jc w:val="center"/>
            </w:pPr>
            <w:r>
              <w:t xml:space="preserve">0.30</w:t>
            </w:r>
            <w:r>
              <w:t xml:space="preserve"> </w:t>
            </w:r>
            <m:oMath>
              <m:r>
                <m:rPr>
                  <m:sty m:val="p"/>
                </m:rPr>
                <m:t>[</m:t>
              </m:r>
              <m:r>
                <m:t>0.16</m:t>
              </m:r>
              <m:r>
                <m:rPr>
                  <m:sty m:val="p"/>
                </m:rPr>
                <m:t>,</m:t>
              </m:r>
              <m:r>
                <m:t> </m:t>
              </m:r>
              <m:r>
                <m:t>0.44</m:t>
              </m:r>
              <m:r>
                <m:rPr>
                  <m:sty m:val="p"/>
                </m:rPr>
                <m:t>]</m:t>
              </m:r>
            </m:oMath>
          </w:p>
        </w:tc>
      </w:tr>
      <w:tr>
        <w:tc>
          <w:tcPr/>
          <w:p>
            <w:pPr>
              <w:pStyle w:val="Compact"/>
              <w:jc w:val="left"/>
            </w:pPr>
            <w:r>
              <w:t xml:space="preserve">0.7</w:t>
            </w:r>
          </w:p>
        </w:tc>
        <w:tc>
          <w:tcPr/>
          <w:p>
            <w:pPr>
              <w:pStyle w:val="Compact"/>
              <w:jc w:val="center"/>
            </w:pPr>
            <w:r>
              <w:t xml:space="preserve">0.67</w:t>
            </w:r>
          </w:p>
        </w:tc>
        <w:tc>
          <w:tcPr/>
          <w:p>
            <w:pPr>
              <w:pStyle w:val="Compact"/>
              <w:jc w:val="center"/>
            </w:pPr>
            <w:r>
              <w:t xml:space="preserve">0.38</w:t>
            </w:r>
          </w:p>
        </w:tc>
        <w:tc>
          <w:tcPr/>
          <w:p>
            <w:pPr>
              <w:pStyle w:val="Compact"/>
              <w:jc w:val="center"/>
            </w:pPr>
            <w:r>
              <w:t xml:space="preserve">0.16</w:t>
            </w:r>
          </w:p>
        </w:tc>
        <w:tc>
          <w:tcPr/>
          <w:p>
            <w:pPr>
              <w:pStyle w:val="Compact"/>
              <w:jc w:val="center"/>
            </w:pPr>
            <w:r>
              <w:t xml:space="preserve">0.51</w:t>
            </w:r>
            <w:r>
              <w:t xml:space="preserve"> </w:t>
            </w:r>
            <m:oMath>
              <m:r>
                <m:rPr>
                  <m:sty m:val="p"/>
                </m:rPr>
                <m:t>[</m:t>
              </m:r>
              <m:r>
                <m:t>0.21</m:t>
              </m:r>
              <m:r>
                <m:rPr>
                  <m:sty m:val="p"/>
                </m:rPr>
                <m:t>,</m:t>
              </m:r>
              <m:r>
                <m:t> </m:t>
              </m:r>
              <m:r>
                <m:t>0.78</m:t>
              </m:r>
              <m:r>
                <m:rPr>
                  <m:sty m:val="p"/>
                </m:rPr>
                <m:t>]</m:t>
              </m:r>
            </m:oMath>
          </w:p>
        </w:tc>
      </w:tr>
      <w:tr>
        <w:tc>
          <w:tcPr/>
          <w:p>
            <w:pPr>
              <w:pStyle w:val="Compact"/>
              <w:jc w:val="left"/>
            </w:pPr>
            <w:r>
              <w:t xml:space="preserve">1.0</w:t>
            </w:r>
          </w:p>
        </w:tc>
        <w:tc>
          <w:tcPr/>
          <w:p>
            <w:pPr>
              <w:pStyle w:val="Compact"/>
              <w:jc w:val="center"/>
            </w:pPr>
            <w:r>
              <w:t xml:space="preserve">0.53</w:t>
            </w:r>
          </w:p>
        </w:tc>
        <w:tc>
          <w:tcPr/>
          <w:p>
            <w:pPr>
              <w:pStyle w:val="Compact"/>
              <w:jc w:val="center"/>
            </w:pPr>
            <w:r>
              <w:t xml:space="preserve">0.27</w:t>
            </w:r>
          </w:p>
        </w:tc>
        <w:tc>
          <w:tcPr/>
          <w:p>
            <w:pPr>
              <w:pStyle w:val="Compact"/>
              <w:jc w:val="center"/>
            </w:pPr>
            <w:r>
              <w:t xml:space="preserve">0.15</w:t>
            </w:r>
          </w:p>
        </w:tc>
        <w:tc>
          <w:tcPr/>
          <w:p>
            <w:pPr>
              <w:pStyle w:val="Compact"/>
              <w:jc w:val="center"/>
            </w:pPr>
            <w:r>
              <w:t xml:space="preserve">0.38</w:t>
            </w:r>
            <w:r>
              <w:t xml:space="preserve"> </w:t>
            </w:r>
            <m:oMath>
              <m:r>
                <m:rPr>
                  <m:sty m:val="p"/>
                </m:rPr>
                <m:t>[</m:t>
              </m:r>
              <m:r>
                <m:t>0.19</m:t>
              </m:r>
              <m:r>
                <m:rPr>
                  <m:sty m:val="p"/>
                </m:rPr>
                <m:t>,</m:t>
              </m:r>
              <m:r>
                <m:t> </m:t>
              </m:r>
              <m:r>
                <m:t>0.54</m:t>
              </m:r>
              <m:r>
                <m:rPr>
                  <m:sty m:val="p"/>
                </m:rPr>
                <m:t>]</m:t>
              </m:r>
            </m:oMath>
          </w:p>
        </w:tc>
      </w:tr>
    </w:tbl>
    <w:bookmarkEnd w:id="69"/>
    <w:bookmarkEnd w:id="70"/>
    <w:bookmarkStart w:id="71" w:name="relation-to-existing-ensemble-methods"/>
    <w:p>
      <w:pPr>
        <w:pStyle w:val="Heading2"/>
      </w:pPr>
      <w:r>
        <w:t xml:space="preserve">Relation to existing ensemble methods</w:t>
      </w:r>
    </w:p>
    <w:p>
      <w:pPr>
        <w:pStyle w:val="FirstParagraph"/>
      </w:pPr>
      <w:r>
        <w:t xml:space="preserve">This research paper does not propose a new ensemble algorithm, so a direct</w:t>
      </w:r>
      <w:r>
        <w:t xml:space="preserve"> </w:t>
      </w:r>
      <w:r>
        <w:t xml:space="preserve">performance</w:t>
      </w:r>
      <w:r>
        <w:t xml:space="preserve"> </w:t>
      </w:r>
      <w:r>
        <w:t xml:space="preserve">benchmark against existing ensemble methods is not the primary comparison.</w:t>
      </w:r>
      <w:r>
        <w:t xml:space="preserve"> </w:t>
      </w:r>
      <w:r>
        <w:t xml:space="preserve">Methods such as mixture-of-agents, multi-agent debate, and diversity-based</w:t>
      </w:r>
      <w:r>
        <w:t xml:space="preserve"> </w:t>
      </w:r>
      <w:r>
        <w:t xml:space="preserve">ensemble selection are generally evaluated using downstream accuracy or win</w:t>
      </w:r>
      <w:r>
        <w:t xml:space="preserve"> </w:t>
      </w:r>
      <w:r>
        <w:t xml:space="preserve">rate </w:t>
      </w:r>
      <w:r>
        <w:t xml:space="preserve">(Wang et al. 2024)</w:t>
      </w:r>
      <w:r>
        <w:t xml:space="preserve">. The present study instead measures how ensemble</w:t>
      </w:r>
      <w:r>
        <w:t xml:space="preserve"> </w:t>
      </w:r>
      <w:r>
        <w:t xml:space="preserve">composition changes output agreement, error dependence, and inference cost under</w:t>
      </w:r>
      <w:r>
        <w:t xml:space="preserve"> </w:t>
      </w:r>
      <w:r>
        <w:t xml:space="preserve">fixed task conditions.</w:t>
      </w:r>
    </w:p>
    <w:p>
      <w:pPr>
        <w:pStyle w:val="BodyText"/>
      </w:pPr>
      <w:r>
        <w:t xml:space="preserve">The distinction is one of estimand rather than of quality. Mixture-of-agents,</w:t>
      </w:r>
      <w:r>
        <w:t xml:space="preserve"> </w:t>
      </w:r>
      <w:r>
        <w:t xml:space="preserve">debate, pruning, and ensemble-selection studies ask whether a particular</w:t>
      </w:r>
      <w:r>
        <w:t xml:space="preserve"> </w:t>
      </w:r>
      <w:r>
        <w:t xml:space="preserve">aggregation or selection method improves downstream performance, and a</w:t>
      </w:r>
      <w:r>
        <w:t xml:space="preserve"> </w:t>
      </w:r>
      <w:r>
        <w:t xml:space="preserve">leaderboard comparison is the appropriate test of that question. This study holds</w:t>
      </w:r>
      <w:r>
        <w:t xml:space="preserve"> </w:t>
      </w:r>
      <w:r>
        <w:t xml:space="preserve">the decision task, prompt, information set, and aggregation rule fixed and asks</w:t>
      </w:r>
      <w:r>
        <w:t xml:space="preserve"> </w:t>
      </w:r>
      <w:r>
        <w:t xml:space="preserve">how ensemble</w:t>
      </w:r>
      <w:r>
        <w:t xml:space="preserve"> </w:t>
      </w:r>
      <w:r>
        <w:rPr>
          <w:i/>
          <w:iCs/>
        </w:rPr>
        <w:t xml:space="preserve">composition</w:t>
      </w:r>
      <w:r>
        <w:t xml:space="preserve"> </w:t>
      </w:r>
      <w:r>
        <w:t xml:space="preserve">relates to output agreement, error dependence,</w:t>
      </w:r>
      <w:r>
        <w:t xml:space="preserve"> </w:t>
      </w:r>
      <w:r>
        <w:t xml:space="preserve">and inference cost. A leaderboard-style accuracy comparison would therefore</w:t>
      </w:r>
      <w:r>
        <w:t xml:space="preserve"> </w:t>
      </w:r>
      <w:r>
        <w:t xml:space="preserve">answer a different question than the one posed here.</w:t>
      </w:r>
    </w:p>
    <w:p>
      <w:pPr>
        <w:pStyle w:val="BodyText"/>
      </w:pPr>
      <w:r>
        <w:t xml:space="preserve">The appropriate comparison with prior work is methodological, along four axes:</w:t>
      </w:r>
      <w:r>
        <w:t xml:space="preserve"> </w:t>
      </w:r>
      <w:r>
        <w:t xml:space="preserve">how diversity or agreement is measured, whether error dependence is separated</w:t>
      </w:r>
      <w:r>
        <w:t xml:space="preserve"> </w:t>
      </w:r>
      <w:r>
        <w:t xml:space="preserve">from categorical agreement, whether sampling artifacts are controlled, and</w:t>
      </w:r>
      <w:r>
        <w:t xml:space="preserve"> </w:t>
      </w:r>
      <w:r>
        <w:t xml:space="preserve">whether uncertainty and inference cost are quantified. The classifier-ensemble</w:t>
      </w:r>
      <w:r>
        <w:t xml:space="preserve"> </w:t>
      </w:r>
      <w:r>
        <w:t xml:space="preserve">literature already establishes that diversity and ensemble accuracy are related</w:t>
      </w:r>
      <w:r>
        <w:t xml:space="preserve"> </w:t>
      </w:r>
      <w:r>
        <w:t xml:space="preserve">but not interchangeable </w:t>
      </w:r>
      <w:r>
        <w:t xml:space="preserve">(Kuncheva and Whitaker 2003)</w:t>
      </w:r>
      <w:r>
        <w:t xml:space="preserve">, which is why reduced</w:t>
      </w:r>
      <w:r>
        <w:t xml:space="preserve"> </w:t>
      </w:r>
      <w:r>
        <w:t xml:space="preserve">agreement is not treated here as evidence of improved accuracy. The contribution</w:t>
      </w:r>
      <w:r>
        <w:t xml:space="preserve"> </w:t>
      </w:r>
      <w:r>
        <w:t xml:space="preserve">is therefore a measurement framework that separates output agreement from error</w:t>
      </w:r>
      <w:r>
        <w:t xml:space="preserve"> </w:t>
      </w:r>
      <w:r>
        <w:t xml:space="preserve">correlation, controls the shared-seed artifact observed in repeated model</w:t>
      </w:r>
      <w:r>
        <w:t xml:space="preserve"> </w:t>
      </w:r>
      <w:r>
        <w:t xml:space="preserve">sampling, quantifies uncertainty under crossed dependence, and incorporates</w:t>
      </w:r>
      <w:r>
        <w:t xml:space="preserve"> </w:t>
      </w:r>
      <w:r>
        <w:t xml:space="preserve">inference cost. These measurements complement performance-based evaluations</w:t>
      </w:r>
      <w:r>
        <w:t xml:space="preserve"> </w:t>
      </w:r>
      <w:r>
        <w:t xml:space="preserve">rather than constitute a competing aggregation method.</w:t>
      </w:r>
    </w:p>
    <w:bookmarkEnd w:id="71"/>
    <w:bookmarkEnd w:id="72"/>
    <w:bookmarkStart w:id="73" w:name="discussion"/>
    <w:p>
      <w:pPr>
        <w:pStyle w:val="Heading1"/>
      </w:pPr>
      <w:r>
        <w:t xml:space="preserve">Discussion</w:t>
      </w:r>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rPr>
            <m:sty m:val="p"/>
          </m:rPr>
          <m:t>=</m:t>
        </m:r>
        <m:r>
          <m:t>0.552</m:t>
        </m:r>
      </m:oMath>
      <w:r>
        <w:t xml:space="preserve"> </w:t>
      </w:r>
      <w:r>
        <w:t xml:space="preserve">for the homogeneous configuration to</w:t>
      </w:r>
      <w:r>
        <w:t xml:space="preserve"> </w:t>
      </w:r>
      <m:oMath>
        <m:r>
          <m:t>κ</m:t>
        </m:r>
        <m:r>
          <m:rPr>
            <m:sty m:val="p"/>
          </m:rP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rPr>
            <m:sty m:val="p"/>
          </m:rP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analysis, these findings show that the</w:t>
      </w:r>
      <w:r>
        <w:t xml:space="preserve"> </w:t>
      </w:r>
      <w:r>
        <w:t xml:space="preserve">provider-associated ordering persists across the evaluated comparisons, although</w:t>
      </w:r>
      <w:r>
        <w:t xml:space="preserve"> </w:t>
      </w:r>
      <w:r>
        <w:t xml:space="preserve">provider remains confounded with other model-specific characteristics.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configurations with greater</w:t>
      </w:r>
      <w:r>
        <w:t xml:space="preserve"> </w:t>
      </w:r>
      <w:r>
        <w:t xml:space="preserve">cross-provider heterogeneity show substantially lower within-ensemble agreement</w:t>
      </w:r>
      <w:r>
        <w:t xml:space="preserve"> </w:t>
      </w:r>
      <w:r>
        <w:t xml:space="preserve">but no statistically reliable improvement in average directional accuracy. This result</w:t>
      </w:r>
      <w:r>
        <w:t xml:space="preserve"> </w:t>
      </w:r>
      <w:r>
        <w:t xml:space="preserve">is consistent with the algorithmic-monoculture</w:t>
      </w:r>
      <w:r>
        <w:t xml:space="preserve"> </w:t>
      </w:r>
      <w:r>
        <w:t xml:space="preserve">literature </w:t>
      </w:r>
      <w:r>
        <w:t xml:space="preserve">(Kim et al. 2025)</w:t>
      </w:r>
      <w:r>
        <w:t xml:space="preserve"> </w:t>
      </w:r>
      <w:r>
        <w:t xml:space="preserve">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rPr>
            <m:sty m:val="p"/>
          </m:rP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 Because</w:t>
      </w:r>
      <w:r>
        <w:t xml:space="preserve"> </w:t>
      </w:r>
      <w:r>
        <w:t xml:space="preserve">this pattern was identified post hoc, it should be interpreted as</w:t>
      </w:r>
      <w:r>
        <w:t xml:space="preserve"> </w:t>
      </w:r>
      <w:r>
        <w:t xml:space="preserve">hypothesis-generating rather than as deployment guidance. It motivates</w:t>
      </w:r>
      <w:r>
        <w:t xml:space="preserve"> </w:t>
      </w:r>
      <w:r>
        <w:t xml:space="preserve">prospective evaluation of HET-LITE in a confirmatory design specifically powered</w:t>
      </w:r>
      <w:r>
        <w:t xml:space="preserve"> </w:t>
      </w:r>
      <w:r>
        <w:t xml:space="preserve">to assess the tradeoff between collective error structure and inference cost.</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bookmarkEnd w:id="73"/>
    <w:bookmarkStart w:id="74" w:name="threats-to-validity"/>
    <w:p>
      <w:pPr>
        <w:pStyle w:val="Heading1"/>
      </w:pPr>
      <w:r>
        <w:t xml:space="preserve">Threats to Validity</w:t>
      </w:r>
    </w:p>
    <w:p>
      <w:pPr>
        <w:pStyle w:val="FirstParagraph"/>
      </w:pPr>
      <w:r>
        <w:rPr>
          <w:b/>
          <w:bCs/>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w:t>
      </w:r>
      <w:hyperlink w:anchor="fig:provider">
        <w:r>
          <w:rPr>
            <w:rStyle w:val="Hyperlink"/>
          </w:rPr>
          <w:t xml:space="preserve">4</w:t>
        </w:r>
      </w:hyperlink>
      <w:r>
        <w:t xml:space="preserve">)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w:t>
      </w:r>
      <w:hyperlink w:anchor="sec:control">
        <w:r>
          <w:rPr>
            <w:rStyle w:val="Hyperlink"/>
          </w:rPr>
          <w:t xml:space="preserve">5.11</w:t>
        </w:r>
      </w:hyperlink>
      <w:r>
        <w:t xml:space="preserve">) holds model tier approximately constant</w:t>
      </w:r>
      <w:r>
        <w:t xml:space="preserve"> </w:t>
      </w:r>
      <w:r>
        <w:t xml:space="preserve">across OpenAI and Google and produces a contrast of</w:t>
      </w:r>
      <w:r>
        <w:t xml:space="preserve"> </w:t>
      </w:r>
      <m:oMath>
        <m:r>
          <m:rPr>
            <m:sty m:val="p"/>
          </m:rPr>
          <m:t>Δ</m:t>
        </m:r>
        <m:r>
          <m:t>κ</m:t>
        </m:r>
        <m:r>
          <m:rPr>
            <m:sty m:val="p"/>
          </m:rPr>
          <m:t>=</m:t>
        </m:r>
        <m:r>
          <m:t>0.315</m:t>
        </m:r>
      </m:oMath>
      <w:r>
        <w:t xml:space="preserve">,</w:t>
      </w:r>
      <w:r>
        <w:t xml:space="preserve"> </w:t>
      </w:r>
      <w:r>
        <w:t xml:space="preserve">approximately 94% of the primary HOM-to-HET effect. The reduction in agreement</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bCs/>
        </w:rPr>
        <w:t xml:space="preserve">Scope and generalizability.</w:t>
      </w:r>
      <w:r>
        <w:t xml:space="preserve"> </w:t>
      </w:r>
      <w:r>
        <w:t xml:space="preserve">The primary experiment evaluates a directional financial-analysis task with a</w:t>
      </w:r>
      <w:r>
        <w:t xml:space="preserve"> </w:t>
      </w:r>
      <w:r>
        <w:t xml:space="preserve">three-class BUY, HOLD, and SELL output space, while</w:t>
      </w:r>
      <w:r>
        <w:t xml:space="preserve"> </w:t>
      </w:r>
      <w:r>
        <w:t xml:space="preserve">Section </w:t>
      </w:r>
      <w:hyperlink w:anchor="subsec:crossdomain">
        <w:r>
          <w:rPr>
            <w:rStyle w:val="Hyperlink"/>
          </w:rPr>
          <w:t xml:space="preserve">5.10</w:t>
        </w:r>
      </w:hyperlink>
      <w:r>
        <w:t xml:space="preserve"> </w:t>
      </w:r>
      <w:r>
        <w:t xml:space="preserve">provides a pre-registered replication on 537</w:t>
      </w:r>
      <w:r>
        <w:t xml:space="preserve"> </w:t>
      </w:r>
      <w:r>
        <w:t xml:space="preserve">expert clinical-decision items with a four-option response structure. The ordering</w:t>
      </w:r>
      <w:r>
        <w:t xml:space="preserve"> </w:t>
      </w:r>
      <w:r>
        <w:t xml:space="preserve">reproduces across these two substantially different tasks, indicating that the</w:t>
      </w:r>
      <w:r>
        <w:t xml:space="preserve"> </w:t>
      </w:r>
      <w:r>
        <w:t xml:space="preserve">result is not confined to the original financial setting. Its magnitude, however,</w:t>
      </w:r>
      <w:r>
        <w:t xml:space="preserve"> </w:t>
      </w:r>
      <w:r>
        <w:t xml:space="preserve">differs materially across domains, with the agreement contrast in the clinical</w:t>
      </w:r>
      <w:r>
        <w:t xml:space="preserve"> </w:t>
      </w:r>
      <w:r>
        <w:t xml:space="preserve">replication approximately one fifth of that observed in finance.</w:t>
      </w:r>
    </w:p>
    <w:p>
      <w:pPr>
        <w:pStyle w:val="BodyText"/>
      </w:pPr>
      <w:r>
        <w:t xml:space="preserve">Several design dimensions remain fixed across the study, including prompt format,</w:t>
      </w:r>
      <w:r>
        <w:t xml:space="preserve"> </w:t>
      </w:r>
      <w:r>
        <w:t xml:space="preserve">five-agent ensemble size, majority-vote aggregation, and the particular model and</w:t>
      </w:r>
      <w:r>
        <w:t xml:space="preserve"> </w:t>
      </w:r>
      <w:r>
        <w:t xml:space="preserve">provider mixtures evaluated. Other task classes, model combinations, ensemble</w:t>
      </w:r>
      <w:r>
        <w:t xml:space="preserve"> </w:t>
      </w:r>
      <w:r>
        <w:t xml:space="preserve">sizes, prompting strategies, or aggregation rules may produce different levels of</w:t>
      </w:r>
      <w:r>
        <w:t xml:space="preserve"> </w:t>
      </w:r>
      <w:r>
        <w:t xml:space="preserve">agreement, error dependence, and cost. The present results therefore support</w:t>
      </w:r>
      <w:r>
        <w:t xml:space="preserve"> </w:t>
      </w:r>
      <w:r>
        <w:t xml:space="preserve">replication of the observed ordering across the two tested domains without</w:t>
      </w:r>
      <w:r>
        <w:t xml:space="preserve"> </w:t>
      </w:r>
      <w:r>
        <w:t xml:space="preserve">implying that its magnitude is invariant across settings.</w:t>
      </w:r>
    </w:p>
    <w:p>
      <w:pPr>
        <w:pStyle w:val="BodyText"/>
      </w:pPr>
      <w:r>
        <w:rPr>
          <w:b/>
          <w:bCs/>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bCs/>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bCs/>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bookmarkEnd w:id="74"/>
    <w:bookmarkStart w:id="75" w:name="conclusion"/>
    <w:p>
      <w:pPr>
        <w:pStyle w:val="Heading1"/>
      </w:pPr>
      <w:r>
        <w:t xml:space="preserve">Conclusion</w:t>
      </w:r>
    </w:p>
    <w:p>
      <w:pPr>
        <w:pStyle w:val="FirstParagraph"/>
      </w:pPr>
      <w:r>
        <w:t xml:space="preserve">This study presents a pre-registered empirical evaluation of how agreement and</w:t>
      </w:r>
      <w:r>
        <w:t xml:space="preserve"> </w:t>
      </w:r>
      <w:r>
        <w:t xml:space="preserve">inference cost differ across LLM ensemble configurations of increasing</w:t>
      </w:r>
      <w:r>
        <w:t xml:space="preserve"> </w:t>
      </w:r>
      <w:r>
        <w:t xml:space="preserve">cross-provider heterogeneity.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rPr>
            <m:sty m:val="p"/>
          </m:rPr>
          <m:t>Δ</m:t>
        </m:r>
        <m:r>
          <m:t>κ</m:t>
        </m:r>
        <m:r>
          <m:rPr>
            <m:sty m:val="p"/>
          </m:rPr>
          <m:t>=</m:t>
        </m:r>
        <m:r>
          <m:t>0.336</m:t>
        </m:r>
      </m:oMath>
      <w:r>
        <w:t xml:space="preserve"> </w:t>
      </w:r>
      <w:r>
        <w:t xml:space="preserve">(95% CI:</w:t>
      </w:r>
      <w:r>
        <w:t xml:space="preserve"> </w:t>
      </w:r>
      <m:oMath>
        <m:r>
          <m:rPr>
            <m:sty m:val="p"/>
          </m:rPr>
          <m:t>[</m:t>
        </m:r>
        <m:r>
          <m:t>0.304</m:t>
        </m:r>
        <m:r>
          <m:rPr>
            <m:sty m:val="p"/>
          </m:rPr>
          <m:t>,</m:t>
        </m:r>
        <m:r>
          <m:t>0.369</m:t>
        </m:r>
        <m:r>
          <m:rPr>
            <m:sty m:val="p"/>
          </m:rPr>
          <m:t>]</m:t>
        </m:r>
      </m:oMath>
      <w:r>
        <w:t xml:space="preserve">). This reduction is</w:t>
      </w:r>
      <w:r>
        <w:t xml:space="preserve"> </w:t>
      </w:r>
      <w:r>
        <w:t xml:space="preserve">accompanied by an approximately</w:t>
      </w:r>
      <w:r>
        <w:t xml:space="preserve"> </w:t>
      </w:r>
      <m:oMath>
        <m:r>
          <m:t>4.4</m:t>
        </m:r>
        <m:r>
          <m:rPr>
            <m:sty m:val="p"/>
          </m:rP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contrast, which therefore remains substantial under approximate</w:t>
      </w:r>
      <w:r>
        <w:t xml:space="preserve"> </w:t>
      </w:r>
      <w:r>
        <w:t xml:space="preserve">capability matching; provider nevertheless remains bundled with other</w:t>
      </w:r>
      <w:r>
        <w:t xml:space="preserve"> </w:t>
      </w:r>
      <w:r>
        <w:t xml:space="preserve">model-specific characteristics and is not independently identified.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agreement contrast by approximately fourfold,</w:t>
      </w:r>
      <w:r>
        <w:t xml:space="preserve"> </w:t>
      </w:r>
      <w:r>
        <w:t xml:space="preserve">demonstrating the importance of checking for residual within-run dependence and</w:t>
      </w:r>
      <w:r>
        <w:t xml:space="preserve"> </w:t>
      </w:r>
      <w:r>
        <w:t xml:space="preserve">avoiding shared-seed artifacts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rPr>
            <m:sty m:val="p"/>
          </m:rP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error</w:t>
      </w:r>
      <w:r>
        <w:t xml:space="preserve"> </w:t>
      </w:r>
      <w:r>
        <w:t xml:space="preserve">correlation,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bookmarkEnd w:id="75"/>
    <w:bookmarkStart w:id="78" w:name="data-and-code-availability"/>
    <w:p>
      <w:pPr>
        <w:pStyle w:val="Heading1"/>
      </w:pPr>
      <w:r>
        <w:t xml:space="preserve">Data and Code Availability</w:t>
      </w:r>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all 94</w:t>
      </w:r>
      <w:r>
        <w:t xml:space="preserve">,</w:t>
      </w:r>
      <w:r>
        <w:t xml:space="preserve">566 logged</w:t>
      </w:r>
      <w:r>
        <w:t xml:space="preserve"> </w:t>
      </w:r>
      <w:r>
        <w:t xml:space="preserve">attempts—the 54</w:t>
      </w:r>
      <w:r>
        <w:t xml:space="preserve">,</w:t>
      </w:r>
      <w:r>
        <w:t xml:space="preserve">000 valid responses together with every unsuccessful</w:t>
      </w:r>
      <w:r>
        <w:t xml:space="preserve"> </w:t>
      </w:r>
      <w:r>
        <w:t xml:space="preserve">request and its error—each with the per-call model, seed, prompt hash,</w:t>
      </w:r>
      <w:r>
        <w:t xml:space="preserve"> </w:t>
      </w:r>
      <w:r>
        <w:t xml:space="preserve">timestamp, token usage, cost, and raw response; (ii) the pre-registration</w:t>
      </w:r>
      <w:r>
        <w:t xml:space="preserve"> </w:t>
      </w:r>
      <w:r>
        <w:t xml:space="preserve">materials and the cryptographic freeze receipts for both the confirmatory study</w:t>
      </w:r>
      <w:r>
        <w:t xml:space="preserve"> </w:t>
      </w:r>
      <w:r>
        <w:t xml:space="preserve">and the cross-domain replication; (iii) the deterministic, seeded analysis</w:t>
      </w:r>
      <w:r>
        <w:t xml:space="preserve"> </w:t>
      </w:r>
      <w:r>
        <w:t xml:space="preserve">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Code and data are available at</w:t>
      </w:r>
      <w:r>
        <w:t xml:space="preserve"> </w:t>
      </w:r>
      <w:hyperlink r:id="rId76">
        <w:r>
          <w:rPr>
            <w:rStyle w:val="Hyperlink"/>
          </w:rPr>
          <w:t xml:space="preserve">https://github.com/samirrc2/price-of-decorrelation</w:t>
        </w:r>
      </w:hyperlink>
      <w:r>
        <w:t xml:space="preserve">.</w:t>
      </w:r>
      <w:r>
        <w:t xml:space="preserve"> </w:t>
      </w:r>
      <w:r>
        <w:t xml:space="preserve">A Code Ocean compute capsule enabling keys-free reproduction is available at</w:t>
      </w:r>
      <w:r>
        <w:t xml:space="preserve"> </w:t>
      </w:r>
      <w:hyperlink r:id="rId77">
        <w:r>
          <w:rPr>
            <w:rStyle w:val="Hyperlink"/>
          </w:rPr>
          <w:t xml:space="preserve">https://doi.org/10.24433/CO.9524962.v2</w:t>
        </w:r>
      </w:hyperlink>
      <w:r>
        <w:t xml:space="preserve"> </w:t>
      </w:r>
      <w:r>
        <w:t xml:space="preserve">(DOI: </w:t>
      </w:r>
      <w:r>
        <w:rPr>
          <w:rStyle w:val="VerbatimChar"/>
        </w:rPr>
        <w:t xml:space="preserve">10.24433/CO.9524962.v2</w:t>
      </w:r>
      <w:r>
        <w:t xml:space="preserve">).</w:t>
      </w:r>
      <w:r>
        <w:t xml:space="preserve"> </w:t>
      </w:r>
      <w:r>
        <w:t xml:space="preserve">The dataset SHA-256 hash and analysis commit hash are recorded in the</w:t>
      </w:r>
      <w:r>
        <w:t xml:space="preserve"> </w:t>
      </w:r>
      <w:r>
        <w:t xml:space="preserve">supplementary manifest.</w:t>
      </w:r>
    </w:p>
    <w:bookmarkEnd w:id="78"/>
    <w:bookmarkStart w:id="79" w:name="acknowledgment"/>
    <w:p>
      <w:pPr>
        <w:pStyle w:val="Heading1"/>
      </w:pPr>
      <w:r>
        <w:t xml:space="preserve">Acknowledgment</w:t>
      </w:r>
    </w:p>
    <w:p>
      <w:pPr>
        <w:pStyle w:val="FirstParagraph"/>
      </w:pPr>
      <w:r>
        <w:t xml:space="preserve">The authors thank colleagues and reviewers for feedback.</w:t>
      </w:r>
    </w:p>
    <w:bookmarkEnd w:id="79"/>
    <w:bookmarkStart w:id="101" w:name="use-of-generative-ai"/>
    <w:p>
      <w:pPr>
        <w:pStyle w:val="Heading1"/>
      </w:pPr>
      <w:r>
        <w:t xml:space="preserve">Use of Generative AI</w:t>
      </w:r>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at Urbana-Champaign, Urbana, IL, USA,</w:t>
      </w:r>
      <w:r>
        <w:t xml:space="preserve"> </w:t>
      </w:r>
      <w:r>
        <w:t xml:space="preserve">in 2019. He has close to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BodyText"/>
      </w:pPr>
      <w:r>
        <w:t xml:space="preserve">Robin Chawla</w:t>
      </w:r>
      <w:r>
        <w:t xml:space="preserve"> </w:t>
      </w: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bookmarkStart w:id="100" w:name="refs"/>
    <w:bookmarkStart w:id="80" w:name="ref-bugaud2026"/>
    <w:p>
      <w:pPr>
        <w:pStyle w:val="Bibliography"/>
      </w:pPr>
      <w:r>
        <w:t xml:space="preserve">Bugaud, Z. 2026.</w:t>
      </w:r>
      <w:r>
        <w:t xml:space="preserve"> </w:t>
      </w:r>
      <w:r>
        <w:t xml:space="preserve">“Hidden Clones: Exposing and Fixing Family Bias in Vision-Language Model Ensembles.”</w:t>
      </w:r>
      <w:r>
        <w:t xml:space="preserve"> </w:t>
      </w:r>
      <w:r>
        <w:rPr>
          <w:i/>
          <w:iCs/>
        </w:rPr>
        <w:t xml:space="preserve">arXiv Preprint arXiv:2603.17111</w:t>
      </w:r>
      <w:r>
        <w:t xml:space="preserve">.</w:t>
      </w:r>
    </w:p>
    <w:bookmarkEnd w:id="80"/>
    <w:bookmarkStart w:id="81" w:name="ref-cameron2011multiway"/>
    <w:p>
      <w:pPr>
        <w:pStyle w:val="Bibliography"/>
      </w:pPr>
      <w:r>
        <w:t xml:space="preserve">Cameron, A. C., J. B. Gelbach, and D. L. Miller. 2011.</w:t>
      </w:r>
      <w:r>
        <w:t xml:space="preserve"> </w:t>
      </w:r>
      <w:r>
        <w:t xml:space="preserve">“Robust Inference with Multiway Clustering.”</w:t>
      </w:r>
      <w:r>
        <w:t xml:space="preserve"> </w:t>
      </w:r>
      <w:r>
        <w:rPr>
          <w:i/>
          <w:iCs/>
        </w:rPr>
        <w:t xml:space="preserve">J. Bus. Econ. Stat.</w:t>
      </w:r>
      <w:r>
        <w:t xml:space="preserve"> </w:t>
      </w:r>
      <w:r>
        <w:t xml:space="preserve">29 (2): 238–49.</w:t>
      </w:r>
    </w:p>
    <w:bookmarkEnd w:id="81"/>
    <w:bookmarkStart w:id="82" w:name="ref-chen2025survey"/>
    <w:p>
      <w:pPr>
        <w:pStyle w:val="Bibliography"/>
      </w:pPr>
      <w:r>
        <w:t xml:space="preserve">Chen, Z., J. Li, P. Chen, et al. 2025.</w:t>
      </w:r>
      <w:r>
        <w:t xml:space="preserve"> </w:t>
      </w:r>
      <w:r>
        <w:t xml:space="preserve">“Harnessing Multiple Large Language Models: A Survey on</w:t>
      </w:r>
      <w:r>
        <w:t xml:space="preserve"> </w:t>
      </w:r>
      <w:r>
        <w:t xml:space="preserve">LLM</w:t>
      </w:r>
      <w:r>
        <w:t xml:space="preserve"> </w:t>
      </w:r>
      <w:r>
        <w:t xml:space="preserve">Ensemble.”</w:t>
      </w:r>
      <w:r>
        <w:t xml:space="preserve"> </w:t>
      </w:r>
      <w:r>
        <w:rPr>
          <w:i/>
          <w:iCs/>
        </w:rPr>
        <w:t xml:space="preserve">arXiv Preprint arXiv:2502.18036</w:t>
      </w:r>
      <w:r>
        <w:t xml:space="preserve">.</w:t>
      </w:r>
    </w:p>
    <w:bookmarkEnd w:id="82"/>
    <w:bookmarkStart w:id="83" w:name="ref-dfpe2025"/>
    <w:p>
      <w:pPr>
        <w:pStyle w:val="Bibliography"/>
      </w:pPr>
      <w:r>
        <w:t xml:space="preserve">Cohen, S., N. Goldshlager, N. Cohen-Inger, B. Shapira, and L. Rokach. 2025.</w:t>
      </w:r>
      <w:r>
        <w:t xml:space="preserve"> </w:t>
      </w:r>
      <w:r>
        <w:t xml:space="preserve">“</w:t>
      </w:r>
      <w:r>
        <w:t xml:space="preserve">DFPE</w:t>
      </w:r>
      <w:r>
        <w:t xml:space="preserve">: A Diverse Fingerprint Ensemble for Enhancing</w:t>
      </w:r>
      <w:r>
        <w:t xml:space="preserve"> </w:t>
      </w:r>
      <w:r>
        <w:t xml:space="preserve">LLM</w:t>
      </w:r>
      <w:r>
        <w:t xml:space="preserve"> </w:t>
      </w:r>
      <w:r>
        <w:t xml:space="preserve">Performance.”</w:t>
      </w:r>
      <w:r>
        <w:t xml:space="preserve"> </w:t>
      </w:r>
      <w:r>
        <w:rPr>
          <w:i/>
          <w:iCs/>
        </w:rPr>
        <w:t xml:space="preserve">arXiv Preprint arXiv:2501.17479</w:t>
      </w:r>
      <w:r>
        <w:t xml:space="preserve">.</w:t>
      </w:r>
    </w:p>
    <w:bookmarkEnd w:id="83"/>
    <w:bookmarkStart w:id="84" w:name="ref-du2023debate"/>
    <w:p>
      <w:pPr>
        <w:pStyle w:val="Bibliography"/>
      </w:pPr>
      <w:r>
        <w:t xml:space="preserve">Du, Y., S. Li, A. Torralba, J. B. Tenenbaum, and I. Mordatch. 2023.</w:t>
      </w:r>
      <w:r>
        <w:t xml:space="preserve"> </w:t>
      </w:r>
      <w:r>
        <w:t xml:space="preserve">“Improving Factuality and Reasoning in Language Models Through Multiagent Debate.”</w:t>
      </w:r>
      <w:r>
        <w:t xml:space="preserve"> </w:t>
      </w:r>
      <w:r>
        <w:rPr>
          <w:i/>
          <w:iCs/>
        </w:rPr>
        <w:t xml:space="preserve">arXiv Preprint arXiv:2305.14325</w:t>
      </w:r>
      <w:r>
        <w:t xml:space="preserve">.</w:t>
      </w:r>
    </w:p>
    <w:bookmarkEnd w:id="84"/>
    <w:bookmarkStart w:id="85" w:name="ref-efron1993"/>
    <w:p>
      <w:pPr>
        <w:pStyle w:val="Bibliography"/>
      </w:pPr>
      <w:r>
        <w:t xml:space="preserve">Efron, B., and R. J. Tibshirani. 1993.</w:t>
      </w:r>
      <w:r>
        <w:t xml:space="preserve"> </w:t>
      </w:r>
      <w:r>
        <w:rPr>
          <w:i/>
          <w:iCs/>
        </w:rPr>
        <w:t xml:space="preserve">An Introduction to the Bootstrap</w:t>
      </w:r>
      <w:r>
        <w:t xml:space="preserve">. Chapman &amp; Hall.</w:t>
      </w:r>
    </w:p>
    <w:bookmarkEnd w:id="85"/>
    <w:bookmarkStart w:id="86" w:name="ref-elyaniv2010selective"/>
    <w:p>
      <w:pPr>
        <w:pStyle w:val="Bibliography"/>
      </w:pPr>
      <w:r>
        <w:t xml:space="preserve">El-Yaniv, R., and Y. Wiener. 2010.</w:t>
      </w:r>
      <w:r>
        <w:t xml:space="preserve"> </w:t>
      </w:r>
      <w:r>
        <w:t xml:space="preserve">“On the Foundations of Noise-Free Selective Classification.”</w:t>
      </w:r>
      <w:r>
        <w:t xml:space="preserve"> </w:t>
      </w:r>
      <w:r>
        <w:rPr>
          <w:i/>
          <w:iCs/>
        </w:rPr>
        <w:t xml:space="preserve">J. Mach. Learn. Res.</w:t>
      </w:r>
      <w:r>
        <w:t xml:space="preserve"> </w:t>
      </w:r>
      <w:r>
        <w:t xml:space="preserve">11: 1605–41.</w:t>
      </w:r>
    </w:p>
    <w:bookmarkEnd w:id="86"/>
    <w:bookmarkStart w:id="87" w:name="ref-fleiss1971"/>
    <w:p>
      <w:pPr>
        <w:pStyle w:val="Bibliography"/>
      </w:pPr>
      <w:r>
        <w:t xml:space="preserve">Fleiss, J. L. 1971.</w:t>
      </w:r>
      <w:r>
        <w:t xml:space="preserve"> </w:t>
      </w:r>
      <w:r>
        <w:t xml:space="preserve">“Measuring Nominal Scale Agreement Among Many Raters.”</w:t>
      </w:r>
      <w:r>
        <w:t xml:space="preserve"> </w:t>
      </w:r>
      <w:r>
        <w:rPr>
          <w:i/>
          <w:iCs/>
        </w:rPr>
        <w:t xml:space="preserve">Psychol. Bull.</w:t>
      </w:r>
      <w:r>
        <w:t xml:space="preserve"> </w:t>
      </w:r>
      <w:r>
        <w:t xml:space="preserve">76 (5): 378–82.</w:t>
      </w:r>
    </w:p>
    <w:bookmarkEnd w:id="87"/>
    <w:bookmarkStart w:id="88" w:name="ref-gwet2008"/>
    <w:p>
      <w:pPr>
        <w:pStyle w:val="Bibliography"/>
      </w:pPr>
      <w:r>
        <w:t xml:space="preserve">Gwet, K. L. 2008.</w:t>
      </w:r>
      <w:r>
        <w:t xml:space="preserve"> </w:t>
      </w:r>
      <w:r>
        <w:t xml:space="preserve">“Computing Inter-Rater Reliability and Its Variance in the Presence of High Agreement.”</w:t>
      </w:r>
      <w:r>
        <w:t xml:space="preserve"> </w:t>
      </w:r>
      <w:r>
        <w:rPr>
          <w:i/>
          <w:iCs/>
        </w:rPr>
        <w:t xml:space="preserve">Brit. J. Math. Statist. Psychol.</w:t>
      </w:r>
      <w:r>
        <w:t xml:space="preserve"> </w:t>
      </w:r>
      <w:r>
        <w:t xml:space="preserve">61 (1): 29–48.</w:t>
      </w:r>
    </w:p>
    <w:bookmarkEnd w:id="88"/>
    <w:bookmarkStart w:id="89" w:name="ref-hendrycks2021mmlu"/>
    <w:p>
      <w:pPr>
        <w:pStyle w:val="Bibliography"/>
      </w:pPr>
      <w:r>
        <w:t xml:space="preserve">Hendrycks, D., C. Burns, S. Basart, et al. 2021.</w:t>
      </w:r>
      <w:r>
        <w:t xml:space="preserve"> </w:t>
      </w:r>
      <w:r>
        <w:t xml:space="preserve">“Measuring Massive Multitask Language Understanding.”</w:t>
      </w:r>
      <w:r>
        <w:t xml:space="preserve"> </w:t>
      </w:r>
      <w:r>
        <w:rPr>
          <w:i/>
          <w:iCs/>
        </w:rPr>
        <w:t xml:space="preserve">Proc. Int. Conf. Learn. Representations (ICLR)</w:t>
      </w:r>
      <w:r>
        <w:t xml:space="preserve">.</w:t>
      </w:r>
    </w:p>
    <w:bookmarkEnd w:id="89"/>
    <w:bookmarkStart w:id="90" w:name="ref-kim2025correlated"/>
    <w:p>
      <w:pPr>
        <w:pStyle w:val="Bibliography"/>
      </w:pPr>
      <w:r>
        <w:t xml:space="preserve">Kim, E., A. Garg, K. Peng, and N. Garg. 2025.</w:t>
      </w:r>
      <w:r>
        <w:t xml:space="preserve"> </w:t>
      </w:r>
      <w:r>
        <w:t xml:space="preserve">“Correlated Errors in Large Language Models.”</w:t>
      </w:r>
      <w:r>
        <w:t xml:space="preserve"> </w:t>
      </w:r>
      <w:r>
        <w:rPr>
          <w:i/>
          <w:iCs/>
        </w:rPr>
        <w:t xml:space="preserve">Proc. 42nd Int. Conf. Mach. Learn. (ICML)</w:t>
      </w:r>
      <w:r>
        <w:t xml:space="preserve">, Proc. Mach. Learn. res., vol. 267.</w:t>
      </w:r>
    </w:p>
    <w:bookmarkEnd w:id="90"/>
    <w:bookmarkStart w:id="91" w:name="ref-krippendorff2019"/>
    <w:p>
      <w:pPr>
        <w:pStyle w:val="Bibliography"/>
      </w:pPr>
      <w:r>
        <w:t xml:space="preserve">Krippendorff, K. 2019.</w:t>
      </w:r>
      <w:r>
        <w:t xml:space="preserve"> </w:t>
      </w:r>
      <w:r>
        <w:rPr>
          <w:i/>
          <w:iCs/>
        </w:rPr>
        <w:t xml:space="preserve">Content Analysis: An Introduction to Its Methodology</w:t>
      </w:r>
      <w:r>
        <w:t xml:space="preserve">. 4th ed. Sage.</w:t>
      </w:r>
    </w:p>
    <w:bookmarkEnd w:id="91"/>
    <w:bookmarkStart w:id="92" w:name="ref-kuncheva2003diversity"/>
    <w:p>
      <w:pPr>
        <w:pStyle w:val="Bibliography"/>
      </w:pPr>
      <w:r>
        <w:t xml:space="preserve">Kuncheva, L. I., and C. J. Whitaker. 2003.</w:t>
      </w:r>
      <w:r>
        <w:t xml:space="preserve"> </w:t>
      </w:r>
      <w:r>
        <w:t xml:space="preserve">“Measures of Diversity in Classifier Ensembles and Their Relationship with the Ensemble Accuracy.”</w:t>
      </w:r>
      <w:r>
        <w:t xml:space="preserve"> </w:t>
      </w:r>
      <w:r>
        <w:rPr>
          <w:i/>
          <w:iCs/>
        </w:rPr>
        <w:t xml:space="preserve">Mach. Learn.</w:t>
      </w:r>
      <w:r>
        <w:t xml:space="preserve"> </w:t>
      </w:r>
      <w:r>
        <w:t xml:space="preserve">51 (2): 181–207.</w:t>
      </w:r>
    </w:p>
    <w:bookmarkEnd w:id="92"/>
    <w:bookmarkStart w:id="93" w:name="ref-landis1977"/>
    <w:p>
      <w:pPr>
        <w:pStyle w:val="Bibliography"/>
      </w:pPr>
      <w:r>
        <w:t xml:space="preserve">Landis, J. R., and G. G. Koch. 1977.</w:t>
      </w:r>
      <w:r>
        <w:t xml:space="preserve"> </w:t>
      </w:r>
      <w:r>
        <w:t xml:space="preserve">“The Measurement of Observer Agreement for Categorical Data.”</w:t>
      </w:r>
      <w:r>
        <w:t xml:space="preserve"> </w:t>
      </w:r>
      <w:r>
        <w:rPr>
          <w:i/>
          <w:iCs/>
        </w:rPr>
        <w:t xml:space="preserve">Biometrics</w:t>
      </w:r>
      <w:r>
        <w:t xml:space="preserve"> </w:t>
      </w:r>
      <w:r>
        <w:t xml:space="preserve">33 (1): 159–74.</w:t>
      </w:r>
    </w:p>
    <w:bookmarkEnd w:id="93"/>
    <w:bookmarkStart w:id="94" w:name="ref-li2024moreagents"/>
    <w:p>
      <w:pPr>
        <w:pStyle w:val="Bibliography"/>
      </w:pPr>
      <w:r>
        <w:t xml:space="preserve">Li, J., Q. Zhang, Y. Yu, Q. Fu, and D. Ye. 2024.</w:t>
      </w:r>
      <w:r>
        <w:t xml:space="preserve"> </w:t>
      </w:r>
      <w:r>
        <w:t xml:space="preserve">“More Agents Is All You Need.”</w:t>
      </w:r>
      <w:r>
        <w:t xml:space="preserve"> </w:t>
      </w:r>
      <w:r>
        <w:rPr>
          <w:i/>
          <w:iCs/>
        </w:rPr>
        <w:t xml:space="preserve">Trans. Mach. Learn. Res.</w:t>
      </w:r>
    </w:p>
    <w:bookmarkEnd w:id="94"/>
    <w:bookmarkStart w:id="95" w:name="ref-owen2007pigeonhole"/>
    <w:p>
      <w:pPr>
        <w:pStyle w:val="Bibliography"/>
      </w:pPr>
      <w:r>
        <w:t xml:space="preserve">Owen, A. B. 2007.</w:t>
      </w:r>
      <w:r>
        <w:t xml:space="preserve"> </w:t>
      </w:r>
      <w:r>
        <w:t xml:space="preserve">“The Pigeonhole Bootstrap.”</w:t>
      </w:r>
      <w:r>
        <w:t xml:space="preserve"> </w:t>
      </w:r>
      <w:r>
        <w:rPr>
          <w:i/>
          <w:iCs/>
        </w:rPr>
        <w:t xml:space="preserve">Ann. Appl. Stat.</w:t>
      </w:r>
      <w:r>
        <w:t xml:space="preserve"> </w:t>
      </w:r>
      <w:r>
        <w:t xml:space="preserve">1 (2): 386–411.</w:t>
      </w:r>
    </w:p>
    <w:bookmarkEnd w:id="95"/>
    <w:bookmarkStart w:id="96" w:name="ref-tekin2024topla"/>
    <w:p>
      <w:pPr>
        <w:pStyle w:val="Bibliography"/>
      </w:pPr>
      <w:r>
        <w:t xml:space="preserve">Tekin, S. F., F. Ilhan, T. Huang, S. Hu, and L. Liu. 2024.</w:t>
      </w:r>
      <w:r>
        <w:t xml:space="preserve"> </w:t>
      </w:r>
      <w:r>
        <w:t xml:space="preserve">“</w:t>
      </w:r>
      <w:r>
        <w:t xml:space="preserve">LLM-TOPLA</w:t>
      </w:r>
      <w:r>
        <w:t xml:space="preserve">: Efficient</w:t>
      </w:r>
      <w:r>
        <w:t xml:space="preserve"> </w:t>
      </w:r>
      <w:r>
        <w:t xml:space="preserve">LLM</w:t>
      </w:r>
      <w:r>
        <w:t xml:space="preserve"> </w:t>
      </w:r>
      <w:r>
        <w:t xml:space="preserve">Ensemble by Maximising Diversity.”</w:t>
      </w:r>
      <w:r>
        <w:t xml:space="preserve"> </w:t>
      </w:r>
      <w:r>
        <w:rPr>
          <w:i/>
          <w:iCs/>
        </w:rPr>
        <w:t xml:space="preserve">Findings Assoc. Comput. Linguistics: EMNLP</w:t>
      </w:r>
      <w:r>
        <w:t xml:space="preserve">.</w:t>
      </w:r>
    </w:p>
    <w:bookmarkEnd w:id="96"/>
    <w:bookmarkStart w:id="97" w:name="ref-wang2024moa"/>
    <w:p>
      <w:pPr>
        <w:pStyle w:val="Bibliography"/>
      </w:pPr>
      <w:r>
        <w:t xml:space="preserve">Wang, J., J. Wang, B. Athiwaratkun, C. Zhang, and J. Zou. 2024.</w:t>
      </w:r>
      <w:r>
        <w:t xml:space="preserve"> </w:t>
      </w:r>
      <w:r>
        <w:t xml:space="preserve">“Mixture-of-Agents Enhances Large Language Model Capabilities.”</w:t>
      </w:r>
      <w:r>
        <w:t xml:space="preserve"> </w:t>
      </w:r>
      <w:r>
        <w:rPr>
          <w:i/>
          <w:iCs/>
        </w:rPr>
        <w:t xml:space="preserve">arXiv Preprint arXiv:2406.04692</w:t>
      </w:r>
      <w:r>
        <w:t xml:space="preserve">.</w:t>
      </w:r>
    </w:p>
    <w:bookmarkEnd w:id="97"/>
    <w:bookmarkStart w:id="98" w:name="ref-wilson1927"/>
    <w:p>
      <w:pPr>
        <w:pStyle w:val="Bibliography"/>
      </w:pPr>
      <w:r>
        <w:t xml:space="preserve">Wilson, E. B. 1927.</w:t>
      </w:r>
      <w:r>
        <w:t xml:space="preserve"> </w:t>
      </w:r>
      <w:r>
        <w:t xml:space="preserve">“Probable Inference, the Law of Succession, and Statistical Inference.”</w:t>
      </w:r>
      <w:r>
        <w:t xml:space="preserve"> </w:t>
      </w:r>
      <w:r>
        <w:rPr>
          <w:i/>
          <w:iCs/>
        </w:rPr>
        <w:t xml:space="preserve">J. Amer. Statist. Assoc.</w:t>
      </w:r>
      <w:r>
        <w:t xml:space="preserve"> </w:t>
      </w:r>
      <w:r>
        <w:t xml:space="preserve">22 (158): 209–12.</w:t>
      </w:r>
    </w:p>
    <w:bookmarkEnd w:id="98"/>
    <w:bookmarkStart w:id="99" w:name="ref-council2026"/>
    <w:p>
      <w:pPr>
        <w:pStyle w:val="Bibliography"/>
      </w:pPr>
      <w:r>
        <w:t xml:space="preserve">Wu, S., X. Li, Y. Feng, Y. Li, Z. Wang, and R. Wang. 2026.</w:t>
      </w:r>
      <w:r>
        <w:t xml:space="preserve"> </w:t>
      </w:r>
      <w:r>
        <w:t xml:space="preserve">“Council Mode: A Heterogeneous Multi-Agent Consensus Framework for Reducing</w:t>
      </w:r>
      <w:r>
        <w:t xml:space="preserve"> </w:t>
      </w:r>
      <w:r>
        <w:t xml:space="preserve">LLM</w:t>
      </w:r>
      <w:r>
        <w:t xml:space="preserve"> </w:t>
      </w:r>
      <w:r>
        <w:t xml:space="preserve">Hallucination and Bias.”</w:t>
      </w:r>
      <w:r>
        <w:t xml:space="preserve"> </w:t>
      </w:r>
      <w:r>
        <w:rPr>
          <w:i/>
          <w:iCs/>
        </w:rPr>
        <w:t xml:space="preserve">arXiv Preprint arXiv:2604.02923</w:t>
      </w:r>
      <w:r>
        <w:t xml:space="preserve">.</w:t>
      </w:r>
    </w:p>
    <w:bookmarkEnd w:id="99"/>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hyperlink" Id="rId77" Target="https://doi.org/10.24433/CO.9524962.v2" TargetMode="External" /><Relationship Type="http://schemas.openxmlformats.org/officeDocument/2006/relationships/hyperlink" Id="rId76" Target="https://github.com/samirrc2/price-of-decorrelation"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24433/CO.9524962.v2" TargetMode="External" /><Relationship Type="http://schemas.openxmlformats.org/officeDocument/2006/relationships/hyperlink" Id="rId76"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 ROBIN CHAWLA</dc:creator>
  <cp:keywords/>
  <dcterms:created xsi:type="dcterms:W3CDTF">2026-10-05T15:51:48Z</dcterms:created>
  <dcterms:modified xsi:type="dcterms:W3CDTF">2026-10-05T15:51:48Z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Within the evaluated configurations, greater cross-provider heterogeneity is associated with significantly lower within-ensemble agreement, with a primary reduction of \Delta\kappa=0.336 (95% CI: 0.304–0.369), but increases inference cost by approximately 4.4\times. Because agreement does not by itself measure dependence between errors, we additionally estimate the correlation between agents’ binary error indicators. Error correlation decreases by \Delta\phi = 0.454 (95% CI: 0.376 to 0.534), while mean per-agent accuracy remains essentially unchanged. This indicates that the observed change reflects lower error dependence rather than differences in average correctness. The contrast remains substantial under approximate capability matching, although that control does not isolate provider from other model-specific characteristics. We also introduce an independent-draw measurement protocol designed to prevent shared sampling conditions from inflating estimated agreement. A pre-registered replication on a substantially different task involving 537 expert clinical-decision items reproduces the directional pattern. Agreement decreases by \Delta\kappa = 0.072 (95% CI: 0.040 to 0.104), while error correlation decreases by \Delta\phi = 0.393 (95% CI: 0.325 to 0.459). Although heterogeneity does not produce a statistically reliable improvement in average directional accuracy, exploratory analysis shows that homogeneous ensembles generate unanimous incorrect decisions at 1.84 times the rate of fully heterogeneous ensembles (95% CI: 1.42 to 2.52). Taken together, the results show that heterogeneous model composition can reduce error dependence without guaranteeing greater predictive accuracy, while imposing a measurable inference cost premium.</vt:lpwstr>
  </property>
  <property fmtid="{D5CDD505-2E9C-101B-9397-08002B2CF9AE}" pid="3" name="address">
    <vt:lpwstr>Independent Researcher (e-mail: samir.chincholikar@gmail.com, ORCID: 0009-0007-2779-3492; robin.chawla.cse14@iitbhu.ac.in, ORCID: 0009-0007-2807-3948)</vt:lpwstr>
  </property>
  <property fmtid="{D5CDD505-2E9C-101B-9397-08002B2CF9AE}" pid="4" name="bibliography">
    <vt:lpwstr/>
  </property>
</Properties>
</file>