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The corresponding two-</w:t>
      </w:r>
      <w:r>
        <w:t xml:space="preserve"> </w:t>
      </w:r>
      <w:r>
        <w:t xml:space="preserve">way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claim no improvement in calibration or</w:t>
      </w:r>
      <w:r>
        <w:t xml:space="preserve"> </w:t>
      </w:r>
      <w:r>
        <w:t xml:space="preserve">abstention quality.</w:t>
      </w:r>
    </w:p>
    <w:p>
      <w:pPr>
        <w:pStyle w:val="Compact"/>
        <w:numPr>
          <w:ilvl w:val="0"/>
          <w:numId w:val="1001"/>
        </w:numPr>
      </w:pPr>
      <w:r>
        <w:t xml:space="preserve">The exploratory consensus analysis separately evaluates unanimous incorrect decisions and is</w:t>
      </w:r>
      <w:r>
        <w:t xml:space="preserve"> </w:t>
      </w:r>
      <w:r>
        <w:t xml:space="preserve">addressed under Reviewer #1,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clustered AURC contrast.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explicitly that the frontier</w:t>
      </w:r>
      <w:r>
        <w:t xml:space="preserve"> </w:t>
      </w:r>
      <w:r>
        <w:t xml:space="preserve">describes the cost of greater behavioral diversity and does not establish improved downstream</w:t>
      </w:r>
      <w:r>
        <w:t xml:space="preserve"> </w:t>
      </w:r>
      <w:r>
        <w:t xml:space="preserve">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additional capability comparison in the clinical replication. Within the</w:t>
      </w:r>
      <w:r>
        <w:t xml:space="preserve"> </w:t>
      </w:r>
      <w:r>
        <w:t xml:space="preserve">fully heterogeneous configuration, one same-provider pair and one cross-provider pair have</w:t>
      </w:r>
      <w:r>
        <w:t xml:space="preserve"> </w:t>
      </w:r>
      <w:r>
        <w:t xml:space="preserve">nearly 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Provider remains confounded with other</w:t>
      </w:r>
      <w:r>
        <w:t xml:space="preserve"> </w:t>
      </w:r>
      <w:r>
        <w:t xml:space="preserve">model-specific characteristics and is not identified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tier-matched analysis and states explicitly that matching is approximate and covers only two</w:t>
      </w:r>
      <w:r>
        <w:t xml:space="preserve"> </w:t>
      </w:r>
      <w:r>
        <w:t xml:space="preserve">providers.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retain the unresolved provider and capability limitations.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three financial labels to four answer options with one</w:t>
      </w:r>
      <w:r>
        <w:t xml:space="preserve"> </w:t>
      </w:r>
      <w:r>
        <w:t xml:space="preserve">correct answer. The five-agent structure, three configurations, seeding procedure,</w:t>
      </w:r>
      <w:r>
        <w:t xml:space="preserve"> </w:t>
      </w:r>
      <w:r>
        <w:t xml:space="preserve">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directional ordering reproduces. Agreement decreases by delta-kappa = 0.072 with a 95%</w:t>
      </w:r>
      <w:r>
        <w:t xml:space="preserve"> </w:t>
      </w:r>
      <w:r>
        <w:t xml:space="preserve">confidence interval of [0.040, 0.104], compared with 0.336 in finance. Error correlation</w:t>
      </w:r>
      <w:r>
        <w:t xml:space="preserve"> </w:t>
      </w:r>
      <w:r>
        <w:t xml:space="preserve">decreases by delta-phi = 0.393 with a 95% confidence interval of [0.325, 0.459], compared with</w:t>
      </w:r>
      <w:r>
        <w:t xml:space="preserve"> </w:t>
      </w:r>
      <w:r>
        <w:t xml:space="preserve">0.454 in finance.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 and now identify those remaining</w:t>
      </w:r>
      <w:r>
        <w:t xml:space="preserve"> </w:t>
      </w:r>
      <w:r>
        <w:t xml:space="preserve">dimensions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 pre-</w:t>
      </w:r>
      <w:r>
        <w:t xml:space="preserve"> </w:t>
      </w:r>
      <w:r>
        <w:t xml:space="preserve">registered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which dimensions were replicated and which remain fixed.</w:t>
      </w:r>
    </w:p>
    <w:p>
      <w:pPr>
        <w:pStyle w:val="Compact"/>
        <w:numPr>
          <w:ilvl w:val="0"/>
          <w:numId w:val="1006"/>
        </w:numPr>
      </w:pPr>
      <w:r>
        <w:t xml:space="preserve">The replication pre-registration and freeze receipt were added to the released reproducibility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this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 interval</w:t>
      </w:r>
      <w:r>
        <w:t xml:space="preserve"> </w:t>
      </w:r>
      <w:r>
        <w:t xml:space="preserve">is [1.42, 2.52]. Under the two-way equity and date resampling scheme,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comparison and statistic were selected after inspection of the data, multiple related</w:t>
      </w:r>
      <w:r>
        <w:t xml:space="preserve"> </w:t>
      </w:r>
      <w:r>
        <w:t xml:space="preserve">comparisons were available, and no multiplicity adjustment is applied. The manuscript</w:t>
      </w:r>
      <w:r>
        <w:t xml:space="preserve"> </w:t>
      </w:r>
      <w:r>
        <w:t xml:space="preserve">therefore does not treat these intervals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design. Its observed cost efficiency is</w:t>
      </w:r>
      <w:r>
        <w:t xml:space="preserve"> </w:t>
      </w:r>
      <w:r>
        <w:t xml:space="preserve">treated only as a hypothesis for prospective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add equity-clustered</w:t>
      </w:r>
      <w:r>
        <w:t xml:space="preserve"> </w:t>
      </w:r>
      <w:r>
        <w:t xml:space="preserve">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add the post hoc and multiplicity caveats and to remove the</w:t>
      </w:r>
      <w:r>
        <w:t xml:space="preserve"> </w:t>
      </w:r>
      <w:r>
        <w:t xml:space="preserve">HET-LITE deployment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 hypothesis-</w:t>
      </w:r>
      <w:r>
        <w:t xml:space="preserve"> </w:t>
      </w:r>
      <w:r>
        <w:t xml:space="preserve">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that separates pairwise agreement according to whether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demonstrated shared-seed artifact but</w:t>
      </w:r>
      <w:r>
        <w:t xml:space="preserve"> </w:t>
      </w:r>
      <w:r>
        <w:t xml:space="preserve">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seeds do not prove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rather than restoration of statistical independence.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call, metered prompt and completion tokens are</w:t>
      </w:r>
      <w:r>
        <w:t xml:space="preserve"> </w:t>
      </w:r>
      <w:r>
        <w:t xml:space="preserve">priced using the rates in the model registry. Costs are summed across the five agents in an</w:t>
      </w:r>
      <w:r>
        <w:t xml:space="preserve"> </w:t>
      </w:r>
      <w:r>
        <w:t xml:space="preserve">ensemble decision and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The HOM-to-HET cost ratio is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 caching</w:t>
      </w:r>
      <w:r>
        <w:t xml:space="preserve"> </w:t>
      </w:r>
      <w:r>
        <w:t xml:space="preserve">adjustment is applied. Failed requests returning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costs for all three 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 They are given in</w:t>
      </w:r>
      <w:r>
        <w:t xml:space="preserve"> </w:t>
      </w:r>
      <w:r>
        <w:t xml:space="preserve">alphabetical order, as the IEEE Editorial Style Manual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contribution is therefore a measurement framework that separates output agreement from</w:t>
      </w:r>
      <w:r>
        <w:t xml:space="preserve"> </w:t>
      </w:r>
      <w:r>
        <w:t xml:space="preserve">error correlation, controls the shared-seed artifact, quantifies uncertainty, and incorporates</w:t>
      </w:r>
      <w:r>
        <w:t xml:space="preserve"> </w:t>
      </w:r>
      <w:r>
        <w:t xml:space="preserve">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V-L,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appropriate</w:t>
      </w:r>
      <w:r>
        <w:t xml:space="preserve"> </w:t>
      </w:r>
      <w:r>
        <w:t xml:space="preserve">basis of 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diversity-based and heterogeneous ensemble approaches.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training data,</w:t>
      </w:r>
      <w:r>
        <w:t xml:space="preserve"> </w:t>
      </w:r>
      <w:r>
        <w:t xml:space="preserve">architecture, alignment procedure, and other model-specific characteristics in the primary</w:t>
      </w:r>
      <w:r>
        <w:t xml:space="preserve"> </w:t>
      </w:r>
      <w:r>
        <w:t xml:space="preserve">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capability-matched financial control preserves approximately 94% of the</w:t>
      </w:r>
      <w:r>
        <w:t xml:space="preserve"> </w:t>
      </w:r>
      <w:r>
        <w:t xml:space="preserve">primary agreement contrast. The clinical replication additionally provides an approximate</w:t>
      </w:r>
      <w:r>
        <w:t xml:space="preserve"> </w:t>
      </w:r>
      <w:r>
        <w:t xml:space="preserve">capability-matched provider comparison with nearly identical member accuracy.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that provider cannot be isolated causally in the present design.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repeated dates are nested</w:t>
      </w:r>
      <w:r>
        <w:t xml:space="preserve"> </w:t>
      </w:r>
      <w:r>
        <w:t xml:space="preserve">within securities. Analysis date is treated as a second crossed source of dependence.</w:t>
      </w:r>
    </w:p>
    <w:p>
      <w:pPr>
        <w:pStyle w:val="Compact"/>
        <w:numPr>
          <w:ilvl w:val="0"/>
          <w:numId w:val="1019"/>
        </w:numPr>
      </w:pPr>
      <w:r>
        <w:t xml:space="preserve">For the primary contrast, the point estimate is 0.3363 under all resampling schemes. The 95%</w:t>
      </w:r>
      <w:r>
        <w:t xml:space="preserve"> </w:t>
      </w:r>
      <w:r>
        <w:t xml:space="preserve">intervals are [0.3035, 0.3689] under equity clustering, [0.2989, 0.3656] under date</w:t>
      </w:r>
      <w:r>
        <w:t xml:space="preserve"> </w:t>
      </w:r>
      <w:r>
        <w:t xml:space="preserve">clustering, and [0.2786, 0.3877] under two-way resampling. All exclude zero.</w:t>
      </w:r>
    </w:p>
    <w:p>
      <w:pPr>
        <w:pStyle w:val="Compact"/>
        <w:numPr>
          <w:ilvl w:val="0"/>
          <w:numId w:val="1019"/>
        </w:numPr>
      </w:pPr>
      <w:r>
        <w:t xml:space="preserve">Two-way sensitivity analysis is also reported for the inferential exploratory contrasts. The</w:t>
      </w:r>
      <w:r>
        <w:t xml:space="preserve"> </w:t>
      </w:r>
      <w:r>
        <w:t xml:space="preserve">unanimous-incorrect ratio has an interval of [1.13, 3.06], the pile-on contrast has [0.140,</w:t>
      </w:r>
      <w:r>
        <w:t xml:space="preserve"> </w:t>
      </w:r>
      <w:r>
        <w:t xml:space="preserve">0.232], and the AURC contrast has [-0.113, 0.115].</w:t>
      </w:r>
    </w:p>
    <w:p>
      <w:pPr>
        <w:pStyle w:val="Compact"/>
        <w:numPr>
          <w:ilvl w:val="0"/>
          <w:numId w:val="1019"/>
        </w:numPr>
      </w:pPr>
      <w:r>
        <w:t xml:space="preserve">The error-correlation contrasts also retain their conclusions under two-way resampling, as</w:t>
      </w:r>
      <w:r>
        <w:t xml:space="preserve"> </w:t>
      </w:r>
      <w:r>
        <w:t xml:space="preserve">reported under Reviewer #3, Concern #3.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was revised to justify equity clustering formally</w:t>
      </w:r>
      <w:r>
        <w:t xml:space="preserve"> </w:t>
      </w:r>
      <w:r>
        <w:t xml:space="preserve">and to define the date-clustered and two-way resampling procedures.</w:t>
      </w:r>
    </w:p>
    <w:p>
      <w:pPr>
        <w:pStyle w:val="Compact"/>
        <w:numPr>
          <w:ilvl w:val="0"/>
          <w:numId w:val="1020"/>
        </w:numPr>
      </w:pPr>
      <w:r>
        <w:t xml:space="preserve">Table 5 was added to report the primary HOM-HET contrast under equity, date, and two-way</w:t>
      </w:r>
      <w:r>
        <w:t xml:space="preserve"> </w:t>
      </w:r>
      <w:r>
        <w:t xml:space="preserve">resampling.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two-way</w:t>
      </w:r>
      <w:r>
        <w:t xml:space="preserve"> </w:t>
      </w:r>
      <w:r>
        <w:t xml:space="preserve">sensitivity intervals 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two-way</w:t>
      </w:r>
      <w:r>
        <w:t xml:space="preserve"> </w:t>
      </w:r>
      <w:r>
        <w:t xml:space="preserve">intervals for the unanimous-incorrect ratio and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revised to report the two-way AURC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cell, we compute phi between binary error indicators. Error</w:t>
      </w:r>
      <w:r>
        <w:t xml:space="preserve"> </w:t>
      </w:r>
      <w:r>
        <w:t xml:space="preserve">correlation decreases from 0.984 for HOM to 0.742 for HET-LITE and 0.530 for HET. The HOM-HET</w:t>
      </w:r>
      <w:r>
        <w:t xml:space="preserve"> </w:t>
      </w:r>
      <w:r>
        <w:t xml:space="preserve">contrast is 0.454 with a 95% confidence interval of [0.376, 0.534]. The two-way interval is</w:t>
      </w:r>
      <w:r>
        <w:t xml:space="preserve"> </w:t>
      </w:r>
      <w:r>
        <w:t xml:space="preserve">[0.328, 0.586].</w:t>
      </w:r>
    </w:p>
    <w:p>
      <w:pPr>
        <w:pStyle w:val="Compact"/>
        <w:numPr>
          <w:ilvl w:val="0"/>
          <w:numId w:val="1021"/>
        </w:numPr>
      </w:pPr>
      <w:r>
        <w:t xml:space="preserve">We repeat the analysis with HOLD counted as an error so that all configurations use the same</w:t>
      </w:r>
      <w:r>
        <w:t xml:space="preserve"> </w:t>
      </w:r>
      <w:r>
        <w:t xml:space="preserve">evaluated subset. The corresponding contrast is 0.309 with a 95% confidence interval of</w:t>
      </w:r>
      <w:r>
        <w:t xml:space="preserve"> </w:t>
      </w:r>
      <w:r>
        <w:t xml:space="preserve">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 reduction</w:t>
      </w:r>
      <w:r>
        <w:t xml:space="preserve"> </w:t>
      </w:r>
      <w:r>
        <w:t xml:space="preserve">in error correlation measured by phi, while kappa is retained as the agreement measure.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phi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</w:t>
      </w:r>
      <w:r>
        <w:t xml:space="preserve"> </w:t>
      </w:r>
      <w:r>
        <w:t xml:space="preserve">kappa result is no longer described as decorrelation.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phi contrast alongside the kappa contrast.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claims about</w:t>
      </w:r>
      <w:r>
        <w:t xml:space="preserve"> </w:t>
      </w:r>
      <w:r>
        <w:t xml:space="preserve">decorrelation refer to error dependence rather than categorical agreement.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analysis reports a HOM-HET AURC difference of -0.001 with a 95%</w:t>
      </w:r>
      <w:r>
        <w:t xml:space="preserve"> </w:t>
      </w:r>
      <w:r>
        <w:t xml:space="preserve">equity-clustered confidence interval of [-0.059, 0.060] and a two-way interval of [-0.113,</w:t>
      </w:r>
      <w:r>
        <w:t xml:space="preserve"> </w:t>
      </w:r>
      <w:r>
        <w:t xml:space="preserve">0.115].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 a</w:t>
      </w:r>
      <w:r>
        <w:t xml:space="preserve"> </w:t>
      </w:r>
      <w:r>
        <w:t xml:space="preserve">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is also reported with HOLD counted as an error, which fixes the</w:t>
      </w:r>
      <w:r>
        <w:t xml:space="preserve"> </w:t>
      </w:r>
      <w:r>
        <w:t xml:space="preserve">evaluated subset across configurations.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for the descriptive secondary accuracy analysis and are no</w:t>
      </w:r>
      <w:r>
        <w:t xml:space="preserve"> </w:t>
      </w:r>
      <w:r>
        <w:t xml:space="preserve">longer the primary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 and</w:t>
      </w:r>
      <w:r>
        <w:t xml:space="preserve"> </w:t>
      </w:r>
      <w:r>
        <w:t xml:space="preserve">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clustered and</w:t>
      </w:r>
      <w:r>
        <w:t xml:space="preserve"> </w:t>
      </w:r>
      <w:r>
        <w:t xml:space="preserve">two-way uncertainty for unanimous-incorrect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now treats the accuracy results as</w:t>
      </w:r>
      <w:r>
        <w:t xml:space="preserve"> </w:t>
      </w:r>
      <w:r>
        <w:t xml:space="preserve">secondary and does not rely on marginal Wilson intervals as the principal inferential</w:t>
      </w:r>
      <w:r>
        <w:t xml:space="preserve"> </w:t>
      </w:r>
      <w:r>
        <w:t xml:space="preserve">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distinct per-agent seeds remove the demonstrated</w:t>
      </w:r>
      <w:r>
        <w:t xml:space="preserve"> </w:t>
      </w:r>
      <w:r>
        <w:t xml:space="preserve">shared-seed artifact but do not prove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planned responses. Completing it required 94,566</w:t>
      </w:r>
      <w:r>
        <w:t xml:space="preserve"> </w:t>
      </w:r>
      <w:r>
        <w:t xml:space="preserve">API requests. Of the 40,566 unsuccessful requests, 40,544 were rate-limit or quota responses</w:t>
      </w:r>
      <w:r>
        <w:t xml:space="preserve"> </w:t>
      </w:r>
      <w:r>
        <w:t xml:space="preserve">and 22 were transport or schema 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the request settings, prompts, prompt hashes, model identifiers, prices, experimental</w:t>
      </w:r>
      <w:r>
        <w:t xml:space="preserve"> </w:t>
      </w:r>
      <w:r>
        <w:t xml:space="preserve">configuration, pre-registration records, and archived model responses.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the two like-for-like pilot HOM-HET agreement contrasts. The</w:t>
      </w:r>
      <w:r>
        <w:t xml:space="preserve"> </w:t>
      </w:r>
      <w:r>
        <w:t xml:space="preserve">contrast is 0.485 under a 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mixed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state the seeding construction and</w:t>
      </w:r>
      <w:r>
        <w:t xml:space="preserve"> </w:t>
      </w:r>
      <w:r>
        <w:t xml:space="preserve">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provider and model identifiers and fixed inference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 design,</w:t>
      </w:r>
      <w:r>
        <w:t xml:space="preserve"> </w:t>
      </w:r>
      <w:r>
        <w:t xml:space="preserve">hashes, archived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logs.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the shared-seed artifact from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describe the distinct per-agent seed construction without claiming</w:t>
      </w:r>
      <w:r>
        <w:t xml:space="preserve"> </w:t>
      </w:r>
      <w:r>
        <w:t xml:space="preserve">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 versus cross-run residual dependence diagnostic</w:t>
      </w:r>
      <w:r>
        <w:t xml:space="preserve"> </w:t>
      </w:r>
      <w:r>
        <w:t xml:space="preserve">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 clinical-</w:t>
      </w:r>
      <w:r>
        <w:t xml:space="preserve"> </w:t>
      </w:r>
      <w:r>
        <w:t xml:space="preserve">knowledge questions. Chance performance is 25%, and the evaluated models perform substantially</w:t>
      </w:r>
      <w:r>
        <w:t xml:space="preserve"> </w:t>
      </w:r>
      <w:r>
        <w:t xml:space="preserve">above that level.</w:t>
      </w:r>
    </w:p>
    <w:p>
      <w:pPr>
        <w:pStyle w:val="Compact"/>
        <w:numPr>
          <w:ilvl w:val="0"/>
          <w:numId w:val="1027"/>
        </w:numPr>
      </w:pPr>
      <w:r>
        <w:t xml:space="preserve">The response structure contains four options rather than the three BUY, HOLD, and SELL labels.</w:t>
      </w:r>
      <w:r>
        <w:t xml:space="preserve"> </w:t>
      </w:r>
      <w:r>
        <w:t xml:space="preserve">Choice order is shuffled deterministically to remove positional imbalance in the published</w:t>
      </w:r>
      <w:r>
        <w:t xml:space="preserve"> </w:t>
      </w:r>
      <w:r>
        <w:t xml:space="preserve">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delta-kappa = 0.072 with a 95% confidence</w:t>
      </w:r>
      <w:r>
        <w:t xml:space="preserve"> </w:t>
      </w:r>
      <w:r>
        <w:t xml:space="preserve">interval of [0.040, 0.104], while error correlation decreases by delta-phi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Agreement changes substantially more across the two domains than error correlation. We</w:t>
      </w:r>
      <w:r>
        <w:t xml:space="preserve"> </w:t>
      </w:r>
      <w:r>
        <w:t xml:space="preserve">therefore do not claim that the magnitude is invariant across domains.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identified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 pre-</w:t>
      </w:r>
      <w:r>
        <w:t xml:space="preserve"> </w:t>
      </w:r>
      <w:r>
        <w:t xml:space="preserve">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explicitly that the result has been evaluated across two substantially different tasks</w:t>
      </w:r>
      <w:r>
        <w:t xml:space="preserve"> </w:t>
      </w:r>
      <w:r>
        <w:t xml:space="preserve">while 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2026-10-02T03:20:37Z</dcterms:created>
  <dcterms:modified xsi:type="dcterms:W3CDTF">2026-10-02T03:20:37Z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