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agree, and we have not claimed otherwise. The manuscript reports that heterogeneity</w:t>
      </w:r>
      <w:r>
        <w:t xml:space="preserve"> </w:t>
      </w:r>
      <w:r>
        <w:t xml:space="preserve">produces no reliable gain in average directional accuracy; the reviewer is right that this</w:t>
      </w:r>
      <w:r>
        <w:t xml:space="preserve"> </w:t>
      </w:r>
      <w:r>
        <w:t xml:space="preserve">leaves the frontier without a demonstrated downstream benefit.</w:t>
      </w:r>
    </w:p>
    <w:p>
      <w:pPr>
        <w:pStyle w:val="Compact"/>
        <w:numPr>
          <w:ilvl w:val="0"/>
          <w:numId w:val="1001"/>
        </w:numPr>
      </w:pPr>
      <w:r>
        <w:t xml:space="preserve">We now test the most directly relevant of the four suggested outcomes, abstention, using a</w:t>
      </w:r>
      <w:r>
        <w:t xml:space="preserve"> </w:t>
      </w:r>
      <w:r>
        <w:t xml:space="preserve">selective-prediction analysis, and we report the result even though it is null.</w:t>
      </w:r>
    </w:p>
    <w:p>
      <w:pPr>
        <w:pStyle w:val="Compact"/>
        <w:numPr>
          <w:ilvl w:val="0"/>
          <w:numId w:val="1001"/>
        </w:numPr>
      </w:pPr>
      <w:r>
        <w:t xml:space="preserve">Ensemble decisions are ranked by mean agent conviction, coverage is swept from the most</w:t>
      </w:r>
      <w:r>
        <w:t xml:space="preserve"> </w:t>
      </w:r>
      <w:r>
        <w:t xml:space="preserve">confident decision to the full set, and selective risk is the error rate among retained</w:t>
      </w:r>
      <w:r>
        <w:t xml:space="preserve"> </w:t>
      </w:r>
      <w:r>
        <w:t xml:space="preserve">decisions. The area under the risk-coverage curve is 0.553 for HOM, 0.568 for HET-LITE and</w:t>
      </w:r>
      <w:r>
        <w:t xml:space="preserve"> </w:t>
      </w:r>
      <w:r>
        <w:t xml:space="preserve">0.554 for HET, against full-coverage risks of 0.562, 0.537 and 0.512. Restricting to the most</w:t>
      </w:r>
      <w:r>
        <w:t xml:space="preserve"> </w:t>
      </w:r>
      <w:r>
        <w:t xml:space="preserve">confident half of decisions does not materially reduce risk in any configuration.</w:t>
      </w:r>
    </w:p>
    <w:p>
      <w:pPr>
        <w:pStyle w:val="Compact"/>
        <w:numPr>
          <w:ilvl w:val="0"/>
          <w:numId w:val="1001"/>
        </w:numPr>
      </w:pPr>
      <w:r>
        <w:t xml:space="preserve">Conviction as elicited here does not rank errors usefully, so we claim no calibration or</w:t>
      </w:r>
      <w:r>
        <w:t xml:space="preserve"> </w:t>
      </w:r>
      <w:r>
        <w:t xml:space="preserve">abstention benefit.</w:t>
      </w:r>
    </w:p>
    <w:p>
      <w:pPr>
        <w:pStyle w:val="Compact"/>
        <w:numPr>
          <w:ilvl w:val="0"/>
          <w:numId w:val="1001"/>
        </w:numPr>
      </w:pPr>
      <w:r>
        <w:t xml:space="preserve">We do report one decision-relevant quantity that does move: the rate at which an ensemble is</w:t>
      </w:r>
      <w:r>
        <w:t xml:space="preserve"> </w:t>
      </w:r>
      <w:r>
        <w:t xml:space="preserve">unanimous and wrong. See our response to Concern #4.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t xml:space="preserve">“Selective prediction”</w:t>
      </w:r>
      <w:r>
        <w:t xml:space="preserve"> </w:t>
      </w:r>
      <w:r>
        <w:t xml:space="preserve">to the results, reporting the risk-coverage analysis and AURC</w:t>
      </w:r>
      <w:r>
        <w:t xml:space="preserve"> </w:t>
      </w:r>
      <w:r>
        <w:t xml:space="preserve">for all three configurations.</w:t>
      </w:r>
    </w:p>
    <w:p>
      <w:pPr>
        <w:pStyle w:val="Compact"/>
        <w:numPr>
          <w:ilvl w:val="0"/>
          <w:numId w:val="1002"/>
        </w:numPr>
      </w:pPr>
      <w:r>
        <w:t xml:space="preserve">The frontier is now stated explicitly as a description of what diversity costs, not as</w:t>
      </w:r>
      <w:r>
        <w:t xml:space="preserve"> </w:t>
      </w:r>
      <w:r>
        <w:t xml:space="preserve">evidence that it improves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The observation is correct: the capability-matched control in the original submission used</w:t>
      </w:r>
      <w:r>
        <w:t xml:space="preserve"> </w:t>
      </w:r>
      <w:r>
        <w:t xml:space="preserve">OpenAI and Google only.</w:t>
      </w:r>
    </w:p>
    <w:p>
      <w:pPr>
        <w:pStyle w:val="Compact"/>
        <w:numPr>
          <w:ilvl w:val="0"/>
          <w:numId w:val="1003"/>
        </w:numPr>
      </w:pPr>
      <w:r>
        <w:t xml:space="preserve">The reviewer offers two remedies. The cross-domain replication described under Concern #3</w:t>
      </w:r>
      <w:r>
        <w:t xml:space="preserve"> </w:t>
      </w:r>
      <w:r>
        <w:t xml:space="preserve">supplies the first in a form we can report with confidence, because on that domain two of the</w:t>
      </w:r>
      <w:r>
        <w:t xml:space="preserve"> </w:t>
      </w:r>
      <w:r>
        <w:t xml:space="preserve">three providers have near-identical accuracy.</w:t>
      </w:r>
    </w:p>
    <w:p>
      <w:pPr>
        <w:pStyle w:val="Compact"/>
        <w:numPr>
          <w:ilvl w:val="0"/>
          <w:numId w:val="1003"/>
        </w:numPr>
      </w:pPr>
      <w:r>
        <w:t xml:space="preserve">Within the fully heterogeneous configuration we compare agent pairs whose two members have</w:t>
      </w:r>
      <w:r>
        <w:t xml:space="preserve"> </w:t>
      </w:r>
      <w:r>
        <w:t xml:space="preserve">near-identical accuracy but differ in whether they share a provider. The same-provider pairing</w:t>
      </w:r>
      <w:r>
        <w:t xml:space="preserve"> </w:t>
      </w:r>
      <w:r>
        <w:t xml:space="preserve">and the cross-provider pairing answer those items at 0.951 and 0.955 mean member accuracy</w:t>
      </w:r>
      <w:r>
        <w:t xml:space="preserve"> </w:t>
      </w:r>
      <w:r>
        <w:t xml:space="preserve">respectively, a gap of 0.005. The same-provider Gemini pair has error correlation 0.954; the</w:t>
      </w:r>
      <w:r>
        <w:t xml:space="preserve"> </w:t>
      </w:r>
      <w:r>
        <w:t xml:space="preserve">cross-provider Gemini-Grok pairing has 0.607, a difference of 0.347 (95% CI [0.207, 0.507]).</w:t>
      </w:r>
    </w:p>
    <w:p>
      <w:pPr>
        <w:pStyle w:val="Compact"/>
        <w:numPr>
          <w:ilvl w:val="0"/>
          <w:numId w:val="1003"/>
        </w:numPr>
      </w:pPr>
      <w:r>
        <w:t xml:space="preserve">The comparison holds the item set, the configuration and the ensemble composition fixed, so</w:t>
      </w:r>
      <w:r>
        <w:t xml:space="preserve"> </w:t>
      </w:r>
      <w:r>
        <w:t xml:space="preserve">capability is matched by construction rather than by assumption.</w:t>
      </w:r>
    </w:p>
    <w:p>
      <w:pPr>
        <w:pStyle w:val="Compact"/>
        <w:numPr>
          <w:ilvl w:val="0"/>
          <w:numId w:val="1003"/>
        </w:numPr>
      </w:pPr>
      <w:r>
        <w:t xml:space="preserve">Every same-provider pairing shows higher error correlation than every cross-provider pairing,</w:t>
      </w:r>
      <w:r>
        <w:t xml:space="preserve"> </w:t>
      </w:r>
      <w:r>
        <w:t xml:space="preserve">at both accuracy levels present in the ensemble.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Added the capability-matched provider contrast to the cross-domain section.</w:t>
      </w:r>
    </w:p>
    <w:p>
      <w:pPr>
        <w:pStyle w:val="Compact"/>
        <w:numPr>
          <w:ilvl w:val="0"/>
          <w:numId w:val="1004"/>
        </w:numPr>
      </w:pPr>
      <w:r>
        <w:t xml:space="preserve">Stated in that section that the provider-associated ordering persists after approximate</w:t>
      </w:r>
      <w:r>
        <w:t xml:space="preserve"> </w:t>
      </w:r>
      <w:r>
        <w:t xml:space="preserve">capability matching, while provider remains confounded with other model-specific</w:t>
      </w:r>
      <w:r>
        <w:t xml:space="preserve"> </w:t>
      </w:r>
      <w:r>
        <w:t xml:space="preserve">characteristics and is not isolated causally.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have run the replication the reviewer asks for, on a domain chosen to be as unlike the</w:t>
      </w:r>
      <w:r>
        <w:t xml:space="preserve"> </w:t>
      </w:r>
      <w:r>
        <w:t xml:space="preserve">original as possible: expert clinical decision-making, using the MMLU professional-medicine</w:t>
      </w:r>
      <w:r>
        <w:t xml:space="preserve"> </w:t>
      </w:r>
      <w:r>
        <w:t xml:space="preserve">and clinical-knowledge subsets, 537 four-option items under the MIT licence with no personal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5"/>
        </w:numPr>
      </w:pPr>
      <w:r>
        <w:t xml:space="preserve">The protocol is otherwise unchanged: the same five agents, the same three configurations, the</w:t>
      </w:r>
      <w:r>
        <w:t xml:space="preserve"> </w:t>
      </w:r>
      <w:r>
        <w:t xml:space="preserve">same per-agent independent-draw seeding, the same temperature, the same number of runs and the</w:t>
      </w:r>
      <w:r>
        <w:t xml:space="preserve"> </w:t>
      </w:r>
      <w:r>
        <w:t xml:space="preserve">same estimators. Only the domain differs, so any change in the endpoint is attributable to</w:t>
      </w:r>
      <w:r>
        <w:t xml:space="preserve"> </w:t>
      </w:r>
      <w:r>
        <w:t xml:space="preserve">domain rather than to a redesign.</w:t>
      </w:r>
    </w:p>
    <w:p>
      <w:pPr>
        <w:pStyle w:val="Compact"/>
        <w:numPr>
          <w:ilvl w:val="0"/>
          <w:numId w:val="1005"/>
        </w:numPr>
      </w:pPr>
      <w:r>
        <w:t xml:space="preserve">The design, the predicted direction and the decision rule were registered and hashed before</w:t>
      </w:r>
      <w:r>
        <w:t xml:space="preserve"> </w:t>
      </w:r>
      <w:r>
        <w:t xml:space="preserve">collection began.</w:t>
      </w:r>
    </w:p>
    <w:p>
      <w:pPr>
        <w:pStyle w:val="Compact"/>
        <w:numPr>
          <w:ilvl w:val="0"/>
          <w:numId w:val="1005"/>
        </w:numPr>
      </w:pPr>
      <w:r>
        <w:t xml:space="preserve">We predicted in advance that the effect would replicate in direction but be smaller than in</w:t>
      </w:r>
      <w:r>
        <w:t xml:space="preserve"> </w:t>
      </w:r>
      <w:r>
        <w:t xml:space="preserve">finance, because agents answer these items far more accurately and agents that are more often</w:t>
      </w:r>
      <w:r>
        <w:t xml:space="preserve"> </w:t>
      </w:r>
      <w:r>
        <w:t xml:space="preserve">correct necessarily agree more. Both parts hold. Agreement falls by 0.072</w:t>
      </w:r>
      <w:r>
        <w:t xml:space="preserve"> </w:t>
      </w:r>
      <w:r>
        <w:t xml:space="preserve">(95% CI [0.040, 0.104]), about a fifth of the financial estimate of 0.336, while error</w:t>
      </w:r>
      <w:r>
        <w:t xml:space="preserve"> </w:t>
      </w:r>
      <w:r>
        <w:t xml:space="preserve">correlation falls by 0.393 (95% CI [0.325, 0.459]), close to the financial estimate of 0.454.</w:t>
      </w:r>
    </w:p>
    <w:p>
      <w:pPr>
        <w:pStyle w:val="Compact"/>
        <w:numPr>
          <w:ilvl w:val="0"/>
          <w:numId w:val="1005"/>
        </w:numPr>
      </w:pPr>
      <w:r>
        <w:t xml:space="preserve">This also changes the label structure the reviewer asks about: four categories rather than</w:t>
      </w:r>
      <w:r>
        <w:t xml:space="preserve"> </w:t>
      </w:r>
      <w:r>
        <w:t xml:space="preserve">three.</w:t>
      </w:r>
    </w:p>
    <w:p>
      <w:pPr>
        <w:pStyle w:val="Compact"/>
        <w:numPr>
          <w:ilvl w:val="0"/>
          <w:numId w:val="1005"/>
        </w:numPr>
      </w:pPr>
      <w:r>
        <w:t xml:space="preserve">We have not varied ensemble size or aggregation rule. Those are single-parameter sweeps on the</w:t>
      </w:r>
      <w:r>
        <w:t xml:space="preserve"> </w:t>
      </w:r>
      <w:r>
        <w:t xml:space="preserve">frozen data rather than new evidence about generality, and we preferred to spend the revision</w:t>
      </w:r>
      <w:r>
        <w:t xml:space="preserve"> </w:t>
      </w:r>
      <w:r>
        <w:t xml:space="preserve">on the domain question, which is the one that bears on whether the finding is a property of</w:t>
      </w:r>
      <w:r>
        <w:t xml:space="preserve"> </w:t>
      </w:r>
      <w:r>
        <w:t xml:space="preserve">the task. We state that omission rather than leaving it unexplained.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Added</w:t>
      </w:r>
      <w:r>
        <w:t xml:space="preserve"> </w:t>
      </w:r>
      <w:r>
        <w:t xml:space="preserve">“Cross-domain replication: clinical decisions”</w:t>
      </w:r>
      <w:r>
        <w:t xml:space="preserve"> </w:t>
      </w:r>
      <w:r>
        <w:t xml:space="preserve">to the results.</w:t>
      </w:r>
    </w:p>
    <w:p>
      <w:pPr>
        <w:pStyle w:val="Compact"/>
        <w:numPr>
          <w:ilvl w:val="0"/>
          <w:numId w:val="1006"/>
        </w:numPr>
      </w:pPr>
      <w:r>
        <w:t xml:space="preserve">Added the pre-registration and freeze receipt for that arm to the released artifact.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accept the framing and have adopted the remedy the reviewer specifies.</w:t>
      </w:r>
    </w:p>
    <w:p>
      <w:pPr>
        <w:pStyle w:val="Compact"/>
        <w:numPr>
          <w:ilvl w:val="0"/>
          <w:numId w:val="1007"/>
        </w:numPr>
      </w:pPr>
      <w:r>
        <w:t xml:space="preserve">The interval is now reported. The ratio is 1.84 with a 95% equity-clustered bootstrap</w:t>
      </w:r>
      <w:r>
        <w:t xml:space="preserve"> </w:t>
      </w:r>
      <w:r>
        <w:t xml:space="preserve">confidence interval of [1.51, 2.35], which excludes unity. The underlying rates are 0.0583 for</w:t>
      </w:r>
      <w:r>
        <w:t xml:space="preserve"> </w:t>
      </w:r>
      <w:r>
        <w:t xml:space="preserve">HOM and 0.0317 for HET over 3600 scoreable cells each.</w:t>
      </w:r>
    </w:p>
    <w:p>
      <w:pPr>
        <w:pStyle w:val="Compact"/>
        <w:numPr>
          <w:ilvl w:val="0"/>
          <w:numId w:val="1007"/>
        </w:numPr>
      </w:pPr>
      <w:r>
        <w:t xml:space="preserve">We state plainly that the configuration compared and the statistic reported were both chosen</w:t>
      </w:r>
      <w:r>
        <w:t xml:space="preserve"> </w:t>
      </w:r>
      <w:r>
        <w:t xml:space="preserve">after inspecting the data, that several such comparisons are available within that section,</w:t>
      </w:r>
      <w:r>
        <w:t xml:space="preserve"> </w:t>
      </w:r>
      <w:r>
        <w:t xml:space="preserve">and that no multiplicity adjustment is applied.</w:t>
      </w:r>
    </w:p>
    <w:p>
      <w:pPr>
        <w:pStyle w:val="Compact"/>
        <w:numPr>
          <w:ilvl w:val="0"/>
          <w:numId w:val="1007"/>
        </w:numPr>
      </w:pPr>
      <w:r>
        <w:t xml:space="preserve">We have withdrawn HET-LITE as a design recommendation. It is now recorded as a hypothesis for</w:t>
      </w:r>
      <w:r>
        <w:t xml:space="preserve"> </w:t>
      </w:r>
      <w:r>
        <w:t xml:space="preserve">a future confirmatory study, not as guidance for deployment.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Added the confidence interval and an explicit multiplicity caveat to the exploratory section.</w:t>
      </w:r>
    </w:p>
    <w:p>
      <w:pPr>
        <w:pStyle w:val="Compact"/>
        <w:numPr>
          <w:ilvl w:val="0"/>
          <w:numId w:val="1008"/>
        </w:numPr>
      </w:pPr>
      <w:r>
        <w:t xml:space="preserve">Removed the recommendation language.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Both observations are correct, and we have added the sensitivity analysis rather than claiming</w:t>
      </w:r>
      <w:r>
        <w:t xml:space="preserve"> </w:t>
      </w:r>
      <w:r>
        <w:t xml:space="preserve">a verification the provider APIs do not support.</w:t>
      </w:r>
    </w:p>
    <w:p>
      <w:pPr>
        <w:pStyle w:val="Compact"/>
        <w:numPr>
          <w:ilvl w:val="0"/>
          <w:numId w:val="1009"/>
        </w:numPr>
      </w:pPr>
      <w:r>
        <w:t xml:space="preserve">Decomposing pairwise agreement by whether the two agents share a model separates the two</w:t>
      </w:r>
      <w:r>
        <w:t xml:space="preserve"> </w:t>
      </w:r>
      <w:r>
        <w:t xml:space="preserve">effects the reviewer identifies. Same-model pairs agree at 0.800 in HOM, 0.794 in HET-LITE and</w:t>
      </w:r>
      <w:r>
        <w:t xml:space="preserve"> </w:t>
      </w:r>
      <w:r>
        <w:t xml:space="preserve">0.862 in HET. Different-model pairs agree at 0.455 and 0.490 respectively.</w:t>
      </w:r>
    </w:p>
    <w:p>
      <w:pPr>
        <w:pStyle w:val="Compact"/>
        <w:numPr>
          <w:ilvl w:val="0"/>
          <w:numId w:val="1009"/>
        </w:numPr>
      </w:pPr>
      <w:r>
        <w:t xml:space="preserve">Same-model agreement is stable across configurations. The fall in kappa is therefore driven by</w:t>
      </w:r>
      <w:r>
        <w:t xml:space="preserve"> </w:t>
      </w:r>
      <w:r>
        <w:t xml:space="preserve">the introduction of different-model pairs, not by any change in how same-model pairs behave,</w:t>
      </w:r>
      <w:r>
        <w:t xml:space="preserve"> </w:t>
      </w:r>
      <w:r>
        <w:t xml:space="preserve">which is the confound the reviewer describes.</w:t>
      </w:r>
    </w:p>
    <w:p>
      <w:pPr>
        <w:pStyle w:val="Compact"/>
        <w:numPr>
          <w:ilvl w:val="0"/>
          <w:numId w:val="1009"/>
        </w:numPr>
      </w:pPr>
      <w:r>
        <w:t xml:space="preserve">We also now state what unique seeds do and do not establish. A distinct seed removes one</w:t>
      </w:r>
      <w:r>
        <w:t xml:space="preserve"> </w:t>
      </w:r>
      <w:r>
        <w:t xml:space="preserve">specific artifact, identical sampling trajectories from a shared seed. It does not establish</w:t>
      </w:r>
      <w:r>
        <w:t xml:space="preserve"> </w:t>
      </w:r>
      <w:r>
        <w:t xml:space="preserve">statistical independence: commercial inference stacks do not guarantee bitwise-reproducible</w:t>
      </w:r>
      <w:r>
        <w:t xml:space="preserve"> </w:t>
      </w:r>
      <w:r>
        <w:t xml:space="preserve">outputs for a fixed seed, because reduction order varies with kernel selection and batch</w:t>
      </w:r>
      <w:r>
        <w:t xml:space="preserve"> </w:t>
      </w:r>
      <w:r>
        <w:t xml:space="preserve">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Added</w:t>
      </w:r>
      <w:r>
        <w:t xml:space="preserve"> </w:t>
      </w:r>
      <w:r>
        <w:t xml:space="preserve">“Sensitivity: agreement by pair type”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unique seeds do and do not establish”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have checked this carefully and do not find a disagreement. Table 4 gives 6.48x10^-4,</w:t>
      </w:r>
      <w:r>
        <w:t xml:space="preserve"> </w:t>
      </w:r>
      <w:r>
        <w:t xml:space="preserve">1.52x10^-3 and 2.84x10^-3 per ensemble decision; the text gives the same three quantities</w:t>
      </w:r>
      <w:r>
        <w:t xml:space="preserve"> </w:t>
      </w:r>
      <w:r>
        <w:t xml:space="preserve">rounded to two significant figures, 6.5x10^-4, 1.5x10^-3 and 2.8x10^-3; and the ratio</w:t>
      </w:r>
      <w:r>
        <w:t xml:space="preserve"> </w:t>
      </w:r>
      <w:r>
        <w:t xml:space="preserve">2.835/0.648 = 4.375 is the 4.4x quoted. The released analysis regenerates all three values to</w:t>
      </w:r>
      <w:r>
        <w:t xml:space="preserve"> </w:t>
      </w:r>
      <w:r>
        <w:t xml:space="preserve">six decimal places from the metered token counts.</w:t>
      </w:r>
    </w:p>
    <w:p>
      <w:pPr>
        <w:pStyle w:val="Compact"/>
        <w:numPr>
          <w:ilvl w:val="0"/>
          <w:numId w:val="1011"/>
        </w:numPr>
      </w:pPr>
      <w:r>
        <w:t xml:space="preserve">We think the substantive point behind the observation is that the manuscript never stated how</w:t>
      </w:r>
      <w:r>
        <w:t xml:space="preserve"> </w:t>
      </w:r>
      <w:r>
        <w:t xml:space="preserve">per-decision cost is computed, so the figures could not be checked. That was an omission and</w:t>
      </w:r>
      <w:r>
        <w:t xml:space="preserve"> </w:t>
      </w:r>
      <w:r>
        <w:t xml:space="preserve">we have corrected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Added the cost basis to the frontier section: metered prompt and completion tokens priced at</w:t>
      </w:r>
      <w:r>
        <w:t xml:space="preserve"> </w:t>
      </w:r>
      <w:r>
        <w:t xml:space="preserve">the per-million rates in the model registry, summed over the five agents in a cell and</w:t>
      </w:r>
      <w:r>
        <w:t xml:space="preserve"> </w:t>
      </w:r>
      <w:r>
        <w:t xml:space="preserve">averaged over cells; prices fixed across configurations; no discount, batching or caching</w:t>
      </w:r>
      <w:r>
        <w:t xml:space="preserve"> </w:t>
      </w:r>
      <w:r>
        <w:t xml:space="preserve">assumed; failed calls excluded because they return no billable completion.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from eight terms to five.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Index terms are now: large language models, multi-agent systems, model heterogeneity,</w:t>
      </w:r>
      <w:r>
        <w:t xml:space="preserve"> </w:t>
      </w:r>
      <w:r>
        <w:t xml:space="preserve">inter-rater agreement, algorithmic monoculture.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The manuscript did not explain why it contains no head-to-head benchmark, and that was a gap.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an ensemble method. Methods such as mixture-of-agents,</w:t>
      </w:r>
      <w:r>
        <w:t xml:space="preserve"> </w:t>
      </w:r>
      <w:r>
        <w:t xml:space="preserve">multi-agent debate and diversity-maximising ensemble selection are evaluated on task</w:t>
      </w:r>
      <w:r>
        <w:t xml:space="preserve"> </w:t>
      </w:r>
      <w:r>
        <w:t xml:space="preserve">performance, and the comparison that matters for them is accuracy against a baseline. The</w:t>
      </w:r>
      <w:r>
        <w:t xml:space="preserve"> </w:t>
      </w:r>
      <w:r>
        <w:t xml:space="preserve">object of study here is different: how much behavioral de-correlation a given ensemble</w:t>
      </w:r>
      <w:r>
        <w:t xml:space="preserve"> </w:t>
      </w:r>
      <w:r>
        <w:t xml:space="preserve">composition buys and what it costs, holding task, prompt and information set fixed.</w:t>
      </w:r>
    </w:p>
    <w:p>
      <w:pPr>
        <w:pStyle w:val="Compact"/>
        <w:numPr>
          <w:ilvl w:val="0"/>
          <w:numId w:val="1015"/>
        </w:numPr>
      </w:pPr>
      <w:r>
        <w:t xml:space="preserve">The fair comparison is therefore one of measurement. Prior work reporting ensemble diversity</w:t>
      </w:r>
      <w:r>
        <w:t xml:space="preserve"> </w:t>
      </w:r>
      <w:r>
        <w:t xml:space="preserve">typically uses a single agreement index on pooled outputs, without separating agreement from</w:t>
      </w:r>
      <w:r>
        <w:t xml:space="preserve"> </w:t>
      </w:r>
      <w:r>
        <w:t xml:space="preserve">error correlation, without an independent-draw protocol, and without interval estimates. The</w:t>
      </w:r>
      <w:r>
        <w:t xml:space="preserve"> </w:t>
      </w:r>
      <w:r>
        <w:t xml:space="preserve">manuscript now shows that the first distinction changes the interpretation, the second changes</w:t>
      </w:r>
      <w:r>
        <w:t xml:space="preserve"> </w:t>
      </w:r>
      <w:r>
        <w:t xml:space="preserve">the estimate roughly fourfold in our pilot, and the third determines whether a reported</w:t>
      </w:r>
      <w:r>
        <w:t xml:space="preserve"> </w:t>
      </w:r>
      <w:r>
        <w:t xml:space="preserve">difference is resolvable at all.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Added</w:t>
      </w:r>
      <w:r>
        <w:t xml:space="preserve"> </w:t>
      </w:r>
      <w:r>
        <w:t xml:space="preserve">“Relation to state-of-the-art ensemble methods”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The confound is real and we have taken the second of the two courses the reviewer offers,</w:t>
      </w:r>
      <w:r>
        <w:t xml:space="preserve"> </w:t>
      </w:r>
      <w:r>
        <w:t xml:space="preserve">while also supplying the capability-matched evidence described under Reviewer #1, Concern #2.</w:t>
      </w:r>
    </w:p>
    <w:p>
      <w:pPr>
        <w:pStyle w:val="Compact"/>
        <w:numPr>
          <w:ilvl w:val="0"/>
          <w:numId w:val="1017"/>
        </w:numPr>
      </w:pPr>
      <w:r>
        <w:t xml:space="preserve">Provider is not experimentally separable from model identity, parameter count, training</w:t>
      </w:r>
      <w:r>
        <w:t xml:space="preserve"> </w:t>
      </w:r>
      <w:r>
        <w:t xml:space="preserve">corpus, architecture or alignment procedure in this design, because each provider contributes</w:t>
      </w:r>
      <w:r>
        <w:t xml:space="preserve"> </w:t>
      </w:r>
      <w:r>
        <w:t xml:space="preserve">one model. We now say so directly, and state that</w:t>
      </w:r>
      <w:r>
        <w:t xml:space="preserve"> </w:t>
      </w:r>
      <w:r>
        <w:t xml:space="preserve">“provider”</w:t>
      </w:r>
      <w:r>
        <w:t xml:space="preserve"> </w:t>
      </w:r>
      <w:r>
        <w:t xml:space="preserve">should be read throughout as</w:t>
      </w:r>
      <w:r>
        <w:t xml:space="preserve"> </w:t>
      </w:r>
      <w:r>
        <w:t xml:space="preserve">shorthand for that bundle rather than as an isolated causal factor.</w:t>
      </w:r>
    </w:p>
    <w:p>
      <w:pPr>
        <w:pStyle w:val="Compact"/>
        <w:numPr>
          <w:ilvl w:val="0"/>
          <w:numId w:val="1017"/>
        </w:numPr>
      </w:pPr>
      <w:r>
        <w:t xml:space="preserve">The cross-domain arm adds a capability-matched version of the comparison in which the two</w:t>
      </w:r>
      <w:r>
        <w:t xml:space="preserve"> </w:t>
      </w:r>
      <w:r>
        <w:t xml:space="preserve">members of each pairing have near-identical accuracy, and provider continues to order the</w:t>
      </w:r>
      <w:r>
        <w:t xml:space="preserve"> </w:t>
      </w:r>
      <w:r>
        <w:t xml:space="preserve">result there. That narrows the confound without claiming to eliminate it.</w:t>
      </w:r>
    </w:p>
    <w:p>
      <w:pPr>
        <w:pStyle w:val="Compact"/>
        <w:numPr>
          <w:ilvl w:val="0"/>
          <w:numId w:val="1017"/>
        </w:numPr>
      </w:pPr>
      <w:r>
        <w:t xml:space="preserve">We state what design would be required to decompose the bundle further, and that it is not</w:t>
      </w:r>
      <w:r>
        <w:t xml:space="preserve"> </w:t>
      </w:r>
      <w:r>
        <w:t xml:space="preserve">attempted here.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Rewrote the provider-pair discussion as a configuration-specific observational finding.</w:t>
      </w:r>
    </w:p>
    <w:p>
      <w:pPr>
        <w:pStyle w:val="Compact"/>
        <w:numPr>
          <w:ilvl w:val="0"/>
          <w:numId w:val="1018"/>
        </w:numPr>
      </w:pPr>
      <w:r>
        <w:t xml:space="preserve">Added the capability-matched contrast in the cross-domain section.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have done this, and the primary result survives it.</w:t>
      </w:r>
    </w:p>
    <w:p>
      <w:pPr>
        <w:pStyle w:val="Compact"/>
        <w:numPr>
          <w:ilvl w:val="0"/>
          <w:numId w:val="1019"/>
        </w:numPr>
      </w:pPr>
      <w:r>
        <w:t xml:space="preserve">The equity is the pre-registered unit because it is the level at which repeated observations</w:t>
      </w:r>
      <w:r>
        <w:t xml:space="preserve"> </w:t>
      </w:r>
      <w:r>
        <w:t xml:space="preserve">are nested: each security is evaluated on twelve dates and shares company-specific context. We</w:t>
      </w:r>
      <w:r>
        <w:t xml:space="preserve"> </w:t>
      </w:r>
      <w:r>
        <w:t xml:space="preserve">now state that justification rather than assuming it.</w:t>
      </w:r>
    </w:p>
    <w:p>
      <w:pPr>
        <w:pStyle w:val="Compact"/>
        <w:numPr>
          <w:ilvl w:val="0"/>
          <w:numId w:val="1019"/>
        </w:numPr>
      </w:pPr>
      <w:r>
        <w:t xml:space="preserve">Dates are a second, crossed source of dependence. We report the primary contrast under three</w:t>
      </w:r>
      <w:r>
        <w:t xml:space="preserve"> </w:t>
      </w:r>
      <w:r>
        <w:t xml:space="preserve">schemes: equity clustering (100 clusters), date clustering (12 clusters), and a two-way</w:t>
      </w:r>
      <w:r>
        <w:t xml:space="preserve"> </w:t>
      </w:r>
      <w:r>
        <w:t xml:space="preserve">scheme in which equities and dates are resampled independently.</w:t>
      </w:r>
    </w:p>
    <w:p>
      <w:pPr>
        <w:pStyle w:val="Compact"/>
        <w:numPr>
          <w:ilvl w:val="0"/>
          <w:numId w:val="1019"/>
        </w:numPr>
      </w:pPr>
      <w:r>
        <w:t xml:space="preserve">The point estimate is 0.3363 in all three. The intervals are [0.3035, 0.3689] for equities,</w:t>
      </w:r>
      <w:r>
        <w:t xml:space="preserve"> </w:t>
      </w:r>
      <w:r>
        <w:t xml:space="preserve">[0.2989, 0.3656] for dates and [0.2786, 0.3877] two-way. The two-way interval is the widest, as</w:t>
      </w:r>
      <w:r>
        <w:t xml:space="preserve"> </w:t>
      </w:r>
      <w:r>
        <w:t xml:space="preserve">expected when two crossed dependence structures are admitted at once, and all three exclude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19"/>
        </w:numPr>
      </w:pPr>
      <w:r>
        <w:t xml:space="preserve">The reviewer is right that the earlier equity interval, [0.3131, 0.3628], contradicted the</w:t>
      </w:r>
      <w:r>
        <w:t xml:space="preserve"> </w:t>
      </w:r>
      <w:r>
        <w:t xml:space="preserve">primary [0.3035, 0.3689] reported in the abstract, Table 2, the Results and the Conclusion.</w:t>
      </w:r>
      <w:r>
        <w:t xml:space="preserve"> </w:t>
      </w:r>
      <w:r>
        <w:t xml:space="preserve">They were presented as the same estimand and should have agreed exactly. They did not because</w:t>
      </w:r>
      <w:r>
        <w:t xml:space="preserve"> </w:t>
      </w:r>
      <w:r>
        <w:t xml:space="preserve">the two were computed by different procedures: the primary bootstrap resamples equities with</w:t>
      </w:r>
      <w:r>
        <w:t xml:space="preserve"> </w:t>
      </w:r>
      <w:r>
        <w:t xml:space="preserve">replacement and counts an equity drawn twice as two clusters, while the robustness table</w:t>
      </w:r>
      <w:r>
        <w:t xml:space="preserve"> </w:t>
      </w:r>
      <w:r>
        <w:t xml:space="preserve">treated each draw as a set, so a repeated draw counted once and every draw used only the</w:t>
      </w:r>
      <w:r>
        <w:t xml:space="preserve"> </w:t>
      </w:r>
      <w:r>
        <w:t xml:space="preserve">roughly 63 distinct equities of a 100-draw multiset. That is subsampling, not a cluster</w:t>
      </w:r>
      <w:r>
        <w:t xml:space="preserve"> </w:t>
      </w:r>
      <w:r>
        <w:t xml:space="preserve">bootstrap, and it understated the variance. The robustness table now honours multiplicity and</w:t>
      </w:r>
      <w:r>
        <w:t xml:space="preserve"> </w:t>
      </w:r>
      <w:r>
        <w:t xml:space="preserve">uses the pre-registered equity ordering, so its equity row reproduces the primary interval</w:t>
      </w:r>
      <w:r>
        <w:t xml:space="preserve"> </w:t>
      </w:r>
      <w:r>
        <w:t xml:space="preserve">exactly; the code asserts that equality on every run and fails if it is ever broken. The date</w:t>
      </w:r>
      <w:r>
        <w:t xml:space="preserve"> </w:t>
      </w:r>
      <w:r>
        <w:t xml:space="preserve">and two-way intervals widen for the same reason. No point estimate changed and every interval</w:t>
      </w:r>
      <w:r>
        <w:t xml:space="preserve"> </w:t>
      </w:r>
      <w:r>
        <w:t xml:space="preserve">still excludes zero.</w:t>
      </w:r>
    </w:p>
    <w:p>
      <w:pPr>
        <w:pStyle w:val="Compact"/>
        <w:numPr>
          <w:ilvl w:val="0"/>
          <w:numId w:val="1019"/>
        </w:numPr>
      </w:pPr>
      <w:r>
        <w:t xml:space="preserve">We note that the date margin has only twelve clusters, a regime in which cluster-robust</w:t>
      </w:r>
      <w:r>
        <w:t xml:space="preserve"> </w:t>
      </w:r>
      <w:r>
        <w:t xml:space="preserve">inference is known to under-cover. The equity-clustered interval therefore remains the</w:t>
      </w:r>
      <w:r>
        <w:t xml:space="preserve"> </w:t>
      </w:r>
      <w:r>
        <w:t xml:space="preserve">pre-registered primary and the other two are reported as sensitivity analyses.</w:t>
      </w:r>
    </w:p>
    <w:p>
      <w:pPr>
        <w:pStyle w:val="Compact"/>
        <w:numPr>
          <w:ilvl w:val="0"/>
          <w:numId w:val="1019"/>
        </w:numPr>
      </w:pPr>
      <w:r>
        <w:t xml:space="preserve">On scope, the reviewer asked that all main and exploratory intervals account for equity and</w:t>
      </w:r>
      <w:r>
        <w:t xml:space="preserve"> </w:t>
      </w:r>
      <w:r>
        <w:t xml:space="preserve">date dependence. The two-way scheme is applied to the primary endpoint and, in this revision,</w:t>
      </w:r>
      <w:r>
        <w:t xml:space="preserve"> </w:t>
      </w:r>
      <w:r>
        <w:t xml:space="preserve">to the two exploratory contrasts that carry an inferential claim: the pile-on contrast widens</w:t>
      </w:r>
      <w:r>
        <w:t xml:space="preserve"> </w:t>
      </w:r>
      <w:r>
        <w:t xml:space="preserve">from [0.160, 0.216] to [0.140, 0.232] and still excludes zero, and the AURC contrast widens</w:t>
      </w:r>
      <w:r>
        <w:t xml:space="preserve"> </w:t>
      </w:r>
      <w:r>
        <w:t xml:space="preserve">from [-0.059, 0.060] to [-0.113, 0.115] and still contains zero. Neither conclusion changes.</w:t>
      </w:r>
      <w:r>
        <w:t xml:space="preserve"> </w:t>
      </w:r>
      <w:r>
        <w:t xml:space="preserve">The remaining exploratory quantities are reported as descriptive statistics without an</w:t>
      </w:r>
      <w:r>
        <w:t xml:space="preserve"> </w:t>
      </w:r>
      <w:r>
        <w:t xml:space="preserve">inferential claim attached, and retain the pre-registered paired equity-clustered bootstrap;</w:t>
      </w:r>
      <w:r>
        <w:t xml:space="preserve"> </w:t>
      </w:r>
      <w:r>
        <w:t xml:space="preserve">they are interpreted as exploratory throughout and we do not draw conclusions from them that</w:t>
      </w:r>
      <w:r>
        <w:t xml:space="preserve"> </w:t>
      </w:r>
      <w:r>
        <w:t xml:space="preserve">a wider interval could overturn.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Added the bootstrap-unit justification to the uncertainty section.</w:t>
      </w:r>
    </w:p>
    <w:p>
      <w:pPr>
        <w:pStyle w:val="Compact"/>
        <w:numPr>
          <w:ilvl w:val="0"/>
          <w:numId w:val="1020"/>
        </w:numPr>
      </w:pPr>
      <w:r>
        <w:t xml:space="preserve">Added a table reporting the primary contrast under all three resampling schemes.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The reviewer is right that kappa measures agreement irrespective of correctness, and the</w:t>
      </w:r>
      <w:r>
        <w:t xml:space="preserve"> </w:t>
      </w:r>
      <w:r>
        <w:t xml:space="preserve">original manuscript acknowledged the distinction without measuring the second quantity. We</w:t>
      </w:r>
      <w:r>
        <w:t xml:space="preserve"> </w:t>
      </w:r>
      <w:r>
        <w:t xml:space="preserve">have taken the second option and added the analysis.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 cell we compute the Pearson correlation between their binary</w:t>
      </w:r>
      <w:r>
        <w:t xml:space="preserve"> </w:t>
      </w:r>
      <w:r>
        <w:t xml:space="preserve">error indicators against the forward-return sign. Error correlation falls monotonically: 0.984</w:t>
      </w:r>
      <w:r>
        <w:t xml:space="preserve"> </w:t>
      </w:r>
      <w:r>
        <w:t xml:space="preserve">for HOM, 0.742 for HET-LITE and 0.530 for HET, giving 0.454 (95% CI [0.376, 0.534]).</w:t>
      </w:r>
    </w:p>
    <w:p>
      <w:pPr>
        <w:pStyle w:val="Compact"/>
        <w:numPr>
          <w:ilvl w:val="0"/>
          <w:numId w:val="1021"/>
        </w:numPr>
      </w:pPr>
      <w:r>
        <w:t xml:space="preserve">Because abstentions are excluded, the scored subset differs across configurations. We repeat</w:t>
      </w:r>
      <w:r>
        <w:t xml:space="preserve"> </w:t>
      </w:r>
      <w:r>
        <w:t xml:space="preserve">the calculation counting HOLD as an error, which fixes an identical subset for every</w:t>
      </w:r>
      <w:r>
        <w:t xml:space="preserve"> </w:t>
      </w:r>
      <w:r>
        <w:t xml:space="preserve">configuration: the contrast is then 0.309 (95% CI [0.262, 0.354]). Both treatments give a</w:t>
      </w:r>
      <w:r>
        <w:t xml:space="preserve"> </w:t>
      </w:r>
      <w:r>
        <w:t xml:space="preserve">monotone decline whose interval excludes zero, so the estimate is bracketed rather than</w:t>
      </w:r>
      <w:r>
        <w:t xml:space="preserve"> </w:t>
      </w:r>
      <w:r>
        <w:t xml:space="preserve">dependent on how abstentions are handled.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are close across configurations, so the decline is a change in</w:t>
      </w:r>
      <w:r>
        <w:t xml:space="preserve"> </w:t>
      </w:r>
      <w:r>
        <w:t xml:space="preserve">dependence and not a consequence of differing accuracy.</w:t>
      </w:r>
    </w:p>
    <w:p>
      <w:pPr>
        <w:pStyle w:val="Compact"/>
        <w:numPr>
          <w:ilvl w:val="0"/>
          <w:numId w:val="1021"/>
        </w:numPr>
      </w:pPr>
      <w:r>
        <w:t xml:space="preserve">We also state that de-correlation is partial rather than complete: heterogeneous agents still</w:t>
      </w:r>
      <w:r>
        <w:t xml:space="preserve"> </w:t>
      </w:r>
      <w:r>
        <w:t xml:space="preserve">err together more often than independence would imply.</w:t>
      </w:r>
    </w:p>
    <w:p>
      <w:pPr>
        <w:pStyle w:val="Compact"/>
        <w:numPr>
          <w:ilvl w:val="0"/>
          <w:numId w:val="1021"/>
        </w:numPr>
      </w:pPr>
      <w:r>
        <w:t xml:space="preserve">We have added the five-way distinction the reviewer asks for, and we now define the term</w:t>
      </w:r>
      <w:r>
        <w:t xml:space="preserve"> </w:t>
      </w:r>
      <w:r>
        <w:t xml:space="preserve">explicitly as sense (2), error correlation, with the phi contrast rather than the kappa</w:t>
      </w:r>
      <w:r>
        <w:t xml:space="preserve"> </w:t>
      </w:r>
      <w:r>
        <w:t xml:space="preserve">contrast as its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Added</w:t>
      </w:r>
      <w:r>
        <w:t xml:space="preserve"> </w:t>
      </w:r>
      <w:r>
        <w:t xml:space="preserve">“Agreement, error correlation, and what</w:t>
      </w:r>
      <w:r>
        <w:t xml:space="preserve"> </w:t>
      </w:r>
      <w:r>
        <w:t xml:space="preserve">‘de-correlation’</w:t>
      </w:r>
      <w:r>
        <w:t xml:space="preserve"> </w:t>
      </w:r>
      <w:r>
        <w:t xml:space="preserve">denotes”</w:t>
      </w:r>
      <w:r>
        <w:t xml:space="preserve">, containing the</w:t>
      </w:r>
      <w:r>
        <w:t xml:space="preserve"> </w:t>
      </w:r>
      <w:r>
        <w:t xml:space="preserve">five-way distinction and the phi analysis under both label treatments.</w:t>
      </w:r>
    </w:p>
    <w:p>
      <w:pPr>
        <w:pStyle w:val="Compact"/>
        <w:numPr>
          <w:ilvl w:val="0"/>
          <w:numId w:val="1022"/>
        </w:numPr>
      </w:pPr>
      <w:r>
        <w:t xml:space="preserve">The abstract now reports the phi contrast alongside the kappa contrast.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agree on all four points. Three were acted on in the previous revision; the fourth,</w:t>
      </w:r>
      <w:r>
        <w:t xml:space="preserve"> </w:t>
      </w:r>
      <w:r>
        <w:t xml:space="preserve">uncertainty for the pile-on statistic, was claimed but not delivered, and the reviewer is</w:t>
      </w:r>
      <w:r>
        <w:t xml:space="preserve"> </w:t>
      </w:r>
      <w:r>
        <w:t xml:space="preserve">correct to press it. It is now provided.</w:t>
      </w:r>
    </w:p>
    <w:p>
      <w:pPr>
        <w:pStyle w:val="Compact"/>
        <w:numPr>
          <w:ilvl w:val="0"/>
          <w:numId w:val="1023"/>
        </w:numPr>
      </w:pPr>
      <w:r>
        <w:t xml:space="preserve">The selective-prediction and coverage analysis is described under Reviewer #1, Concern #1.</w:t>
      </w:r>
    </w:p>
    <w:p>
      <w:pPr>
        <w:pStyle w:val="Compact"/>
        <w:numPr>
          <w:ilvl w:val="0"/>
          <w:numId w:val="1023"/>
        </w:numPr>
      </w:pPr>
      <w:r>
        <w:t xml:space="preserve">Uncertainty for the unanimous-error statistic is described under Reviewer #1, Concern #4; the</w:t>
      </w:r>
      <w:r>
        <w:t xml:space="preserve"> </w:t>
      </w:r>
      <w:r>
        <w:t xml:space="preserve">interval is equity-clustered rather than marginal.</w:t>
      </w:r>
    </w:p>
    <w:p>
      <w:pPr>
        <w:pStyle w:val="Compact"/>
        <w:numPr>
          <w:ilvl w:val="0"/>
          <w:numId w:val="1023"/>
        </w:numPr>
      </w:pPr>
      <w:r>
        <w:t xml:space="preserve">Pile-on now carries uncertainty. The rate at which the remaining agents endorse an incorrect</w:t>
      </w:r>
      <w:r>
        <w:t xml:space="preserve"> </w:t>
      </w:r>
      <w:r>
        <w:t xml:space="preserve">majority is 0.824 for HOM and 0.636 for HET; a paired equity-clustered bootstrap over the same</w:t>
      </w:r>
      <w:r>
        <w:t xml:space="preserve"> </w:t>
      </w:r>
      <w:r>
        <w:t xml:space="preserve">100 equities, 2,000 draws, using the resampling scheme of the primary endpoint, gives a</w:t>
      </w:r>
      <w:r>
        <w:t xml:space="preserve"> </w:t>
      </w:r>
      <w:r>
        <w:t xml:space="preserve">HOM-HET difference of 0.189 (95% CI [0.160, 0.216]). The draw is shared between the two arms</w:t>
      </w:r>
      <w:r>
        <w:t xml:space="preserve"> </w:t>
      </w:r>
      <w:r>
        <w:t xml:space="preserve">and the difference taken within it, because the two configurations are measured on the same</w:t>
      </w:r>
      <w:r>
        <w:t xml:space="preserve"> </w:t>
      </w:r>
      <w:r>
        <w:t xml:space="preserve">equities and resampling them independently would add back the between-arm variance the design</w:t>
      </w:r>
      <w:r>
        <w:t xml:space="preserve"> </w:t>
      </w:r>
      <w:r>
        <w:t xml:space="preserve">removes.</w:t>
      </w:r>
    </w:p>
    <w:p>
      <w:pPr>
        <w:pStyle w:val="Compact"/>
        <w:numPr>
          <w:ilvl w:val="0"/>
          <w:numId w:val="1023"/>
        </w:numPr>
      </w:pPr>
      <w:r>
        <w:t xml:space="preserve">Paired clustered uncertainty for AURC is also feasible and is now reported: the HOM-HET</w:t>
      </w:r>
      <w:r>
        <w:t xml:space="preserve"> </w:t>
      </w:r>
      <w:r>
        <w:t xml:space="preserve">difference is -0.001 (95% CI [-0.059, 0.060]). The interval contains zero, so these data do</w:t>
      </w:r>
      <w:r>
        <w:t xml:space="preserve"> </w:t>
      </w:r>
      <w:r>
        <w:t xml:space="preserve">not establish a difference in selective-prediction quality between the two configurations, and</w:t>
      </w:r>
      <w:r>
        <w:t xml:space="preserve"> </w:t>
      </w:r>
      <w:r>
        <w:t xml:space="preserve">the manuscript now says exactly that rather than comparing the three AURC values informally.</w:t>
      </w:r>
    </w:p>
    <w:p>
      <w:pPr>
        <w:pStyle w:val="Compact"/>
        <w:numPr>
          <w:ilvl w:val="0"/>
          <w:numId w:val="1023"/>
        </w:numPr>
      </w:pPr>
      <w:r>
        <w:t xml:space="preserve">The error-correlation analysis under Reviewer #3, Concern #3 is reported under two label</w:t>
      </w:r>
      <w:r>
        <w:t xml:space="preserve"> </w:t>
      </w:r>
      <w:r>
        <w:t xml:space="preserve">treatments precisely because of the subset problem the reviewer identifies: the second</w:t>
      </w:r>
      <w:r>
        <w:t xml:space="preserve"> </w:t>
      </w:r>
      <w:r>
        <w:t xml:space="preserve">treatment fixes an identical subset across configurations and removes the selection.</w:t>
      </w:r>
    </w:p>
    <w:p>
      <w:pPr>
        <w:pStyle w:val="Compact"/>
        <w:numPr>
          <w:ilvl w:val="0"/>
          <w:numId w:val="1023"/>
        </w:numPr>
      </w:pPr>
      <w:r>
        <w:t xml:space="preserve">Wilson intervals are no longer the main inferential evidence anywhere. They appear once, in</w:t>
      </w:r>
      <w:r>
        <w:t xml:space="preserve"> </w:t>
      </w:r>
      <w:r>
        <w:t xml:space="preserve">the secondary accuracy table, and the inference that section relies on is now the clustered</w:t>
      </w:r>
      <w:r>
        <w:t xml:space="preserve"> </w:t>
      </w:r>
      <w:r>
        <w:t xml:space="preserve">contrast.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Added the selective-prediction analysis and the clustered interval on the unanimous-error</w:t>
      </w:r>
      <w:r>
        <w:t xml:space="preserve"> </w:t>
      </w:r>
      <w:r>
        <w:t xml:space="preserve">ratio.</w:t>
      </w:r>
    </w:p>
    <w:p>
      <w:pPr>
        <w:pStyle w:val="Compact"/>
        <w:numPr>
          <w:ilvl w:val="0"/>
          <w:numId w:val="1024"/>
        </w:numPr>
      </w:pPr>
      <w:r>
        <w:t xml:space="preserve">Added paired equity-clustered bootstrap confidence intervals for the pile-on contrast and for</w:t>
      </w:r>
      <w:r>
        <w:t xml:space="preserve"> </w:t>
      </w:r>
      <w:r>
        <w:t xml:space="preserve">the AURC contrast, and reported both in the Results.</w:t>
      </w:r>
    </w:p>
    <w:p>
      <w:pPr>
        <w:pStyle w:val="Compact"/>
        <w:numPr>
          <w:ilvl w:val="0"/>
          <w:numId w:val="1024"/>
        </w:numPr>
      </w:pPr>
      <w:r>
        <w:t xml:space="preserve">Reported the error-correlation contrast under both label treatments.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seed clarification is described under Reviewer #1, Concern #5.</w:t>
      </w:r>
    </w:p>
    <w:p>
      <w:pPr>
        <w:pStyle w:val="Compact"/>
        <w:numPr>
          <w:ilvl w:val="0"/>
          <w:numId w:val="1025"/>
        </w:numPr>
      </w:pPr>
      <w:r>
        <w:t xml:space="preserve">On provenance: the confirmatory grid comprises 54,000 planned calls, all of which returned a</w:t>
      </w:r>
      <w:r>
        <w:t xml:space="preserve"> </w:t>
      </w:r>
      <w:r>
        <w:t xml:space="preserve">valid response. Reaching them required 94,566 API requests. Of the 40,566 that did not return</w:t>
      </w:r>
      <w:r>
        <w:t xml:space="preserve"> </w:t>
      </w:r>
      <w:r>
        <w:t xml:space="preserve">a usable completion, 40,544 were provider rate-limit or quota responses and 22 were transport</w:t>
      </w:r>
      <w:r>
        <w:t xml:space="preserve"> </w:t>
      </w:r>
      <w:r>
        <w:t xml:space="preserve">or schema failures. A rate-limited request is rejected before the model is invoked and returns</w:t>
      </w:r>
      <w:r>
        <w:t xml:space="preserve"> </w:t>
      </w:r>
      <w:r>
        <w:t xml:space="preserve">no content, so retrying it cannot select on the response; the completed grid is the full</w:t>
      </w:r>
      <w:r>
        <w:t xml:space="preserve"> </w:t>
      </w:r>
      <w:r>
        <w:t xml:space="preserve">pre-registered design, not a subset surviving a content filter.</w:t>
      </w:r>
    </w:p>
    <w:p>
      <w:pPr>
        <w:pStyle w:val="Compact"/>
        <w:numPr>
          <w:ilvl w:val="0"/>
          <w:numId w:val="1025"/>
        </w:numPr>
      </w:pPr>
      <w:r>
        <w:t xml:space="preserve">Request parameters, prompt text, per-row prompt hashes, model snapshot identifiers, prices and</w:t>
      </w:r>
      <w:r>
        <w:t xml:space="preserve"> </w:t>
      </w:r>
      <w:r>
        <w:t xml:space="preserve">cutoffs are all released, and every attempt including failures is in the log with its error</w:t>
      </w:r>
      <w:r>
        <w:t xml:space="preserve"> </w:t>
      </w:r>
      <w:r>
        <w:t xml:space="preserve">string.</w:t>
      </w:r>
    </w:p>
    <w:p>
      <w:pPr>
        <w:pStyle w:val="Compact"/>
        <w:numPr>
          <w:ilvl w:val="0"/>
          <w:numId w:val="1025"/>
        </w:numPr>
      </w:pPr>
      <w:r>
        <w:t xml:space="preserve">On Figure 3 the reviewer is correct and we had conflated two quantities. Two of the bars were</w:t>
      </w:r>
      <w:r>
        <w:t xml:space="preserve"> </w:t>
      </w:r>
      <w:r>
        <w:t xml:space="preserve">the pilot’s HOM-HET contrast under shared and independent seeding on the same grid and model</w:t>
      </w:r>
      <w:r>
        <w:t xml:space="preserve"> </w:t>
      </w:r>
      <w:r>
        <w:t xml:space="preserve">set. The third was the confirmatory study’s within-minus-cross-run difference for HOM, which</w:t>
      </w:r>
      <w:r>
        <w:t xml:space="preserve"> </w:t>
      </w:r>
      <w:r>
        <w:t xml:space="preserve">is a residual-dependence diagnostic and not a HOM-HET contrast at all.</w:t>
      </w:r>
    </w:p>
    <w:p>
      <w:pPr>
        <w:pStyle w:val="Compact"/>
        <w:numPr>
          <w:ilvl w:val="0"/>
          <w:numId w:val="1025"/>
        </w:numPr>
      </w:pPr>
      <w:r>
        <w:t xml:space="preserve">We have done exactly what the reviewer asked. Figure 3 now contains only the two like-for-like</w:t>
      </w:r>
      <w:r>
        <w:t xml:space="preserve"> </w:t>
      </w:r>
      <w:r>
        <w:t xml:space="preserve">pilot quantities, so every bar in it measures the same estimand: Delta-kappa(HOM-HET) on the</w:t>
      </w:r>
      <w:r>
        <w:t xml:space="preserve"> </w:t>
      </w:r>
      <w:r>
        <w:t xml:space="preserve">same 8-equity pilot grid and the same model set, differing only in whether the five agents in</w:t>
      </w:r>
      <w:r>
        <w:t xml:space="preserve"> </w:t>
      </w:r>
      <w:r>
        <w:t xml:space="preserve">a cell share one seed (0.485) or draw independent seeds (0.113). The full-study</w:t>
      </w:r>
      <w:r>
        <w:t xml:space="preserve"> </w:t>
      </w:r>
      <w:r>
        <w:t xml:space="preserve">within-minus-cross-run diagnostic has been removed from the figure and is reported separately</w:t>
      </w:r>
      <w:r>
        <w:t xml:space="preserve"> </w:t>
      </w:r>
      <w:r>
        <w:t xml:space="preserve">in Table 6, where it is identified as a diagnostic rather than a contrast.</w:t>
      </w:r>
    </w:p>
    <w:p>
      <w:pPr>
        <w:pStyle w:val="Compact"/>
        <w:numPr>
          <w:ilvl w:val="0"/>
          <w:numId w:val="1025"/>
        </w:numPr>
      </w:pPr>
      <w:r>
        <w:t xml:space="preserve">An earlier revision kept all three bars and relabelled them instead. That was not what the</w:t>
      </w:r>
      <w:r>
        <w:t xml:space="preserve"> </w:t>
      </w:r>
      <w:r>
        <w:t xml:space="preserve">reviewer requested and we have not retained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Added</w:t>
      </w:r>
      <w:r>
        <w:t xml:space="preserve"> </w:t>
      </w:r>
      <w:r>
        <w:t xml:space="preserve">“Collection provenance and retry accounting”</w:t>
      </w:r>
      <w:r>
        <w:t xml:space="preserve">, reporting attempted versus successful</w:t>
      </w:r>
      <w:r>
        <w:t xml:space="preserve"> </w:t>
      </w:r>
      <w:r>
        <w:t xml:space="preserve">calls, the failure breakdown and the fixed request parameters.</w:t>
      </w:r>
    </w:p>
    <w:p>
      <w:pPr>
        <w:pStyle w:val="Compact"/>
        <w:numPr>
          <w:ilvl w:val="0"/>
          <w:numId w:val="1026"/>
        </w:numPr>
      </w:pPr>
      <w:r>
        <w:t xml:space="preserve">Reduced Figure 3 to the two like-for-like pilot bars and moved the full-study</w:t>
      </w:r>
      <w:r>
        <w:t xml:space="preserve"> </w:t>
      </w:r>
      <w:r>
        <w:t xml:space="preserve">within-minus-cross-run diagnostic to Table 6; rewrote the caption accordingly.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have run the replication, and we chose the domain to answer the two specific criticisms in</w:t>
      </w:r>
      <w:r>
        <w:t xml:space="preserve"> </w:t>
      </w:r>
      <w:r>
        <w:t xml:space="preserve">the reviewer’s sentence as well as the general one.</w:t>
      </w:r>
    </w:p>
    <w:p>
      <w:pPr>
        <w:pStyle w:val="Compact"/>
        <w:numPr>
          <w:ilvl w:val="0"/>
          <w:numId w:val="1027"/>
        </w:numPr>
      </w:pPr>
      <w:r>
        <w:t xml:space="preserve">On near-chance accuracy: chance on the new task is 25% and agents answer well above it.</w:t>
      </w:r>
    </w:p>
    <w:p>
      <w:pPr>
        <w:pStyle w:val="Compact"/>
        <w:numPr>
          <w:ilvl w:val="0"/>
          <w:numId w:val="1027"/>
        </w:numPr>
      </w:pPr>
      <w:r>
        <w:t xml:space="preserve">On label marginals: the four options are balanced by construction. The published answer key is</w:t>
      </w:r>
      <w:r>
        <w:t xml:space="preserve"> </w:t>
      </w:r>
      <w:r>
        <w:t xml:space="preserve">skewed toward one position, so choice order is shuffled deterministically per item, which we</w:t>
      </w:r>
      <w:r>
        <w:t xml:space="preserve"> </w:t>
      </w:r>
      <w:r>
        <w:t xml:space="preserve">document and release.</w:t>
      </w:r>
    </w:p>
    <w:p>
      <w:pPr>
        <w:pStyle w:val="Compact"/>
        <w:numPr>
          <w:ilvl w:val="0"/>
          <w:numId w:val="1027"/>
        </w:numPr>
      </w:pPr>
      <w:r>
        <w:t xml:space="preserve">The result is reported under Reviewer #1, Concern #3. Both pre-registered predictions hold.</w:t>
      </w:r>
    </w:p>
    <w:p>
      <w:pPr>
        <w:pStyle w:val="Compact"/>
        <w:numPr>
          <w:ilvl w:val="0"/>
          <w:numId w:val="1027"/>
        </w:numPr>
      </w:pPr>
      <w:r>
        <w:t xml:space="preserve">The comparison across the two domains is itself informative. Agreement compresses by roughly a</w:t>
      </w:r>
      <w:r>
        <w:t xml:space="preserve"> </w:t>
      </w:r>
      <w:r>
        <w:t xml:space="preserve">factor of five between domains while error correlation barely attenuates (0.393 against 0.454).</w:t>
      </w:r>
      <w:r>
        <w:t xml:space="preserve"> </w:t>
      </w:r>
      <w:r>
        <w:t xml:space="preserve">Agreement is the accuracy-sensitive quantity and error correlation the portable one, which is</w:t>
      </w:r>
      <w:r>
        <w:t xml:space="preserve"> </w:t>
      </w:r>
      <w:r>
        <w:t xml:space="preserve">why the de-correlation claim is now stated in terms of phi.</w:t>
      </w:r>
    </w:p>
    <w:p>
      <w:pPr>
        <w:pStyle w:val="Compact"/>
        <w:numPr>
          <w:ilvl w:val="0"/>
          <w:numId w:val="1027"/>
        </w:numPr>
      </w:pPr>
      <w:r>
        <w:t xml:space="preserve">We have not varied prompt format or ensemble size, and we say so. Those are the</w:t>
      </w:r>
      <w:r>
        <w:t xml:space="preserve"> </w:t>
      </w:r>
      <w:r>
        <w:t xml:space="preserve">“preferably”</w:t>
      </w:r>
      <w:r>
        <w:t xml:space="preserve"> </w:t>
      </w:r>
      <w:r>
        <w:t xml:space="preserve">items in the reviewer’s request; we judged the domain replication to be the part that bears on</w:t>
      </w:r>
      <w:r>
        <w:t xml:space="preserve"> </w:t>
      </w:r>
      <w:r>
        <w:t xml:space="preserve">generality and preferred to do one thing completely.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Added the cross-domain replication described above, with its pre-registration and freeze</w:t>
      </w:r>
      <w:r>
        <w:t xml:space="preserve"> </w:t>
      </w:r>
      <w:r>
        <w:t xml:space="preserve">receipt in the released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2026-10-02T02:22:17Z</dcterms:created>
  <dcterms:modified xsi:type="dcterms:W3CDTF">2026-10-02T02:22:17Z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