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1.51</m:t>
        </m:r>
      </m:oMath>
      <w:r>
        <w:t xml:space="preserve"> </w:t>
      </w:r>
      <w:r>
        <w:t xml:space="preserve">to</w:t>
      </w:r>
      <w:r>
        <w:t xml:space="preserve"> </w:t>
      </w:r>
      <m:oMath>
        <m:r>
          <m:t>2.35</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8"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End w:id="28"/>
    <w:bookmarkStart w:id="71"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3"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2" w:name="fig:frontier"/>
    <w:p>
      <w:pPr>
        <w:pStyle w:val="CaptionedFigure"/>
      </w:pPr>
      <w:r>
        <w:drawing>
          <wp:inline>
            <wp:extent cx="5334000" cy="3733799"/>
            <wp:effectExtent b="0" l="0" r="0" t="0"/>
            <wp:docPr descr="" title="" id="30" name="Picture"/>
            <a:graphic>
              <a:graphicData uri="http://schemas.openxmlformats.org/drawingml/2006/picture">
                <pic:pic>
                  <pic:nvPicPr>
                    <pic:cNvPr descr="fig1_frontier.png" id="31" name="Picture"/>
                    <pic:cNvPicPr>
                      <a:picLocks noChangeArrowheads="1" noChangeAspect="1"/>
                    </pic:cNvPicPr>
                  </pic:nvPicPr>
                  <pic:blipFill>
                    <a:blip r:embed="rId2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2"/>
    <w:bookmarkEnd w:id="33"/>
    <w:bookmarkStart w:id="37"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4"/>
    <w:p/>
    <w:bookmarkStart w:id="35"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5"/>
    <w:p/>
    <w:bookmarkStart w:id="36"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6"/>
    <w:bookmarkEnd w:id="37"/>
    <w:bookmarkStart w:id="38"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between labels irrespective of whether those</w:t>
      </w:r>
      <w:r>
        <w:t xml:space="preserve"> </w:t>
      </w:r>
      <w:r>
        <w:t xml:space="preserve">labels are correct. It is therefore not, by itself, a measure of correlation</w:t>
      </w:r>
      <w:r>
        <w:t xml:space="preserve"> </w:t>
      </w:r>
      <w:r>
        <w:t xml:space="preserve">between errors. Because this article’s central quantity is described as</w:t>
      </w:r>
      <w:r>
        <w:t xml:space="preserve"> </w:t>
      </w:r>
      <w:r>
        <w:t xml:space="preserve">de-correlation, we distinguish five notions that are easily conflated and report</w:t>
      </w:r>
      <w:r>
        <w:t xml:space="preserve"> </w:t>
      </w:r>
      <w:r>
        <w:t xml:space="preserve">the one the term denotes.</w:t>
      </w:r>
    </w:p>
    <w:p>
      <w:pPr>
        <w:numPr>
          <w:ilvl w:val="0"/>
          <w:numId w:val="1003"/>
        </w:numPr>
      </w:pPr>
      <w:r>
        <w:rPr>
          <w:i/>
          <w:iCs/>
        </w:rPr>
        <w:t xml:space="preserve">Output agreement</w:t>
      </w:r>
      <w:r>
        <w:t xml:space="preserve">: how often agents emit the same label. Measured by</w:t>
      </w:r>
      <w:r>
        <w:t xml:space="preserve"> </w:t>
      </w:r>
      <m:oMath>
        <m:r>
          <m:t>κ</m:t>
        </m:r>
      </m:oMath>
      <w:r>
        <w:t xml:space="preserve">; it is what the primary endpoint contrasts.</w:t>
      </w:r>
    </w:p>
    <w:p>
      <w:pPr>
        <w:numPr>
          <w:ilvl w:val="0"/>
          <w:numId w:val="1003"/>
        </w:numPr>
      </w:pPr>
      <w:r>
        <w:rPr>
          <w:i/>
          <w:iCs/>
        </w:rPr>
        <w:t xml:space="preserve">Error correlation</w:t>
      </w:r>
      <w:r>
        <w:t xml:space="preserve">: dependence between agents’</w:t>
      </w:r>
      <w:r>
        <w:t xml:space="preserve"> </w:t>
      </w:r>
      <w:r>
        <w:rPr>
          <w:i/>
          <w:iCs/>
        </w:rPr>
        <w:t xml:space="preserve">mistakes</w:t>
      </w:r>
      <w:r>
        <w:t xml:space="preserve">,</w:t>
      </w:r>
      <w:r>
        <w:t xml:space="preserve"> </w:t>
      </w:r>
      <w:r>
        <w:t xml:space="preserve">measured below by</w:t>
      </w:r>
      <w:r>
        <w:t xml:space="preserve"> </w:t>
      </w:r>
      <m:oMath>
        <m:r>
          <m:t>ϕ</m:t>
        </m:r>
      </m:oMath>
      <w:r>
        <w:t xml:space="preserve">.</w:t>
      </w:r>
    </w:p>
    <w:p>
      <w:pPr>
        <w:numPr>
          <w:ilvl w:val="0"/>
          <w:numId w:val="1003"/>
        </w:numPr>
      </w:pPr>
      <w:r>
        <w:rPr>
          <w:i/>
          <w:iCs/>
        </w:rPr>
        <w:t xml:space="preserve">Sampling independence</w:t>
      </w:r>
      <w:r>
        <w:t xml:space="preserve">: whether two draws share a random seed or a</w:t>
      </w:r>
      <w:r>
        <w:t xml:space="preserve"> </w:t>
      </w:r>
      <w:r>
        <w:t xml:space="preserve">decoding path. Addressed by the independent-draw protocol of</w:t>
      </w:r>
      <w:r>
        <w:t xml:space="preserve"> </w:t>
      </w:r>
      <w:r>
        <w:t xml:space="preserve">Section </w:t>
      </w:r>
      <w:hyperlink w:anchor="subsec:estimand">
        <w:r>
          <w:rPr>
            <w:rStyle w:val="Hyperlink"/>
          </w:rPr>
          <w:t xml:space="preserve">3.3</w:t>
        </w:r>
      </w:hyperlink>
      <w:r>
        <w:t xml:space="preserve">; it is a property of the measurement apparatus, not</w:t>
      </w:r>
      <w:r>
        <w:t xml:space="preserve"> </w:t>
      </w:r>
      <w:r>
        <w:t xml:space="preserve">of the models.</w:t>
      </w:r>
    </w:p>
    <w:p>
      <w:pPr>
        <w:numPr>
          <w:ilvl w:val="0"/>
          <w:numId w:val="1003"/>
        </w:numPr>
      </w:pPr>
      <w:r>
        <w:rPr>
          <w:i/>
          <w:iCs/>
        </w:rPr>
        <w:t xml:space="preserve">Model diversity</w:t>
      </w:r>
      <w:r>
        <w:t xml:space="preserve">: differences in weights, architecture, or training</w:t>
      </w:r>
      <w:r>
        <w:t xml:space="preserve"> </w:t>
      </w:r>
      <w:r>
        <w:t xml:space="preserve">data between the agents.</w:t>
      </w:r>
    </w:p>
    <w:p>
      <w:pPr>
        <w:numPr>
          <w:ilvl w:val="0"/>
          <w:numId w:val="1003"/>
        </w:numPr>
      </w:pPr>
      <w:r>
        <w:rPr>
          <w:i/>
          <w:iCs/>
        </w:rPr>
        <w:t xml:space="preserve">Provider diversity</w:t>
      </w:r>
      <w:r>
        <w:t xml:space="preserve">: whether agents are supplied by different</w:t>
      </w:r>
      <w:r>
        <w:t xml:space="preserve"> </w:t>
      </w:r>
      <w:r>
        <w:t xml:space="preserve">organisations. This is the factor the design varies.</w:t>
      </w:r>
    </w:p>
    <w:p>
      <w:pPr>
        <w:pStyle w:val="FirstParagraph"/>
      </w:pPr>
      <w:r>
        <w:t xml:space="preserve">To establish that heterogeneity reduces error dependence and not merely label</w:t>
      </w:r>
      <w:r>
        <w:t xml:space="preserve"> </w:t>
      </w:r>
      <w:r>
        <w:t xml:space="preserve">agreement, we compute, for every pair of agents within an ensemble cell, the</w:t>
      </w:r>
      <w:r>
        <w:t xml:space="preserve"> </w:t>
      </w:r>
      <w:r>
        <w:t xml:space="preserve">Pearson correlation</w:t>
      </w:r>
      <w:r>
        <w:t xml:space="preserve"> </w:t>
      </w:r>
      <m:oMath>
        <m:r>
          <m:t>ϕ</m:t>
        </m:r>
      </m:oMath>
      <w:r>
        <w:t xml:space="preserve"> </w:t>
      </w:r>
      <w:r>
        <w:t xml:space="preserve">between their binary error indicators against the</w:t>
      </w:r>
      <w:r>
        <w:t xml:space="preserve"> </w:t>
      </w:r>
      <w:r>
        <w:t xml:space="preserve">forward-return sign. Confidence intervals use the same equity-clustered bootstrap</w:t>
      </w:r>
      <w:r>
        <w:t xml:space="preserve"> </w:t>
      </w:r>
      <w:r>
        <w:t xml:space="preserve">as the primary endpoint.</w:t>
      </w:r>
    </w:p>
    <w:p>
      <w:pPr>
        <w:pStyle w:val="BodyText"/>
      </w:pPr>
      <w:r>
        <w:t xml:space="preserve">Error correlation falls monotonically with heterogeneity:</w:t>
      </w:r>
      <w:r>
        <w:t xml:space="preserve"> </w:t>
      </w:r>
      <m:oMath>
        <m:r>
          <m:t>ϕ</m:t>
        </m:r>
        <m:r>
          <m:rPr>
            <m:sty m:val="p"/>
          </m:rPr>
          <m:t>=</m:t>
        </m:r>
        <m:r>
          <m:t>0.984</m:t>
        </m:r>
      </m:oMath>
      <w:r>
        <w:t xml:space="preserve"> </w:t>
      </w:r>
      <w:r>
        <w:t xml:space="preserve">for</w:t>
      </w:r>
      <w:r>
        <w:t xml:space="preserve"> </w:t>
      </w:r>
      <w:r>
        <w:t xml:space="preserve">HOM,</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Because</w:t>
      </w:r>
      <w:r>
        <w:t xml:space="preserve"> </w:t>
      </w:r>
      <w:r>
        <w:t xml:space="preserve">abstentions are excluded, the scored subset differs across configurations. We</w:t>
      </w:r>
      <w:r>
        <w:t xml:space="preserve"> </w:t>
      </w:r>
      <w:r>
        <w:t xml:space="preserve">therefore repeat the calculation counting HOLD as an error, which fixes an</w:t>
      </w:r>
      <w:r>
        <w:t xml:space="preserve"> </w:t>
      </w:r>
      <w:r>
        <w:t xml:space="preserve">identical subset for every configuration and removes that selection:</w:t>
      </w:r>
      <w:r>
        <w:t xml:space="preserve"> </w:t>
      </w:r>
      <m:oMath>
        <m:r>
          <m:t>ϕ</m:t>
        </m:r>
      </m:oMath>
      <w:r>
        <w:t xml:space="preserve"> </w:t>
      </w:r>
      <w:r>
        <w:t xml:space="preserve">is</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Both</w:t>
      </w:r>
      <w:r>
        <w:t xml:space="preserve"> </w:t>
      </w:r>
      <w:r>
        <w:t xml:space="preserve">treatments give a monotone decline whose interval excludes zero, so the estimate</w:t>
      </w:r>
      <w:r>
        <w:t xml:space="preserve"> </w:t>
      </w:r>
      <w:r>
        <w:t xml:space="preserve">is bracketed rather than dependent on the treatment of abstentions.</w:t>
      </w:r>
    </w:p>
    <w:p>
      <w:pPr>
        <w:pStyle w:val="BodyText"/>
      </w:pPr>
      <w:r>
        <w:t xml:space="preserve">Two qualifications follow. Mean per-agent error rates are close across</w:t>
      </w:r>
      <w:r>
        <w:t xml:space="preserve"> </w:t>
      </w:r>
      <w:r>
        <w:t xml:space="preserve">configurations, so the decline is a change in dependence rather than a</w:t>
      </w:r>
      <w:r>
        <w:t xml:space="preserve"> </w:t>
      </w:r>
      <w:r>
        <w:t xml:space="preserve">consequence of differing accuracy. And de-correlation is partial, not complete:</w:t>
      </w:r>
      <w:r>
        <w:t xml:space="preserve"> </w:t>
      </w:r>
      <w:r>
        <w:t xml:space="preserve">heterogeneous agents still err together more often than independence would imply.</w:t>
      </w:r>
      <w:r>
        <w:t xml:space="preserve"> </w:t>
      </w:r>
      <w:r>
        <w:t xml:space="preserve">The term is used in this article in sense (2) above, and the evidence for it is</w:t>
      </w:r>
      <w:r>
        <w:t xml:space="preserve"> </w:t>
      </w:r>
      <w:r>
        <w:t xml:space="preserve">the</w:t>
      </w:r>
      <w:r>
        <w:t xml:space="preserve"> </w:t>
      </w:r>
      <m:oMath>
        <m:r>
          <m:t>ϕ</m:t>
        </m:r>
      </m:oMath>
      <w:r>
        <w:t xml:space="preserve"> </w:t>
      </w:r>
      <w:r>
        <w:t xml:space="preserve">contrast reported here rather than the</w:t>
      </w:r>
      <w:r>
        <w:t xml:space="preserve"> </w:t>
      </w:r>
      <m:oMath>
        <m:r>
          <m:t>κ</m:t>
        </m:r>
      </m:oMath>
      <w:r>
        <w:t xml:space="preserve"> </w:t>
      </w:r>
      <w:r>
        <w:t xml:space="preserve">contrast.</w:t>
      </w:r>
    </w:p>
    <w:bookmarkEnd w:id="38"/>
    <w:bookmarkStart w:id="39"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39"/>
    <w:bookmarkStart w:id="51" w:name="sec:protocol"/>
    <w:p>
      <w:pPr>
        <w:pStyle w:val="Heading2"/>
      </w:pPr>
      <w:r>
        <w:t xml:space="preserve">Shared-seed dependence and measurement validation</w:t>
      </w:r>
    </w:p>
    <w:bookmarkStart w:id="41"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0"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0"/>
    <w:bookmarkEnd w:id="41"/>
    <w:bookmarkStart w:id="42"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2"/>
    <w:bookmarkStart w:id="48"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3"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3"/>
    <w:bookmarkStart w:id="47" w:name="fig:trap"/>
    <w:p>
      <w:pPr>
        <w:pStyle w:val="CaptionedFigure"/>
      </w:pPr>
      <w:r>
        <w:drawing>
          <wp:inline>
            <wp:extent cx="5334000" cy="3733799"/>
            <wp:effectExtent b="0" l="0" r="0" t="0"/>
            <wp:docPr descr="" title="" id="45" name="Picture"/>
            <a:graphic>
              <a:graphicData uri="http://schemas.openxmlformats.org/drawingml/2006/picture">
                <pic:pic>
                  <pic:nvPicPr>
                    <pic:cNvPr descr="fig2_protocol.png" id="46" name="Picture"/>
                    <pic:cNvPicPr>
                      <a:picLocks noChangeArrowheads="1" noChangeAspect="1"/>
                    </pic:cNvPicPr>
                  </pic:nvPicPr>
                  <pic:blipFill>
                    <a:blip r:embed="rId44"/>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7"/>
    <w:bookmarkEnd w:id="48"/>
    <w:bookmarkStart w:id="49" w:name="sensitivity-agreement-by-pair-type"/>
    <w:p>
      <w:pPr>
        <w:pStyle w:val="Heading4"/>
      </w:pPr>
      <w:r>
        <w:t xml:space="preserve">Sensitivity: agreement by pair type</w:t>
      </w:r>
    </w:p>
    <w:p>
      <w:pPr>
        <w:pStyle w:val="FirstParagraph"/>
      </w:pPr>
      <w:r>
        <w:t xml:space="preserve">The diagnostic above is strongest for HOM, where all five agents share a model,</w:t>
      </w:r>
      <w:r>
        <w:t xml:space="preserve"> </w:t>
      </w:r>
      <w:r>
        <w:t xml:space="preserve">and the heterogeneous cross-run comparison is confounded because pooling across</w:t>
      </w:r>
      <w:r>
        <w:t xml:space="preserve"> </w:t>
      </w:r>
      <w:r>
        <w:t xml:space="preserve">runs adds further draws from the same models. We therefore decompose pairwise</w:t>
      </w:r>
      <w:r>
        <w:t xml:space="preserve"> </w:t>
      </w:r>
      <w:r>
        <w:t xml:space="preserve">agreement by whether the two agents share a model. Same-model pairs agree at</w:t>
      </w:r>
      <w:r>
        <w:t xml:space="preserve"> </w:t>
      </w:r>
      <w:r>
        <w:t xml:space="preserve">0.800 in HOM, 0.794 in HET-LITE, and 0.862 in HET, whereas different-model</w:t>
      </w:r>
      <w:r>
        <w:t xml:space="preserve"> </w:t>
      </w:r>
      <w:r>
        <w:t xml:space="preserve">pairs agree at 0.455 and 0.490 respectively. Same-model agreement is stable</w:t>
      </w:r>
      <w:r>
        <w:t xml:space="preserve"> </w:t>
      </w:r>
      <w:r>
        <w:t xml:space="preserve">across configurations, so the fall in</w:t>
      </w:r>
      <w:r>
        <w:t xml:space="preserve"> </w:t>
      </w:r>
      <m:oMath>
        <m:r>
          <m:t>κ</m:t>
        </m:r>
      </m:oMath>
      <w:r>
        <w:t xml:space="preserve"> </w:t>
      </w:r>
      <w:r>
        <w:t xml:space="preserve">with heterogeneity is driven by</w:t>
      </w:r>
      <w:r>
        <w:t xml:space="preserve"> </w:t>
      </w:r>
      <w:r>
        <w:t xml:space="preserve">the introduction of different-model pairs rather than by any change in how</w:t>
      </w:r>
      <w:r>
        <w:t xml:space="preserve"> </w:t>
      </w:r>
      <w:r>
        <w:t xml:space="preserve">same-model pairs behave. This is a sensitivity analysis on the frozen data, not</w:t>
      </w:r>
      <w:r>
        <w:t xml:space="preserve"> </w:t>
      </w:r>
      <w:r>
        <w:t xml:space="preserve">an additional verification of seed support, which the provider APIs do not</w:t>
      </w:r>
      <w:r>
        <w:t xml:space="preserve"> </w:t>
      </w:r>
      <w:r>
        <w:t xml:space="preserve">expose.</w:t>
      </w:r>
    </w:p>
    <w:bookmarkEnd w:id="49"/>
    <w:bookmarkStart w:id="50" w:name="X1ebcf1bbc8ffb8a5c3670468c95fcdb4423b518"/>
    <w:p>
      <w:pPr>
        <w:pStyle w:val="Heading4"/>
      </w:pPr>
      <w:r>
        <w:t xml:space="preserve">What unique seeds do and do not establish</w:t>
      </w:r>
    </w:p>
    <w:p>
      <w:pPr>
        <w:pStyle w:val="FirstParagraph"/>
      </w:pPr>
      <w:r>
        <w:t xml:space="preserve">A distinct seed per agent removes one specific artifact: identical sampling</w:t>
      </w:r>
      <w:r>
        <w:t xml:space="preserve"> </w:t>
      </w:r>
      <w:r>
        <w:t xml:space="preserve">trajectories arising from a shared seed. It does not establish statistical</w:t>
      </w:r>
      <w:r>
        <w:t xml:space="preserve"> </w:t>
      </w:r>
      <w:r>
        <w:t xml:space="preserve">independence of the responses. Commercial inference stacks do not guarantee</w:t>
      </w:r>
      <w:r>
        <w:t xml:space="preserve"> </w:t>
      </w:r>
      <w:r>
        <w:t xml:space="preserve">bitwise-reproducible outputs for a fixed seed, because floating-point reduction</w:t>
      </w:r>
      <w:r>
        <w:t xml:space="preserve"> </w:t>
      </w:r>
      <w:r>
        <w:t xml:space="preserve">order varies with kernel selection and batch composition, and providers may</w:t>
      </w:r>
      <w:r>
        <w:t xml:space="preserve"> </w:t>
      </w:r>
      <w:r>
        <w:t xml:space="preserve">change serving configurations without notice. Seed support is therefore</w:t>
      </w:r>
      <w:r>
        <w:t xml:space="preserve"> </w:t>
      </w:r>
      <w:r>
        <w:t xml:space="preserve">best-effort and is treated in this article as a control against one known</w:t>
      </w:r>
      <w:r>
        <w:t xml:space="preserve"> </w:t>
      </w:r>
      <w:r>
        <w:t xml:space="preserve">dependence mechanism, not as a proof of independence.</w:t>
      </w:r>
    </w:p>
    <w:bookmarkEnd w:id="50"/>
    <w:bookmarkEnd w:id="51"/>
    <w:bookmarkStart w:id="56"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5" w:name="fig:provider"/>
    <w:p>
      <w:pPr>
        <w:pStyle w:val="CaptionedFigure"/>
      </w:pPr>
      <w:r>
        <w:drawing>
          <wp:inline>
            <wp:extent cx="4389120" cy="3840479"/>
            <wp:effectExtent b="0" l="0" r="0" t="0"/>
            <wp:docPr descr="" title="" id="53" name="Picture"/>
            <a:graphic>
              <a:graphicData uri="http://schemas.openxmlformats.org/drawingml/2006/picture">
                <pic:pic>
                  <pic:nvPicPr>
                    <pic:cNvPr descr="fig3_provider_heatmap.png" id="54" name="Picture"/>
                    <pic:cNvPicPr>
                      <a:picLocks noChangeArrowheads="1" noChangeAspect="1"/>
                    </pic:cNvPicPr>
                  </pic:nvPicPr>
                  <pic:blipFill>
                    <a:blip r:embed="rId52"/>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5"/>
    <w:bookmarkEnd w:id="56"/>
    <w:bookmarkStart w:id="58"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7"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7"/>
    <w:bookmarkEnd w:id="58"/>
    <w:bookmarkStart w:id="64"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this ratio, which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59"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59"/>
    <w:bookmarkStart w:id="63" w:name="fig:cal"/>
    <w:p>
      <w:pPr>
        <w:pStyle w:val="CaptionedFigure"/>
      </w:pPr>
      <w:r>
        <w:drawing>
          <wp:inline>
            <wp:extent cx="4572000" cy="2926080"/>
            <wp:effectExtent b="0" l="0" r="0" t="0"/>
            <wp:docPr descr="" title="" id="61" name="Picture"/>
            <a:graphic>
              <a:graphicData uri="http://schemas.openxmlformats.org/drawingml/2006/picture">
                <pic:pic>
                  <pic:nvPicPr>
                    <pic:cNvPr descr="fig5_calibration.png" id="62" name="Picture"/>
                    <pic:cNvPicPr>
                      <a:picLocks noChangeArrowheads="1" noChangeAspect="1"/>
                    </pic:cNvPicPr>
                  </pic:nvPicPr>
                  <pic:blipFill>
                    <a:blip r:embed="rId60"/>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3"/>
    <w:bookmarkEnd w:id="64"/>
    <w:bookmarkStart w:id="66" w:name="subsec:crossdomain"/>
    <w:p>
      <w:pPr>
        <w:pStyle w:val="Heading2"/>
      </w:pPr>
      <w:r>
        <w:t xml:space="preserve">Cross-domain replication: clinical decisions</w:t>
      </w:r>
    </w:p>
    <w:p>
      <w:pPr>
        <w:pStyle w:val="FirstParagraph"/>
      </w:pPr>
      <w:r>
        <w:t xml:space="preserve">The confirmatory study measures one financial task. To test whether the effect is</w:t>
      </w:r>
      <w:r>
        <w:t xml:space="preserve"> </w:t>
      </w:r>
      <w:r>
        <w:t xml:space="preserve">a property of that task, the entire protocol was repeated on a domain chosen to</w:t>
      </w:r>
      <w:r>
        <w:t xml:space="preserve"> </w:t>
      </w:r>
      <w:r>
        <w:t xml:space="preserve">be as unlike it as possible: expert clinical decision-making. Items are the</w:t>
      </w:r>
      <w:r>
        <w:t xml:space="preserve"> </w:t>
      </w:r>
      <w:r>
        <w:t xml:space="preserve">MMLU professional-medicine and clinical-knowledge subsets (MIT licence, no</w:t>
      </w:r>
      <w:r>
        <w:t xml:space="preserve"> </w:t>
      </w:r>
      <w:r>
        <w:t xml:space="preserve">personal data), 537 four-option questions with a single correct answer.</w:t>
      </w:r>
      <w:r>
        <w:t xml:space="preserve"> </w:t>
      </w:r>
      <w:r>
        <w:t xml:space="preserve">Choice order is shuffled deterministically per item, because the published answer</w:t>
      </w:r>
      <w:r>
        <w:t xml:space="preserve"> </w:t>
      </w:r>
      <w:r>
        <w:t xml:space="preserve">key is skewed toward one position and a model could otherwise beat chance on</w:t>
      </w:r>
      <w:r>
        <w:t xml:space="preserve"> </w:t>
      </w:r>
      <w:r>
        <w:t xml:space="preserve">position alone. The five agents, three configurations, per-agent independent-draw</w:t>
      </w:r>
      <w:r>
        <w:t xml:space="preserve"> </w:t>
      </w:r>
      <w:r>
        <w:t xml:space="preserve">seeding, temperature, number of runs, and estimators are unchanged; only the</w:t>
      </w:r>
      <w:r>
        <w:t xml:space="preserve"> </w:t>
      </w:r>
      <w:r>
        <w:t xml:space="preserve">domain differs, so any change in the endpoint is attributable to domain rather</w:t>
      </w:r>
      <w:r>
        <w:t xml:space="preserve"> </w:t>
      </w:r>
      <w:r>
        <w:t xml:space="preserve">than to a redesign. The design, the predicted direction, and the decision rule</w:t>
      </w:r>
      <w:r>
        <w:t xml:space="preserve"> </w:t>
      </w:r>
      <w:r>
        <w:t xml:space="preserve">were registered before collection.</w:t>
      </w:r>
    </w:p>
    <w:p>
      <w:pPr>
        <w:pStyle w:val="BodyText"/>
      </w:pPr>
      <w:r>
        <w:t xml:space="preserve">The prediction was that the effect would replicate in direction but be</w:t>
      </w:r>
      <w:r>
        <w:t xml:space="preserve"> </w:t>
      </w:r>
      <w:r>
        <w:rPr>
          <w:i/>
          <w:iCs/>
        </w:rPr>
        <w:t xml:space="preserve">smaller</w:t>
      </w:r>
      <w:r>
        <w:t xml:space="preserve"> </w:t>
      </w:r>
      <w:r>
        <w:t xml:space="preserve">than in finance, because agents answer these items far more</w:t>
      </w:r>
      <w:r>
        <w:t xml:space="preserve"> </w:t>
      </w:r>
      <w:r>
        <w:t xml:space="preserve">accurately and agents that are more often correct necessarily agree more. Both</w:t>
      </w:r>
      <w:r>
        <w:t xml:space="preserve"> </w:t>
      </w:r>
      <w:r>
        <w:t xml:space="preserve">parts hold. Agreement falls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w:t>
      </w:r>
      <w:r>
        <w:t xml:space="preserve"> </w:t>
      </w:r>
      <w:r>
        <w:t xml:space="preserve">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w:t>
      </w:r>
      <w:r>
        <w:t xml:space="preserve"> </w:t>
      </w:r>
      <w:r>
        <w:t xml:space="preserve">roughly a fifth of the financial estimate of</w:t>
      </w:r>
      <w:r>
        <w:t xml:space="preserve"> </w:t>
      </w:r>
      <m:oMath>
        <m:r>
          <m:t>0.336</m:t>
        </m:r>
      </m:oMath>
      <w:r>
        <w:t xml:space="preserve">. Error correlation, by</w:t>
      </w:r>
      <w:r>
        <w:t xml:space="preserve"> </w:t>
      </w:r>
      <w:r>
        <w:t xml:space="preserve">contrast, barely attenuates:</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against</w:t>
      </w:r>
      <w:r>
        <w:t xml:space="preserve"> </w:t>
      </w:r>
      <m:oMath>
        <m:r>
          <m:t>0.454</m:t>
        </m:r>
      </m:oMath>
      <w:r>
        <w:t xml:space="preserve"> </w:t>
      </w:r>
      <w:r>
        <w:t xml:space="preserve">in finance. Agreement is thus the</w:t>
      </w:r>
      <w:r>
        <w:t xml:space="preserve"> </w:t>
      </w:r>
      <w:r>
        <w:t xml:space="preserve">accuracy-sensitive quantity and error correlation the portable one, which is why</w:t>
      </w:r>
      <w:r>
        <w:t xml:space="preserve"> </w:t>
      </w:r>
      <w:r>
        <w:t xml:space="preserve">the de-correlation claim of Section </w:t>
      </w:r>
      <w:hyperlink w:anchor="subsec:errcorr">
        <w:r>
          <w:rPr>
            <w:rStyle w:val="Hyperlink"/>
          </w:rPr>
          <w:t xml:space="preserve">5.3</w:t>
        </w:r>
      </w:hyperlink>
      <w:r>
        <w:t xml:space="preserve"> </w:t>
      </w:r>
      <w:r>
        <w:t xml:space="preserve">is stated in terms of</w:t>
      </w:r>
      <w:r>
        <w:t xml:space="preserve"> </w:t>
      </w:r>
      <m:oMath>
        <m:r>
          <m:t>ϕ</m:t>
        </m:r>
      </m:oMath>
      <w:r>
        <w:t xml:space="preserve">.</w:t>
      </w:r>
    </w:p>
    <w:p>
      <w:pPr>
        <w:pStyle w:val="BodyText"/>
      </w:pPr>
      <w:r>
        <w:t xml:space="preserve">Because the three providers are not capability-matched on this domain — the two</w:t>
      </w:r>
      <w:r>
        <w:t xml:space="preserve"> </w:t>
      </w:r>
      <w:r>
        <w:t xml:space="preserve">non-OpenAI models answer these items more accurately — the pooled contrast</w:t>
      </w:r>
      <w:r>
        <w:t xml:space="preserve"> </w:t>
      </w:r>
      <w:r>
        <w:t xml:space="preserve">confounds provider with capability. The design admits a direct test. Within the</w:t>
      </w:r>
      <w:r>
        <w:t xml:space="preserve"> </w:t>
      </w:r>
      <w:r>
        <w:t xml:space="preserve">fully heterogeneous configuration, agent pairs drawn from the same provider can</w:t>
      </w:r>
      <w:r>
        <w:t xml:space="preserve"> </w:t>
      </w:r>
      <w:r>
        <w:t xml:space="preserve">be compared with pairs drawn from different providers while holding the item set</w:t>
      </w:r>
      <w:r>
        <w:t xml:space="preserve"> </w:t>
      </w:r>
      <w:r>
        <w:t xml:space="preserve">and the ensemble composition fixed; and among those, one same-provider and one</w:t>
      </w:r>
      <w:r>
        <w:t xml:space="preserve"> </w:t>
      </w:r>
      <w:r>
        <w:t xml:space="preserve">cross-provider pairing have near-identical member accuracy</w:t>
      </w:r>
      <w:r>
        <w:t xml:space="preserve"> </w:t>
      </w:r>
      <w:r>
        <w:t xml:space="preserve">(</w:t>
      </w:r>
      <m:oMath>
        <m:r>
          <m:t>0.951</m:t>
        </m:r>
      </m:oMath>
      <w:r>
        <w:t xml:space="preserve"> </w:t>
      </w:r>
      <w:r>
        <w:t xml:space="preserve">and</w:t>
      </w:r>
      <w:r>
        <w:t xml:space="preserve"> </w:t>
      </w:r>
      <m:oMath>
        <m:r>
          <m:t>0.955</m:t>
        </m:r>
      </m:oMath>
      <w:r>
        <w:t xml:space="preserve">). For that capability-matched contrast, error correlation</w:t>
      </w:r>
      <w:r>
        <w:t xml:space="preserve"> </w:t>
      </w:r>
      <w:r>
        <w:t xml:space="preserve">is</w:t>
      </w:r>
      <w:r>
        <w:t xml:space="preserve"> </w:t>
      </w:r>
      <m:oMath>
        <m:r>
          <m:t>0.954</m:t>
        </m:r>
      </m:oMath>
      <w:r>
        <w:t xml:space="preserve"> </w:t>
      </w:r>
      <w:r>
        <w:t xml:space="preserve">within a provider and</w:t>
      </w:r>
      <w:r>
        <w:t xml:space="preserve"> </w:t>
      </w:r>
      <m:oMath>
        <m:r>
          <m:t>0.607</m:t>
        </m:r>
      </m:oMath>
      <w:r>
        <w:t xml:space="preserve"> </w:t>
      </w:r>
      <w:r>
        <w:t xml:space="preserve">across providers,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Every same-provider pairing shows</w:t>
      </w:r>
      <w:r>
        <w:t xml:space="preserve"> </w:t>
      </w:r>
      <w:r>
        <w:t xml:space="preserve">higher error correlation than every cross-provider pairing, at both accuracy</w:t>
      </w:r>
      <w:r>
        <w:t xml:space="preserve"> </w:t>
      </w:r>
      <w:r>
        <w:t xml:space="preserve">levels present in the ensemble. The provider-associated ordering therefore</w:t>
      </w:r>
      <w:r>
        <w:t xml:space="preserve"> </w:t>
      </w:r>
      <w:r>
        <w:t xml:space="preserve">persists after approximate capability matching, although provider cannot be</w:t>
      </w:r>
      <w:r>
        <w:t xml:space="preserve"> </w:t>
      </w:r>
      <w:r>
        <w:t xml:space="preserve">isolated causally from other model-specific characteristics.</w:t>
      </w:r>
    </w:p>
    <w:p>
      <w:pPr>
        <w:pStyle w:val="BodyText"/>
      </w:pPr>
      <w:r>
        <w:t xml:space="preserve">This arm is a replication of the mechanism on a second domain; it is not a claim</w:t>
      </w:r>
      <w:r>
        <w:t xml:space="preserve"> </w:t>
      </w:r>
      <w:r>
        <w:t xml:space="preserve">that heterogeneity improves accuracy. Per-agent accuracy is unchanged by</w:t>
      </w:r>
      <w:r>
        <w:t xml:space="preserve"> </w:t>
      </w:r>
      <w:r>
        <w:t xml:space="preserve">configuration in these data, and the rise in ensemble accuracy across</w:t>
      </w:r>
      <w:r>
        <w:t xml:space="preserve"> </w:t>
      </w:r>
      <w:r>
        <w:t xml:space="preserve">configurations is attributable to the inclusion of individually stronger models.</w:t>
      </w:r>
    </w:p>
    <w:bookmarkStart w:id="65" w:name="selective-prediction"/>
    <w:p>
      <w:pPr>
        <w:pStyle w:val="Heading4"/>
      </w:pPr>
      <w:r>
        <w:t xml:space="preserve">Selective prediction</w:t>
      </w:r>
    </w:p>
    <w:p>
      <w:pPr>
        <w:pStyle w:val="FirstParagraph"/>
      </w:pPr>
      <w:r>
        <w:t xml:space="preserve">Reduced agreement is only valuable if it buys something downstream. Because</w:t>
      </w:r>
      <w:r>
        <w:t xml:space="preserve"> </w:t>
      </w:r>
      <w:r>
        <w:t xml:space="preserve">directional accuracy is measured on differing subsets once HOLD is treated as an</w:t>
      </w:r>
      <w:r>
        <w:t xml:space="preserve"> </w:t>
      </w:r>
      <w:r>
        <w:t xml:space="preserve">abstention, marginal hit-rates with overlapping intervals are not an adequate</w:t>
      </w:r>
      <w:r>
        <w:t xml:space="preserve"> </w:t>
      </w:r>
      <w:r>
        <w:t xml:space="preserve">basis for comparison. We therefore report a selective-prediction analysis:</w:t>
      </w:r>
      <w:r>
        <w:t xml:space="preserve"> </w:t>
      </w:r>
      <w:r>
        <w:t xml:space="preserve">ensemble decisions are ranked by mean agent conviction, coverage is swept from</w:t>
      </w:r>
      <w:r>
        <w:t xml:space="preserve"> </w:t>
      </w:r>
      <w:r>
        <w:t xml:space="preserve">the most confident decision to the full set, and selective risk is the error rate</w:t>
      </w:r>
      <w:r>
        <w:t xml:space="preserve"> </w:t>
      </w:r>
      <w:r>
        <w:t xml:space="preserve">among decisions retained at each coverage level. Summarising the curve by the</w:t>
      </w:r>
      <w:r>
        <w:t xml:space="preserve"> </w:t>
      </w:r>
      <w:r>
        <w:t xml:space="preserve">area under it (AURC, lower is better), the three configurations are</w:t>
      </w:r>
      <w:r>
        <w:t xml:space="preserve"> </w:t>
      </w:r>
      <w:r>
        <w:t xml:space="preserve">0.553 for HOM, 0.568 for HET-LITE, and 0.554 for HET. The HOM</w:t>
      </w:r>
      <m:oMath>
        <m:r>
          <m:rPr>
            <m:sty m:val="p"/>
          </m:rPr>
          <m:t>−</m:t>
        </m:r>
      </m:oMath>
      <w:r>
        <w:t xml:space="preserve">HET difference</w:t>
      </w:r>
      <w:r>
        <w:t xml:space="preserve"> </w:t>
      </w:r>
      <w:r>
        <w:t xml:space="preserve">in AURC, from the same paired equity-clustered bootstrap,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interval contains zero, so these data do not establish</w:t>
      </w:r>
      <w:r>
        <w:t xml:space="preserve"> </w:t>
      </w:r>
      <w:r>
        <w:t xml:space="preserve">a difference in selective-prediction quality between the two configurations. The</w:t>
      </w:r>
      <w:r>
        <w:t xml:space="preserve"> </w:t>
      </w:r>
      <w:r>
        <w:t xml:space="preserve">two-way interval,</w:t>
      </w:r>
      <w:r>
        <w:t xml:space="preserve"> </w:t>
      </w:r>
      <m:oMath>
        <m:r>
          <m:rPr>
            <m:sty m:val="p"/>
          </m:rPr>
          <m:t>[</m:t>
        </m:r>
        <m:r>
          <m:rPr>
            <m:sty m:val="p"/>
          </m:rPr>
          <m:t>−</m:t>
        </m:r>
        <m:r>
          <m:t>0.113</m:t>
        </m:r>
        <m:r>
          <m:rPr>
            <m:sty m:val="p"/>
          </m:rPr>
          <m:t>,</m:t>
        </m:r>
        <m:r>
          <m:t> </m:t>
        </m:r>
        <m:r>
          <m:t>0.115</m:t>
        </m:r>
        <m:r>
          <m:rPr>
            <m:sty m:val="p"/>
          </m:rPr>
          <m:t>]</m:t>
        </m:r>
      </m:oMath>
      <w:r>
        <w:t xml:space="preserve">, is wider and likewise contains zero.</w:t>
      </w:r>
      <w:r>
        <w:t xml:space="preserve"> </w:t>
      </w:r>
      <w:r>
        <w:t xml:space="preserve">These values stand against</w:t>
      </w:r>
      <w:r>
        <w:t xml:space="preserve"> </w:t>
      </w:r>
      <w:r>
        <w:t xml:space="preserve">full-coverage risks of 0.562, 0.537, and 0.512. Restricting to the most</w:t>
      </w:r>
      <w:r>
        <w:t xml:space="preserve"> </w:t>
      </w:r>
      <w:r>
        <w:t xml:space="preserve">confident half of decisions does not materially reduce selective risk in any</w:t>
      </w:r>
      <w:r>
        <w:t xml:space="preserve"> </w:t>
      </w:r>
      <w:r>
        <w:t xml:space="preserve">configuration. Conviction, as elicited here, does not rank errors usefully, and</w:t>
      </w:r>
      <w:r>
        <w:t xml:space="preserve"> </w:t>
      </w:r>
      <w:r>
        <w:t xml:space="preserve">we therefore do not claim a calibration or abstention benefit from</w:t>
      </w:r>
      <w:r>
        <w:t xml:space="preserve"> </w:t>
      </w:r>
      <w:r>
        <w:t xml:space="preserve">heterogeneity. The agreement–cost frontier of</w:t>
      </w:r>
      <w:r>
        <w:t xml:space="preserve"> </w:t>
      </w:r>
      <w:r>
        <w:t xml:space="preserve">Section </w:t>
      </w:r>
      <w:hyperlink w:anchor="subsec:frontier">
        <w:r>
          <w:rPr>
            <w:rStyle w:val="Hyperlink"/>
          </w:rPr>
          <w:t xml:space="preserve">5.4</w:t>
        </w:r>
      </w:hyperlink>
      <w:r>
        <w:t xml:space="preserve"> </w:t>
      </w:r>
      <w:r>
        <w:t xml:space="preserve">is reported as a description of what diversity</w:t>
      </w:r>
      <w:r>
        <w:t xml:space="preserve"> </w:t>
      </w:r>
      <w:r>
        <w:t xml:space="preserve">costs, not as evidence that it improves decision quality.</w:t>
      </w:r>
    </w:p>
    <w:bookmarkEnd w:id="65"/>
    <w:bookmarkEnd w:id="66"/>
    <w:bookmarkStart w:id="67"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7"/>
    <w:bookmarkStart w:id="69"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8"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8"/>
    <w:bookmarkEnd w:id="69"/>
    <w:bookmarkStart w:id="70" w:name="X7bd62297a2166cd7adc4d4882931d087dd0a9ab"/>
    <w:p>
      <w:pPr>
        <w:pStyle w:val="Heading2"/>
      </w:pPr>
      <w:r>
        <w:t xml:space="preserve">Relation to state-of-the-art ensemble methods</w:t>
      </w:r>
    </w:p>
    <w:p>
      <w:pPr>
        <w:pStyle w:val="FirstParagraph"/>
      </w:pPr>
      <w:r>
        <w:t xml:space="preserve">This article does not propose an ensemble method and therefore does not report a</w:t>
      </w:r>
      <w:r>
        <w:t xml:space="preserve"> </w:t>
      </w:r>
      <w:r>
        <w:t xml:space="preserve">head-to-head benchmark against one. Methods such as mixture-of-agents, multi-agent</w:t>
      </w:r>
      <w:r>
        <w:t xml:space="preserve"> </w:t>
      </w:r>
      <w:r>
        <w:t xml:space="preserve">debate, and diversity-maximising ensemble selection are evaluated on task</w:t>
      </w:r>
      <w:r>
        <w:t xml:space="preserve"> </w:t>
      </w:r>
      <w:r>
        <w:t xml:space="preserve">performance: the comparison that matters for them is accuracy or win-rate against</w:t>
      </w:r>
      <w:r>
        <w:t xml:space="preserve"> </w:t>
      </w:r>
      <w:r>
        <w:t xml:space="preserve">a baseline on a shared benchmark </w:t>
      </w:r>
      <w:r>
        <w:t xml:space="preserve">(Wang et al. 2024; Du et al. 2023; Tekin et al. 2024)</w:t>
      </w:r>
      <w:r>
        <w:t xml:space="preserve">. The</w:t>
      </w:r>
      <w:r>
        <w:t xml:space="preserve"> </w:t>
      </w:r>
      <w:r>
        <w:t xml:space="preserve">object of study here is different. We measure how much genuine behavioral</w:t>
      </w:r>
      <w:r>
        <w:t xml:space="preserve"> </w:t>
      </w:r>
      <w:r>
        <w:t xml:space="preserve">de-correlation a given ensemble composition buys and what it costs, holding the</w:t>
      </w:r>
      <w:r>
        <w:t xml:space="preserve"> </w:t>
      </w:r>
      <w:r>
        <w:t xml:space="preserve">task, prompt, and information set fixed. Accuracy is a secondary axis, and the</w:t>
      </w:r>
      <w:r>
        <w:t xml:space="preserve"> </w:t>
      </w:r>
      <w:r>
        <w:t xml:space="preserve">study is not powered for it.</w:t>
      </w:r>
    </w:p>
    <w:p>
      <w:pPr>
        <w:pStyle w:val="BodyText"/>
      </w:pPr>
      <w:r>
        <w:t xml:space="preserve">A fair comparison is therefore one of measurement rather than of performance.</w:t>
      </w:r>
      <w:r>
        <w:t xml:space="preserve"> </w:t>
      </w:r>
      <w:r>
        <w:t xml:space="preserve">Prior work that reports ensemble diversity typically does so with a single</w:t>
      </w:r>
      <w:r>
        <w:t xml:space="preserve"> </w:t>
      </w:r>
      <w:r>
        <w:t xml:space="preserve">agreement or diversity index computed on pooled outputs, without separating</w:t>
      </w:r>
      <w:r>
        <w:t xml:space="preserve"> </w:t>
      </w:r>
      <w:r>
        <w:t xml:space="preserve">agreement from error correlation, without an independent-draw protocol, and</w:t>
      </w:r>
      <w:r>
        <w:t xml:space="preserve"> </w:t>
      </w:r>
      <w:r>
        <w:t xml:space="preserve">without interval estimates. Section </w:t>
      </w:r>
      <w:hyperlink w:anchor="subsec:errcorr">
        <w:r>
          <w:rPr>
            <w:rStyle w:val="Hyperlink"/>
          </w:rPr>
          <w:t xml:space="preserve">5.3</w:t>
        </w:r>
      </w:hyperlink>
      <w:r>
        <w:t xml:space="preserve"> </w:t>
      </w:r>
      <w:r>
        <w:t xml:space="preserve">shows that the first of</w:t>
      </w:r>
      <w:r>
        <w:t xml:space="preserve"> </w:t>
      </w:r>
      <w:r>
        <w:t xml:space="preserve">these distinctions changes the interpretation, Section </w:t>
      </w:r>
      <w:hyperlink w:anchor="subsec:estimand">
        <w:r>
          <w:rPr>
            <w:rStyle w:val="Hyperlink"/>
          </w:rPr>
          <w:t xml:space="preserve">3.3</w:t>
        </w:r>
      </w:hyperlink>
      <w:r>
        <w:t xml:space="preserve"> </w:t>
      </w:r>
      <w:r>
        <w:t xml:space="preserve">shows that the second changes the estimate by roughly fourfold in our pilot, and</w:t>
      </w:r>
      <w:r>
        <w:t xml:space="preserve"> </w:t>
      </w:r>
      <w:r>
        <w:t xml:space="preserve">the intervals reported throughout show that the third determines whether a</w:t>
      </w:r>
      <w:r>
        <w:t xml:space="preserve"> </w:t>
      </w:r>
      <w:r>
        <w:t xml:space="preserve">reported difference is resolvable at all. The contribution is that measurement</w:t>
      </w:r>
      <w:r>
        <w:t xml:space="preserve"> </w:t>
      </w:r>
      <w:r>
        <w:t xml:space="preserve">protocol and the frontier it makes it possible to state, not a competitor to the</w:t>
      </w:r>
      <w:r>
        <w:t xml:space="preserve"> </w:t>
      </w:r>
      <w:r>
        <w:t xml:space="preserve">methods above.</w:t>
      </w:r>
    </w:p>
    <w:bookmarkEnd w:id="70"/>
    <w:bookmarkEnd w:id="71"/>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Start w:id="72" w:name="subsec:provenance"/>
    <w:p>
      <w:pPr>
        <w:pStyle w:val="Heading2"/>
      </w:pPr>
      <w:r>
        <w:t xml:space="preserve">Collection provenance and retry accounting</w:t>
      </w:r>
    </w:p>
    <w:p>
      <w:pPr>
        <w:pStyle w:val="FirstParagraph"/>
      </w:pPr>
      <w:r>
        <w:t xml:space="preserve">The confirmatory grid comprises 54</w:t>
      </w:r>
      <w:r>
        <w:t xml:space="preserve">,</w:t>
      </w:r>
      <w:r>
        <w:t xml:space="preserve">000 planned calls, all of which returned a</w:t>
      </w:r>
      <w:r>
        <w:t xml:space="preserve"> </w:t>
      </w:r>
      <w:r>
        <w:t xml:space="preserve">valid response. Reaching them required 94</w:t>
      </w:r>
      <w:r>
        <w:t xml:space="preserve">,</w:t>
      </w:r>
      <w:r>
        <w:t xml:space="preserve">566 API requests: 40</w:t>
      </w:r>
      <w:r>
        <w:t xml:space="preserve">,</w:t>
      </w:r>
      <w:r>
        <w:t xml:space="preserve">566 requests</w:t>
      </w:r>
      <w:r>
        <w:t xml:space="preserve"> </w:t>
      </w:r>
      <w:r>
        <w:t xml:space="preserve">did not return a usable completion and were retried, up to six attempts per slot.</w:t>
      </w:r>
      <w:r>
        <w:t xml:space="preserve"> </w:t>
      </w:r>
      <w:r>
        <w:t xml:space="preserve">Of those unsuccessful requests, 40</w:t>
      </w:r>
      <w:r>
        <w:t xml:space="preserve">,</w:t>
      </w:r>
      <w:r>
        <w:t xml:space="preserve">544 were provider rate-limit or quota</w:t>
      </w:r>
      <w:r>
        <w:t xml:space="preserve"> </w:t>
      </w:r>
      <w:r>
        <w:t xml:space="preserve">responses and 22 were transport or schema failures. A rate-limited request is</w:t>
      </w:r>
      <w:r>
        <w:t xml:space="preserve"> </w:t>
      </w:r>
      <w:r>
        <w:t xml:space="preserve">rejected before the model is invoked and returns no content, so retrying it</w:t>
      </w:r>
      <w:r>
        <w:t xml:space="preserve"> </w:t>
      </w:r>
      <w:r>
        <w:t xml:space="preserve">cannot select on the response; the completed grid is therefore the full</w:t>
      </w:r>
      <w:r>
        <w:t xml:space="preserve"> </w:t>
      </w:r>
      <w:r>
        <w:t xml:space="preserve">pre-registered design rather than a subset surviving a content filter. Every</w:t>
      </w:r>
      <w:r>
        <w:t xml:space="preserve"> </w:t>
      </w:r>
      <w:r>
        <w:t xml:space="preserve">attempt, successful or not, is recorded in the released log with its error</w:t>
      </w:r>
      <w:r>
        <w:t xml:space="preserve"> </w:t>
      </w:r>
      <w:r>
        <w:t xml:space="preserve">string, so the accounting can be reconstructed independently.</w:t>
      </w:r>
    </w:p>
    <w:p>
      <w:pPr>
        <w:pStyle w:val="BodyText"/>
      </w:pPr>
      <w:r>
        <w:t xml:space="preserve">Request parameters are fixed across configurations and recorded in the released</w:t>
      </w:r>
      <w:r>
        <w:t xml:space="preserve"> </w:t>
      </w:r>
      <w:r>
        <w:t xml:space="preserve">configuration: temperature</w:t>
      </w:r>
      <w:r>
        <w:t xml:space="preserve"> </w:t>
      </w:r>
      <m:oMath>
        <m:r>
          <m:t>0.7</m:t>
        </m:r>
      </m:oMath>
      <w:r>
        <w:t xml:space="preserve">, a per-agent seed derived from the run seed, a</w:t>
      </w:r>
      <w:r>
        <w:t xml:space="preserve"> </w:t>
      </w:r>
      <w:r>
        <w:t xml:space="preserve">completion cap of 256 tokens, and a strict-JSON response contract. The exact</w:t>
      </w:r>
      <w:r>
        <w:t xml:space="preserve"> </w:t>
      </w:r>
      <w:r>
        <w:t xml:space="preserve">system and user prompt text is released verbatim, and each row of the log carries</w:t>
      </w:r>
      <w:r>
        <w:t xml:space="preserve"> </w:t>
      </w:r>
      <w:r>
        <w:t xml:space="preserve">the SHA-256 hash of the prompt actually sent, so any row can be checked against</w:t>
      </w:r>
      <w:r>
        <w:t xml:space="preserve"> </w:t>
      </w:r>
      <w:r>
        <w:t xml:space="preserve">the frozen template. Model snapshot identifiers, prices, and knowledge cutoffs</w:t>
      </w:r>
      <w:r>
        <w:t xml:space="preserve"> </w:t>
      </w:r>
      <w:r>
        <w:t xml:space="preserve">were probe-verified before collection and are listed in Table </w:t>
      </w:r>
      <w:hyperlink w:anchor="tab:models">
        <w:r>
          <w:rPr>
            <w:rStyle w:val="Hyperlink"/>
          </w:rPr>
          <w:t xml:space="preserve">1</w:t>
        </w:r>
      </w:hyperlink>
      <w:r>
        <w:t xml:space="preserve">.</w:t>
      </w:r>
      <w:r>
        <w:t xml:space="preserve"> </w:t>
      </w:r>
      <w:r>
        <w:t xml:space="preserve">Pre-registration, prompt, configuration, and analysis code were hashed and</w:t>
      </w:r>
      <w:r>
        <w:t xml:space="preserve"> </w:t>
      </w:r>
      <w:r>
        <w:t xml:space="preserve">committed before collection began; the hashes and the commit timestamp are in the</w:t>
      </w:r>
      <w:r>
        <w:t xml:space="preserve"> </w:t>
      </w:r>
      <w:r>
        <w:t xml:space="preserve">released freeze receipt.</w:t>
      </w:r>
    </w:p>
    <w:bookmarkEnd w:id="72"/>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6"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5"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7"/>
    <w:bookmarkStart w:id="88"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8"/>
    <w:bookmarkStart w:id="89"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89"/>
    <w:bookmarkStart w:id="90"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0"/>
    <w:bookmarkStart w:id="91"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1"/>
    <w:bookmarkStart w:id="92"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2"/>
    <w:bookmarkStart w:id="93"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3"/>
    <w:bookmarkStart w:id="94"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2026-10-02T02:22:12Z</dcterms:created>
  <dcterms:modified xsi:type="dcterms:W3CDTF">2026-10-02T02:22:12Z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1.51 to 2.35).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