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Algorithmic monoculture, inter-rater agreement, large language models, model</w:t>
      </w:r>
      <w:r>
        <w:t xml:space="preserve"> </w:t>
      </w:r>
      <w:r>
        <w:t xml:space="preserve">heterogeneity, 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reduced within-ensemble</w:t>
      </w:r>
      <w:r>
        <w:t xml:space="preserve"> </w:t>
      </w:r>
      <w:r>
        <w:t xml:space="preserve">agreement 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For each pair of agents within an ensemble cell, we compute</w:t>
      </w:r>
      <w:r>
        <w:t xml:space="preserve"> </w:t>
      </w:r>
      <m:oMath>
        <m:r>
          <m:t>ϕ</m:t>
        </m:r>
      </m:oMath>
      <w:r>
        <w:t xml:space="preserve"> </w:t>
      </w:r>
      <w:r>
        <w:t xml:space="preserve">between binary</w:t>
      </w:r>
      <w:r>
        <w:t xml:space="preserve"> </w:t>
      </w:r>
      <w:r>
        <w:t xml:space="preserve">error indicators defined relative to the realized forward-return sign.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2026-10-02T03:54:56Z</dcterms:created>
  <dcterms:modified xsi:type="dcterms:W3CDTF">2026-10-02T03:54:56Z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