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52.png" ContentType="image/png"/>
  <Override PartName="/word/media/rId55.png" ContentType="image/png"/>
  <Override PartName="/word/media/rId6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Price</w:t>
      </w:r>
      <w:r>
        <w:t xml:space="preserve"> </w:t>
      </w:r>
      <w:r>
        <w:t xml:space="preserve">of</w:t>
      </w:r>
      <w:r>
        <w:t xml:space="preserve"> </w:t>
      </w:r>
      <w:r>
        <w:t xml:space="preserve">De-correlation:</w:t>
      </w:r>
      <w:r>
        <w:t xml:space="preserve"> </w:t>
      </w:r>
      <w:r>
        <w:t xml:space="preserve">Quantifying</w:t>
      </w:r>
      <w:r>
        <w:t xml:space="preserve"> </w:t>
      </w:r>
      <w:r>
        <w:t xml:space="preserve">the</w:t>
      </w:r>
      <w:r>
        <w:t xml:space="preserve"> </w:t>
      </w:r>
      <w:r>
        <w:t xml:space="preserve">Agreement–Cost</w:t>
      </w:r>
      <w:r>
        <w:t xml:space="preserve"> </w:t>
      </w:r>
      <w:r>
        <w:t xml:space="preserve">Trade-off</w:t>
      </w:r>
      <w:r>
        <w:t xml:space="preserve"> </w:t>
      </w:r>
      <w:r>
        <w:t xml:space="preserve">in</w:t>
      </w:r>
      <w:r>
        <w:t xml:space="preserve"> </w:t>
      </w:r>
      <w:r>
        <w:t xml:space="preserve">Heterogeneous</w:t>
      </w:r>
      <w:r>
        <w:t xml:space="preserve"> </w:t>
      </w:r>
      <w:r>
        <w:t xml:space="preserve">Large</w:t>
      </w:r>
      <w:r>
        <w:t xml:space="preserve"> </w:t>
      </w:r>
      <w:r>
        <w:t xml:space="preserve">Language</w:t>
      </w:r>
      <w:r>
        <w:t xml:space="preserve"> </w:t>
      </w:r>
      <w:r>
        <w:t xml:space="preserve">Model</w:t>
      </w:r>
      <w:r>
        <w:t xml:space="preserve"> </w:t>
      </w:r>
      <w:r>
        <w:t xml:space="preserve">Ensembles</w:t>
      </w:r>
    </w:p>
    <w:p>
      <w:pPr>
        <w:pStyle w:val="Author"/>
      </w:pPr>
      <w:r>
        <w:t xml:space="preserve">Samir</w:t>
      </w:r>
      <w:r>
        <w:t xml:space="preserve"> </w:t>
      </w:r>
      <w:r>
        <w:t xml:space="preserve">Chincholikar</w:t>
      </w:r>
      <w:r>
        <w:rPr>
          <w:vertAlign w:val="superscript"/>
        </w:rPr>
        <w:t xml:space="preserve">1</w:t>
      </w:r>
      <w:r>
        <w:t xml:space="preserve">,</w:t>
      </w:r>
      <w:r>
        <w:t xml:space="preserve"> </w:t>
      </w:r>
      <w:r>
        <w:t xml:space="preserve">Robin</w:t>
      </w:r>
      <w:r>
        <w:t xml:space="preserve"> </w:t>
      </w:r>
      <w:r>
        <w:t xml:space="preserve">Chawla</w:t>
      </w:r>
      <w:r>
        <w:rPr>
          <w:vertAlign w:val="superscript"/>
        </w:rPr>
        <w:t xml:space="preserve">1</w:t>
      </w:r>
      <w:r>
        <w:br/>
      </w:r>
      <w:r>
        <w:rPr>
          <w:vertAlign w:val="superscript"/>
        </w:rPr>
        <w:t xml:space="preserve">1</w:t>
      </w:r>
      <w:r>
        <w:t xml:space="preserve">Independent</w:t>
      </w:r>
      <w:r>
        <w:t xml:space="preserve"> </w:t>
      </w:r>
      <w:r>
        <w:t xml:space="preserve">researchers.</w:t>
      </w:r>
      <w:r>
        <w:t xml:space="preserve"> </w:t>
      </w:r>
      <w:r>
        <w:t xml:space="preserve">Corresponding</w:t>
      </w:r>
      <w:r>
        <w:t xml:space="preserve"> </w:t>
      </w:r>
      <w:r>
        <w:t xml:space="preserve">author:</w:t>
      </w:r>
      <w:r>
        <w:t xml:space="preserve"> </w:t>
      </w:r>
      <w:r>
        <w:t xml:space="preserve">Samir</w:t>
      </w:r>
      <w:r>
        <w:t xml:space="preserve"> </w:t>
      </w:r>
      <w:r>
        <w:t xml:space="preserve">Chincholikar</w:t>
      </w:r>
      <w:r>
        <w:t xml:space="preserve"> </w:t>
      </w:r>
      <w:r>
        <w:t xml:space="preserve">(samir.chincholikar@gmail.com,</w:t>
      </w:r>
      <w:r>
        <w:t xml:space="preserve"> </w:t>
      </w:r>
      <w:r>
        <w:t xml:space="preserve">ORCID</w:t>
      </w:r>
      <w:r>
        <w:t xml:space="preserve"> </w:t>
      </w:r>
      <w:r>
        <w:t xml:space="preserve">0009-0007-2779-3492).</w:t>
      </w:r>
      <w:r>
        <w:t xml:space="preserve"> </w:t>
      </w:r>
      <w:r>
        <w:t xml:space="preserve">Manuscript</w:t>
      </w:r>
      <w:r>
        <w:t xml:space="preserve"> </w:t>
      </w:r>
      <w:r>
        <w:t xml:space="preserve">submitted</w:t>
      </w:r>
      <w:r>
        <w:t xml:space="preserve"> </w:t>
      </w:r>
      <w:r>
        <w:t xml:space="preserve">August</w:t>
      </w:r>
      <w:r>
        <w:t xml:space="preserve"> </w:t>
      </w:r>
      <w:r>
        <w:t xml:space="preserve">3,</w:t>
      </w:r>
      <w:r>
        <w:t xml:space="preserve"> </w:t>
      </w:r>
      <w:r>
        <w:t xml:space="preserve">2026.</w:t>
      </w:r>
    </w:p>
    <w:p>
      <w:pPr>
        <w:pStyle w:val="Abstract"/>
      </w:pPr>
      <w:r>
        <w:t xml:space="preserve">Large</w:t>
      </w:r>
      <w:r>
        <w:t xml:space="preserve"> </w:t>
      </w:r>
      <w:r>
        <w:t xml:space="preserve">language</w:t>
      </w:r>
      <w:r>
        <w:t xml:space="preserve"> </w:t>
      </w:r>
      <w:r>
        <w:t xml:space="preserve">model</w:t>
      </w:r>
      <w:r>
        <w:t xml:space="preserve"> </w:t>
      </w:r>
      <w:r>
        <w:t xml:space="preserve">(LLM)</w:t>
      </w:r>
      <w:r>
        <w:t xml:space="preserve"> </w:t>
      </w:r>
      <w:r>
        <w:t xml:space="preserve">ensembles</w:t>
      </w:r>
      <w:r>
        <w:t xml:space="preserve"> </w:t>
      </w:r>
      <w:r>
        <w:t xml:space="preserve">are</w:t>
      </w:r>
      <w:r>
        <w:t xml:space="preserve"> </w:t>
      </w:r>
      <w:r>
        <w:t xml:space="preserve">increasingly</w:t>
      </w:r>
      <w:r>
        <w:t xml:space="preserve"> </w:t>
      </w:r>
      <w:r>
        <w:t xml:space="preserve">used</w:t>
      </w:r>
      <w:r>
        <w:t xml:space="preserve"> </w:t>
      </w:r>
      <w:r>
        <w:t xml:space="preserve">as</w:t>
      </w:r>
      <w:r>
        <w:t xml:space="preserve"> </w:t>
      </w:r>
      <w:r>
        <w:t xml:space="preserve">decision-making</w:t>
      </w:r>
      <w:r>
        <w:t xml:space="preserve"> </w:t>
      </w:r>
      <w:r>
        <w:t xml:space="preserve">committees</w:t>
      </w:r>
      <w:r>
        <w:t xml:space="preserve"> </w:t>
      </w:r>
      <w:r>
        <w:t xml:space="preserve">under</w:t>
      </w:r>
      <w:r>
        <w:t xml:space="preserve"> </w:t>
      </w:r>
      <w:r>
        <w:t xml:space="preserve">the</w:t>
      </w:r>
      <w:r>
        <w:t xml:space="preserve"> </w:t>
      </w:r>
      <w:r>
        <w:t xml:space="preserve">assumption</w:t>
      </w:r>
      <w:r>
        <w:t xml:space="preserve"> </w:t>
      </w:r>
      <w:r>
        <w:t xml:space="preserve">that</w:t>
      </w:r>
      <w:r>
        <w:t xml:space="preserve"> </w:t>
      </w:r>
      <w:r>
        <w:t xml:space="preserve">aggregating</w:t>
      </w:r>
      <w:r>
        <w:t xml:space="preserve"> </w:t>
      </w:r>
      <w:r>
        <w:t xml:space="preserve">multiple</w:t>
      </w:r>
      <w:r>
        <w:t xml:space="preserve"> </w:t>
      </w:r>
      <w:r>
        <w:t xml:space="preserve">agents</w:t>
      </w:r>
      <w:r>
        <w:t xml:space="preserve"> </w:t>
      </w:r>
      <w:r>
        <w:t xml:space="preserve">improves</w:t>
      </w:r>
      <w:r>
        <w:t xml:space="preserve"> </w:t>
      </w:r>
      <w:r>
        <w:t xml:space="preserve">reliability.</w:t>
      </w:r>
      <w:r>
        <w:t xml:space="preserve"> </w:t>
      </w:r>
      <w:r>
        <w:t xml:space="preserve">However,</w:t>
      </w:r>
      <w:r>
        <w:t xml:space="preserve"> </w:t>
      </w:r>
      <w:r>
        <w:t xml:space="preserve">ensembles</w:t>
      </w:r>
      <w:r>
        <w:t xml:space="preserve"> </w:t>
      </w:r>
      <w:r>
        <w:t xml:space="preserve">composed</w:t>
      </w:r>
      <w:r>
        <w:t xml:space="preserve"> </w:t>
      </w:r>
      <w:r>
        <w:t xml:space="preserve">of</w:t>
      </w:r>
      <w:r>
        <w:t xml:space="preserve"> </w:t>
      </w:r>
      <w:r>
        <w:t xml:space="preserve">repeated</w:t>
      </w:r>
      <w:r>
        <w:t xml:space="preserve"> </w:t>
      </w:r>
      <w:r>
        <w:t xml:space="preserve">instances</w:t>
      </w:r>
      <w:r>
        <w:t xml:space="preserve"> </w:t>
      </w:r>
      <w:r>
        <w:t xml:space="preserve">of</w:t>
      </w:r>
      <w:r>
        <w:t xml:space="preserve"> </w:t>
      </w:r>
      <w:r>
        <w:t xml:space="preserve">the</w:t>
      </w:r>
      <w:r>
        <w:t xml:space="preserve"> </w:t>
      </w:r>
      <w:r>
        <w:t xml:space="preserve">same</w:t>
      </w:r>
      <w:r>
        <w:t xml:space="preserve"> </w:t>
      </w:r>
      <w:r>
        <w:t xml:space="preserve">model</w:t>
      </w:r>
      <w:r>
        <w:t xml:space="preserve"> </w:t>
      </w:r>
      <w:r>
        <w:t xml:space="preserve">may</w:t>
      </w:r>
      <w:r>
        <w:t xml:space="preserve"> </w:t>
      </w:r>
      <w:r>
        <w:t xml:space="preserve">produce</w:t>
      </w:r>
      <w:r>
        <w:t xml:space="preserve"> </w:t>
      </w:r>
      <w:r>
        <w:t xml:space="preserve">correlated</w:t>
      </w:r>
      <w:r>
        <w:t xml:space="preserve"> </w:t>
      </w:r>
      <w:r>
        <w:t xml:space="preserve">judgments</w:t>
      </w:r>
      <w:r>
        <w:t xml:space="preserve"> </w:t>
      </w:r>
      <w:r>
        <w:t xml:space="preserve">and</w:t>
      </w:r>
      <w:r>
        <w:t xml:space="preserve"> </w:t>
      </w:r>
      <w:r>
        <w:t xml:space="preserve">create</w:t>
      </w:r>
      <w:r>
        <w:t xml:space="preserve"> </w:t>
      </w:r>
      <w:r>
        <w:t xml:space="preserve">an</w:t>
      </w:r>
      <w:r>
        <w:t xml:space="preserve"> </w:t>
      </w:r>
      <w:r>
        <w:t xml:space="preserve">appearance</w:t>
      </w:r>
      <w:r>
        <w:t xml:space="preserve"> </w:t>
      </w:r>
      <w:r>
        <w:t xml:space="preserve">of</w:t>
      </w:r>
      <w:r>
        <w:t xml:space="preserve"> </w:t>
      </w:r>
      <w:r>
        <w:t xml:space="preserve">consensus</w:t>
      </w:r>
      <w:r>
        <w:t xml:space="preserve"> </w:t>
      </w:r>
      <w:r>
        <w:t xml:space="preserve">without</w:t>
      </w:r>
      <w:r>
        <w:t xml:space="preserve"> </w:t>
      </w:r>
      <w:r>
        <w:t xml:space="preserve">genuine</w:t>
      </w:r>
      <w:r>
        <w:t xml:space="preserve"> </w:t>
      </w:r>
      <w:r>
        <w:t xml:space="preserve">independence.</w:t>
      </w:r>
      <w:r>
        <w:t xml:space="preserve"> </w:t>
      </w:r>
      <w:r>
        <w:t xml:space="preserve">This</w:t>
      </w:r>
      <w:r>
        <w:t xml:space="preserve"> </w:t>
      </w:r>
      <w:r>
        <w:t xml:space="preserve">study</w:t>
      </w:r>
      <w:r>
        <w:t xml:space="preserve"> </w:t>
      </w:r>
      <w:r>
        <w:t xml:space="preserve">quantifies</w:t>
      </w:r>
      <w:r>
        <w:t xml:space="preserve"> </w:t>
      </w:r>
      <w:r>
        <w:t xml:space="preserve">the</w:t>
      </w:r>
      <w:r>
        <w:t xml:space="preserve"> </w:t>
      </w:r>
      <w:r>
        <w:t xml:space="preserve">relationship</w:t>
      </w:r>
      <w:r>
        <w:t xml:space="preserve"> </w:t>
      </w:r>
      <w:r>
        <w:t xml:space="preserve">between</w:t>
      </w:r>
      <w:r>
        <w:t xml:space="preserve"> </w:t>
      </w:r>
      <w:r>
        <w:t xml:space="preserve">cross-provider</w:t>
      </w:r>
      <w:r>
        <w:t xml:space="preserve"> </w:t>
      </w:r>
      <w:r>
        <w:t xml:space="preserve">model</w:t>
      </w:r>
      <w:r>
        <w:t xml:space="preserve"> </w:t>
      </w:r>
      <w:r>
        <w:t xml:space="preserve">heterogeneity,</w:t>
      </w:r>
      <w:r>
        <w:t xml:space="preserve"> </w:t>
      </w:r>
      <w:r>
        <w:t xml:space="preserve">ensemble</w:t>
      </w:r>
      <w:r>
        <w:t xml:space="preserve"> </w:t>
      </w:r>
      <w:r>
        <w:t xml:space="preserve">agreement,</w:t>
      </w:r>
      <w:r>
        <w:t xml:space="preserve"> </w:t>
      </w:r>
      <w:r>
        <w:t xml:space="preserve">and</w:t>
      </w:r>
      <w:r>
        <w:t xml:space="preserve"> </w:t>
      </w:r>
      <w:r>
        <w:t xml:space="preserve">inference</w:t>
      </w:r>
      <w:r>
        <w:t xml:space="preserve"> </w:t>
      </w:r>
      <w:r>
        <w:t xml:space="preserve">cost.</w:t>
      </w:r>
      <w:r>
        <w:t xml:space="preserve"> </w:t>
      </w:r>
      <w:r>
        <w:t xml:space="preserve">In</w:t>
      </w:r>
      <w:r>
        <w:t xml:space="preserve"> </w:t>
      </w:r>
      <w:r>
        <w:t xml:space="preserve">a</w:t>
      </w:r>
      <w:r>
        <w:t xml:space="preserve"> </w:t>
      </w:r>
      <w:r>
        <w:t xml:space="preserve">54</w:t>
      </w:r>
      <w:r>
        <w:t xml:space="preserve">,</w:t>
      </w:r>
      <w:r>
        <w:t xml:space="preserve">000-call</w:t>
      </w:r>
      <w:r>
        <w:t xml:space="preserve"> </w:t>
      </w:r>
      <w:r>
        <w:t xml:space="preserve">primary</w:t>
      </w:r>
      <w:r>
        <w:t xml:space="preserve"> </w:t>
      </w:r>
      <w:r>
        <w:t xml:space="preserve">experiment,</w:t>
      </w:r>
      <w:r>
        <w:t xml:space="preserve"> </w:t>
      </w:r>
      <w:r>
        <w:t xml:space="preserve">we</w:t>
      </w:r>
      <w:r>
        <w:t xml:space="preserve"> </w:t>
      </w:r>
      <w:r>
        <w:t xml:space="preserve">evaluate</w:t>
      </w:r>
      <w:r>
        <w:t xml:space="preserve"> </w:t>
      </w:r>
      <w:r>
        <w:t xml:space="preserve">three</w:t>
      </w:r>
      <w:r>
        <w:t xml:space="preserve"> </w:t>
      </w:r>
      <w:r>
        <w:t xml:space="preserve">five-agent</w:t>
      </w:r>
      <w:r>
        <w:t xml:space="preserve"> </w:t>
      </w:r>
      <w:r>
        <w:t xml:space="preserve">ensemble</w:t>
      </w:r>
      <w:r>
        <w:t xml:space="preserve"> </w:t>
      </w:r>
      <w:r>
        <w:t xml:space="preserve">configurations</w:t>
      </w:r>
      <w:r>
        <w:t xml:space="preserve"> </w:t>
      </w:r>
      <w:r>
        <w:t xml:space="preserve">with</w:t>
      </w:r>
      <w:r>
        <w:t xml:space="preserve"> </w:t>
      </w:r>
      <w:r>
        <w:t xml:space="preserve">increasing</w:t>
      </w:r>
      <w:r>
        <w:t xml:space="preserve"> </w:t>
      </w:r>
      <w:r>
        <w:t xml:space="preserve">provider</w:t>
      </w:r>
      <w:r>
        <w:t xml:space="preserve"> </w:t>
      </w:r>
      <w:r>
        <w:t xml:space="preserve">diversity</w:t>
      </w:r>
      <w:r>
        <w:t xml:space="preserve"> </w:t>
      </w:r>
      <w:r>
        <w:t xml:space="preserve">on</w:t>
      </w:r>
      <w:r>
        <w:t xml:space="preserve"> </w:t>
      </w:r>
      <w:r>
        <w:t xml:space="preserve">a</w:t>
      </w:r>
      <w:r>
        <w:t xml:space="preserve"> </w:t>
      </w:r>
      <w:r>
        <w:t xml:space="preserve">directional</w:t>
      </w:r>
      <w:r>
        <w:t xml:space="preserve"> </w:t>
      </w:r>
      <w:r>
        <w:t xml:space="preserve">financial-analysis</w:t>
      </w:r>
      <w:r>
        <w:t xml:space="preserve"> </w:t>
      </w:r>
      <w:r>
        <w:t xml:space="preserve">task</w:t>
      </w:r>
      <w:r>
        <w:t xml:space="preserve"> </w:t>
      </w:r>
      <w:r>
        <w:t xml:space="preserve">covering</w:t>
      </w:r>
      <w:r>
        <w:t xml:space="preserve"> </w:t>
      </w:r>
      <w:r>
        <w:t xml:space="preserve">100</w:t>
      </w:r>
      <w:r>
        <w:t xml:space="preserve"> </w:t>
      </w:r>
      <w:r>
        <w:t xml:space="preserve">equities</w:t>
      </w:r>
      <w:r>
        <w:t xml:space="preserve"> </w:t>
      </w:r>
      <w:r>
        <w:t xml:space="preserve">across</w:t>
      </w:r>
      <w:r>
        <w:t xml:space="preserve"> </w:t>
      </w:r>
      <w:r>
        <w:t xml:space="preserve">12</w:t>
      </w:r>
      <w:r>
        <w:t xml:space="preserve"> </w:t>
      </w:r>
      <w:r>
        <w:t xml:space="preserve">dates.</w:t>
      </w:r>
      <w:r>
        <w:t xml:space="preserve"> </w:t>
      </w:r>
      <w:r>
        <w:t xml:space="preserve">Cross-provider</w:t>
      </w:r>
      <w:r>
        <w:t xml:space="preserve"> </w:t>
      </w:r>
      <w:r>
        <w:t xml:space="preserve">heterogeneity</w:t>
      </w:r>
      <w:r>
        <w:t xml:space="preserve"> </w:t>
      </w:r>
      <w:r>
        <w:t xml:space="preserve">significantly</w:t>
      </w:r>
      <w:r>
        <w:t xml:space="preserve"> </w:t>
      </w:r>
      <w:r>
        <w:t xml:space="preserve">reduces</w:t>
      </w:r>
      <w:r>
        <w:t xml:space="preserve"> </w:t>
      </w:r>
      <w:r>
        <w:t xml:space="preserve">within-ensemble</w:t>
      </w:r>
      <w:r>
        <w:t xml:space="preserve"> </w:t>
      </w:r>
      <w:r>
        <w:t xml:space="preserve">agreement,</w:t>
      </w:r>
      <w:r>
        <w:t xml:space="preserve"> </w:t>
      </w:r>
      <w:r>
        <w:t xml:space="preserve">with</w:t>
      </w:r>
      <w:r>
        <w:t xml:space="preserve"> </w:t>
      </w:r>
      <w:r>
        <w:t xml:space="preserve">a</w:t>
      </w:r>
      <w:r>
        <w:t xml:space="preserve"> </w:t>
      </w:r>
      <w:r>
        <w:t xml:space="preserve">primary</w:t>
      </w:r>
      <w:r>
        <w:t xml:space="preserve"> </w:t>
      </w:r>
      <w:r>
        <w:t xml:space="preserve">reduction</w:t>
      </w:r>
      <w:r>
        <w:t xml:space="preserve"> </w:t>
      </w:r>
      <w:r>
        <w:t xml:space="preserve">of</w:t>
      </w:r>
      <w:r>
        <w:t xml:space="preserve"> </w:t>
      </w:r>
      <m:oMath>
        <m:r>
          <m:t>Δ</m:t>
        </m:r>
        <m:r>
          <m:t>κ</m:t>
        </m:r>
        <m:r>
          <m:t>=</m:t>
        </m:r>
        <m:r>
          <m:t>0.336</m:t>
        </m:r>
      </m:oMath>
      <w:r>
        <w:t xml:space="preserve"> </w:t>
      </w:r>
      <w:r>
        <w:t xml:space="preserve">(95%</w:t>
      </w:r>
      <w:r>
        <w:t xml:space="preserve"> </w:t>
      </w:r>
      <w:r>
        <w:t xml:space="preserve">CI:</w:t>
      </w:r>
      <w:r>
        <w:t xml:space="preserve"> </w:t>
      </w:r>
      <m:oMath>
        <m:r>
          <m:t>0.304</m:t>
        </m:r>
      </m:oMath>
      <w:r>
        <w:t xml:space="preserve">–</w:t>
      </w:r>
      <m:oMath>
        <m:r>
          <m:t>0.369</m:t>
        </m:r>
      </m:oMath>
      <w:r>
        <w:t xml:space="preserve">),</w:t>
      </w:r>
      <w:r>
        <w:t xml:space="preserve"> </w:t>
      </w:r>
      <w:r>
        <w:t xml:space="preserve">but</w:t>
      </w:r>
      <w:r>
        <w:t xml:space="preserve"> </w:t>
      </w:r>
      <w:r>
        <w:t xml:space="preserve">increases</w:t>
      </w:r>
      <w:r>
        <w:t xml:space="preserve"> </w:t>
      </w:r>
      <w:r>
        <w:t xml:space="preserve">inference</w:t>
      </w:r>
      <w:r>
        <w:t xml:space="preserve"> </w:t>
      </w:r>
      <w:r>
        <w:t xml:space="preserve">cost</w:t>
      </w:r>
      <w:r>
        <w:t xml:space="preserve"> </w:t>
      </w:r>
      <w:r>
        <w:t xml:space="preserve">by</w:t>
      </w:r>
      <w:r>
        <w:t xml:space="preserve"> </w:t>
      </w:r>
      <w:r>
        <w:t xml:space="preserve">approximately</w:t>
      </w:r>
      <w:r>
        <w:t xml:space="preserve"> </w:t>
      </w:r>
      <m:oMath>
        <m:r>
          <m:t>4.4</m:t>
        </m:r>
        <m:r>
          <m:t>×</m:t>
        </m:r>
      </m:oMath>
      <w:r>
        <w:t xml:space="preserve">.</w:t>
      </w:r>
      <w:r>
        <w:t xml:space="preserve"> </w:t>
      </w:r>
      <w:r>
        <w:t xml:space="preserve">A</w:t>
      </w:r>
      <w:r>
        <w:t xml:space="preserve"> </w:t>
      </w:r>
      <w:r>
        <w:t xml:space="preserve">capability-matched</w:t>
      </w:r>
      <w:r>
        <w:t xml:space="preserve"> </w:t>
      </w:r>
      <w:r>
        <w:t xml:space="preserve">control</w:t>
      </w:r>
      <w:r>
        <w:t xml:space="preserve"> </w:t>
      </w:r>
      <w:r>
        <w:t xml:space="preserve">indicates</w:t>
      </w:r>
      <w:r>
        <w:t xml:space="preserve"> </w:t>
      </w:r>
      <w:r>
        <w:t xml:space="preserve">that</w:t>
      </w:r>
      <w:r>
        <w:t xml:space="preserve"> </w:t>
      </w:r>
      <w:r>
        <w:t xml:space="preserve">the</w:t>
      </w:r>
      <w:r>
        <w:t xml:space="preserve"> </w:t>
      </w:r>
      <w:r>
        <w:t xml:space="preserve">effect</w:t>
      </w:r>
      <w:r>
        <w:t xml:space="preserve"> </w:t>
      </w:r>
      <w:r>
        <w:t xml:space="preserve">is</w:t>
      </w:r>
      <w:r>
        <w:t xml:space="preserve"> </w:t>
      </w:r>
      <w:r>
        <w:t xml:space="preserve">driven</w:t>
      </w:r>
      <w:r>
        <w:t xml:space="preserve"> </w:t>
      </w:r>
      <w:r>
        <w:t xml:space="preserve">primarily</w:t>
      </w:r>
      <w:r>
        <w:t xml:space="preserve"> </w:t>
      </w:r>
      <w:r>
        <w:t xml:space="preserve">by</w:t>
      </w:r>
      <w:r>
        <w:t xml:space="preserve"> </w:t>
      </w:r>
      <w:r>
        <w:t xml:space="preserve">provider</w:t>
      </w:r>
      <w:r>
        <w:t xml:space="preserve"> </w:t>
      </w:r>
      <w:r>
        <w:t xml:space="preserve">diversity</w:t>
      </w:r>
      <w:r>
        <w:t xml:space="preserve"> </w:t>
      </w:r>
      <w:r>
        <w:t xml:space="preserve">rather</w:t>
      </w:r>
      <w:r>
        <w:t xml:space="preserve"> </w:t>
      </w:r>
      <w:r>
        <w:t xml:space="preserve">than</w:t>
      </w:r>
      <w:r>
        <w:t xml:space="preserve"> </w:t>
      </w:r>
      <w:r>
        <w:t xml:space="preserve">model</w:t>
      </w:r>
      <w:r>
        <w:t xml:space="preserve"> </w:t>
      </w:r>
      <w:r>
        <w:t xml:space="preserve">capability</w:t>
      </w:r>
      <w:r>
        <w:t xml:space="preserve"> </w:t>
      </w:r>
      <w:r>
        <w:t xml:space="preserve">differences.</w:t>
      </w:r>
      <w:r>
        <w:t xml:space="preserve"> </w:t>
      </w:r>
      <w:r>
        <w:t xml:space="preserve">We</w:t>
      </w:r>
      <w:r>
        <w:t xml:space="preserve"> </w:t>
      </w:r>
      <w:r>
        <w:t xml:space="preserve">also</w:t>
      </w:r>
      <w:r>
        <w:t xml:space="preserve"> </w:t>
      </w:r>
      <w:r>
        <w:t xml:space="preserve">introduce</w:t>
      </w:r>
      <w:r>
        <w:t xml:space="preserve"> </w:t>
      </w:r>
      <w:r>
        <w:t xml:space="preserve">an</w:t>
      </w:r>
      <w:r>
        <w:t xml:space="preserve"> </w:t>
      </w:r>
      <w:r>
        <w:t xml:space="preserve">independent-draw</w:t>
      </w:r>
      <w:r>
        <w:t xml:space="preserve"> </w:t>
      </w:r>
      <w:r>
        <w:t xml:space="preserve">measurement</w:t>
      </w:r>
      <w:r>
        <w:t xml:space="preserve"> </w:t>
      </w:r>
      <w:r>
        <w:t xml:space="preserve">protocol</w:t>
      </w:r>
      <w:r>
        <w:t xml:space="preserve"> </w:t>
      </w:r>
      <w:r>
        <w:t xml:space="preserve">that</w:t>
      </w:r>
      <w:r>
        <w:t xml:space="preserve"> </w:t>
      </w:r>
      <w:r>
        <w:t xml:space="preserve">prevents</w:t>
      </w:r>
      <w:r>
        <w:t xml:space="preserve"> </w:t>
      </w:r>
      <w:r>
        <w:t xml:space="preserve">shared</w:t>
      </w:r>
      <w:r>
        <w:t xml:space="preserve"> </w:t>
      </w:r>
      <w:r>
        <w:t xml:space="preserve">sampling</w:t>
      </w:r>
      <w:r>
        <w:t xml:space="preserve"> </w:t>
      </w:r>
      <w:r>
        <w:t xml:space="preserve">conditions</w:t>
      </w:r>
      <w:r>
        <w:t xml:space="preserve"> </w:t>
      </w:r>
      <w:r>
        <w:t xml:space="preserve">from</w:t>
      </w:r>
      <w:r>
        <w:t xml:space="preserve"> </w:t>
      </w:r>
      <w:r>
        <w:t xml:space="preserve">inflating</w:t>
      </w:r>
      <w:r>
        <w:t xml:space="preserve"> </w:t>
      </w:r>
      <w:r>
        <w:t xml:space="preserve">estimated</w:t>
      </w:r>
      <w:r>
        <w:t xml:space="preserve"> </w:t>
      </w:r>
      <w:r>
        <w:t xml:space="preserve">agreement.</w:t>
      </w:r>
      <w:r>
        <w:t xml:space="preserve"> </w:t>
      </w:r>
      <w:r>
        <w:t xml:space="preserve">Although</w:t>
      </w:r>
      <w:r>
        <w:t xml:space="preserve"> </w:t>
      </w:r>
      <w:r>
        <w:t xml:space="preserve">heterogeneity</w:t>
      </w:r>
      <w:r>
        <w:t xml:space="preserve"> </w:t>
      </w:r>
      <w:r>
        <w:t xml:space="preserve">does</w:t>
      </w:r>
      <w:r>
        <w:t xml:space="preserve"> </w:t>
      </w:r>
      <w:r>
        <w:t xml:space="preserve">not</w:t>
      </w:r>
      <w:r>
        <w:t xml:space="preserve"> </w:t>
      </w:r>
      <w:r>
        <w:t xml:space="preserve">produce</w:t>
      </w:r>
      <w:r>
        <w:t xml:space="preserve"> </w:t>
      </w:r>
      <w:r>
        <w:t xml:space="preserve">a</w:t>
      </w:r>
      <w:r>
        <w:t xml:space="preserve"> </w:t>
      </w:r>
      <w:r>
        <w:t xml:space="preserve">reliable</w:t>
      </w:r>
      <w:r>
        <w:t xml:space="preserve"> </w:t>
      </w:r>
      <w:r>
        <w:t xml:space="preserve">improvement</w:t>
      </w:r>
      <w:r>
        <w:t xml:space="preserve"> </w:t>
      </w:r>
      <w:r>
        <w:t xml:space="preserve">in</w:t>
      </w:r>
      <w:r>
        <w:t xml:space="preserve"> </w:t>
      </w:r>
      <w:r>
        <w:t xml:space="preserve">average</w:t>
      </w:r>
      <w:r>
        <w:t xml:space="preserve"> </w:t>
      </w:r>
      <w:r>
        <w:t xml:space="preserve">directional</w:t>
      </w:r>
      <w:r>
        <w:t xml:space="preserve"> </w:t>
      </w:r>
      <w:r>
        <w:t xml:space="preserve">accuracy,</w:t>
      </w:r>
      <w:r>
        <w:t xml:space="preserve"> </w:t>
      </w:r>
      <w:r>
        <w:t xml:space="preserve">exploratory</w:t>
      </w:r>
      <w:r>
        <w:t xml:space="preserve"> </w:t>
      </w:r>
      <w:r>
        <w:t xml:space="preserve">results</w:t>
      </w:r>
      <w:r>
        <w:t xml:space="preserve"> </w:t>
      </w:r>
      <w:r>
        <w:t xml:space="preserve">indicate</w:t>
      </w:r>
      <w:r>
        <w:t xml:space="preserve"> </w:t>
      </w:r>
      <w:r>
        <w:t xml:space="preserve">that</w:t>
      </w:r>
      <w:r>
        <w:t xml:space="preserve"> </w:t>
      </w:r>
      <w:r>
        <w:t xml:space="preserve">homogeneous</w:t>
      </w:r>
      <w:r>
        <w:t xml:space="preserve"> </w:t>
      </w:r>
      <w:r>
        <w:t xml:space="preserve">ensembles</w:t>
      </w:r>
      <w:r>
        <w:t xml:space="preserve"> </w:t>
      </w:r>
      <w:r>
        <w:t xml:space="preserve">generate</w:t>
      </w:r>
      <w:r>
        <w:t xml:space="preserve"> </w:t>
      </w:r>
      <w:r>
        <w:t xml:space="preserve">unanimous</w:t>
      </w:r>
      <w:r>
        <w:t xml:space="preserve"> </w:t>
      </w:r>
      <w:r>
        <w:t xml:space="preserve">incorrect</w:t>
      </w:r>
      <w:r>
        <w:t xml:space="preserve"> </w:t>
      </w:r>
      <w:r>
        <w:t xml:space="preserve">decisions</w:t>
      </w:r>
      <w:r>
        <w:t xml:space="preserve"> </w:t>
      </w:r>
      <w:r>
        <w:t xml:space="preserve">at</w:t>
      </w:r>
      <w:r>
        <w:t xml:space="preserve"> </w:t>
      </w:r>
      <m:oMath>
        <m:r>
          <m:t>1.84</m:t>
        </m:r>
      </m:oMath>
      <w:r>
        <w:t xml:space="preserve"> </w:t>
      </w:r>
      <w:r>
        <w:t xml:space="preserve">times</w:t>
      </w:r>
      <w:r>
        <w:t xml:space="preserve"> </w:t>
      </w:r>
      <w:r>
        <w:t xml:space="preserve">the</w:t>
      </w:r>
      <w:r>
        <w:t xml:space="preserve"> </w:t>
      </w:r>
      <w:r>
        <w:t xml:space="preserve">rate</w:t>
      </w:r>
      <w:r>
        <w:t xml:space="preserve"> </w:t>
      </w:r>
      <w:r>
        <w:t xml:space="preserve">of</w:t>
      </w:r>
      <w:r>
        <w:t xml:space="preserve"> </w:t>
      </w:r>
      <w:r>
        <w:t xml:space="preserve">heterogeneous</w:t>
      </w:r>
      <w:r>
        <w:t xml:space="preserve"> </w:t>
      </w:r>
      <w:r>
        <w:t xml:space="preserve">ensembles.</w:t>
      </w:r>
      <w:r>
        <w:t xml:space="preserve"> </w:t>
      </w:r>
      <w:r>
        <w:t xml:space="preserve">These</w:t>
      </w:r>
      <w:r>
        <w:t xml:space="preserve"> </w:t>
      </w:r>
      <w:r>
        <w:t xml:space="preserve">findings</w:t>
      </w:r>
      <w:r>
        <w:t xml:space="preserve"> </w:t>
      </w:r>
      <w:r>
        <w:t xml:space="preserve">show</w:t>
      </w:r>
      <w:r>
        <w:t xml:space="preserve"> </w:t>
      </w:r>
      <w:r>
        <w:t xml:space="preserve">that</w:t>
      </w:r>
      <w:r>
        <w:t xml:space="preserve"> </w:t>
      </w:r>
      <w:r>
        <w:t xml:space="preserve">model</w:t>
      </w:r>
      <w:r>
        <w:t xml:space="preserve"> </w:t>
      </w:r>
      <w:r>
        <w:t xml:space="preserve">diversity</w:t>
      </w:r>
      <w:r>
        <w:t xml:space="preserve"> </w:t>
      </w:r>
      <w:r>
        <w:t xml:space="preserve">provides</w:t>
      </w:r>
      <w:r>
        <w:t xml:space="preserve"> </w:t>
      </w:r>
      <w:r>
        <w:t xml:space="preserve">less-correlated</w:t>
      </w:r>
      <w:r>
        <w:t xml:space="preserve"> </w:t>
      </w:r>
      <w:r>
        <w:t xml:space="preserve">judgments</w:t>
      </w:r>
      <w:r>
        <w:t xml:space="preserve"> </w:t>
      </w:r>
      <w:r>
        <w:t xml:space="preserve">rather</w:t>
      </w:r>
      <w:r>
        <w:t xml:space="preserve"> </w:t>
      </w:r>
      <w:r>
        <w:t xml:space="preserve">than</w:t>
      </w:r>
      <w:r>
        <w:t xml:space="preserve"> </w:t>
      </w:r>
      <w:r>
        <w:t xml:space="preserve">guaranteed</w:t>
      </w:r>
      <w:r>
        <w:t xml:space="preserve"> </w:t>
      </w:r>
      <w:r>
        <w:t xml:space="preserve">correctness,</w:t>
      </w:r>
      <w:r>
        <w:t xml:space="preserve"> </w:t>
      </w:r>
      <w:r>
        <w:t xml:space="preserve">and</w:t>
      </w:r>
      <w:r>
        <w:t xml:space="preserve"> </w:t>
      </w:r>
      <w:r>
        <w:t xml:space="preserve">offer</w:t>
      </w:r>
      <w:r>
        <w:t xml:space="preserve"> </w:t>
      </w:r>
      <w:r>
        <w:t xml:space="preserve">a</w:t>
      </w:r>
      <w:r>
        <w:t xml:space="preserve"> </w:t>
      </w:r>
      <w:r>
        <w:t xml:space="preserve">practical</w:t>
      </w:r>
      <w:r>
        <w:t xml:space="preserve"> </w:t>
      </w:r>
      <w:r>
        <w:t xml:space="preserve">agreement–cost</w:t>
      </w:r>
      <w:r>
        <w:t xml:space="preserve"> </w:t>
      </w:r>
      <w:r>
        <w:t xml:space="preserve">framework</w:t>
      </w:r>
      <w:r>
        <w:t xml:space="preserve"> </w:t>
      </w:r>
      <w:r>
        <w:t xml:space="preserve">for</w:t>
      </w:r>
      <w:r>
        <w:t xml:space="preserve"> </w:t>
      </w:r>
      <w:r>
        <w:t xml:space="preserve">designing</w:t>
      </w:r>
      <w:r>
        <w:t xml:space="preserve"> </w:t>
      </w:r>
      <w:r>
        <w:t xml:space="preserve">LLM</w:t>
      </w:r>
      <w:r>
        <w:t xml:space="preserve"> </w:t>
      </w:r>
      <w:r>
        <w:t xml:space="preserve">ensemble</w:t>
      </w:r>
      <w:r>
        <w:t xml:space="preserve"> </w:t>
      </w:r>
      <w:r>
        <w:t xml:space="preserve">systems.</w:t>
      </w:r>
    </w:p>
    <w:p>
      <w:pPr>
        <w:pStyle w:val="FirstParagraph"/>
      </w:pPr>
      <w:r>
        <w:rPr>
          <w:b/>
        </w:rPr>
        <w:t xml:space="preserve">Index Terms—</w:t>
      </w:r>
      <w:r>
        <w:t xml:space="preserve"> </w:t>
      </w:r>
      <w:r>
        <w:t xml:space="preserve">Large language models, multi-agent systems, ensemble learning, model</w:t>
      </w:r>
      <w:r>
        <w:t xml:space="preserve"> </w:t>
      </w:r>
      <w:r>
        <w:t xml:space="preserve">heterogeneity, inter-rater agreement, algorithmic monoculture, inference cost,</w:t>
      </w:r>
      <w:r>
        <w:t xml:space="preserve"> </w:t>
      </w:r>
      <w:r>
        <w:t xml:space="preserve">reliable artificial intelligence.</w:t>
      </w:r>
    </w:p>
    <w:p>
      <w:pPr>
        <w:pStyle w:val="Heading1"/>
      </w:pPr>
      <w:bookmarkStart w:id="20" w:name="sec:introduction"/>
      <w:r>
        <w:t xml:space="preserve">Introduction</w:t>
      </w:r>
      <w:bookmarkEnd w:id="20"/>
    </w:p>
    <w:p>
      <w:pPr>
        <w:pStyle w:val="FirstParagraph"/>
      </w:pPr>
      <w:r>
        <w:t xml:space="preserve">Multi-agent large language model systems increasingly aggregate multiple agents</w:t>
      </w:r>
      <w:r>
        <w:t xml:space="preserve"> </w:t>
      </w:r>
      <w:r>
        <w:t xml:space="preserve">through voting, debate, or other consensus</w:t>
      </w:r>
      <w:r>
        <w:t xml:space="preserve"> </w:t>
      </w:r>
      <w:r>
        <w:t xml:space="preserve">mechanisms[1, 2].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monoculture[3].</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hypothesis[3] 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reduces within-ensemble 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magnitude of ensemble</w:t>
      </w:r>
      <w:r>
        <w:t xml:space="preserve"> </w:t>
      </w:r>
      <w:r>
        <w:t xml:space="preserve">de-correlation, the associated inference cost, and the effect of</w:t>
      </w:r>
      <w:r>
        <w:t xml:space="preserve"> </w:t>
      </w:r>
      <w:r>
        <w:t xml:space="preserve">independent-draw 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p>
      <w:pPr>
        <w:pStyle w:val="Heading4"/>
      </w:pPr>
      <w:bookmarkStart w:id="21" w:name="contributions"/>
      <w:r>
        <w:t xml:space="preserve">Contributions</w:t>
      </w:r>
      <w:bookmarkEnd w:id="21"/>
    </w:p>
    <w:p>
      <w:pPr>
        <w:pStyle w:val="FirstParagraph"/>
      </w:pPr>
      <w:r>
        <w:t xml:space="preserve">This paper makes the following contributions.</w:t>
      </w:r>
    </w:p>
    <w:p>
      <w:pPr>
        <w:numPr>
          <w:ilvl w:val="0"/>
          <w:numId w:val="1001"/>
        </w:numPr>
      </w:pPr>
      <w:r>
        <w:rPr>
          <w:i/>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t>Δ</m:t>
        </m:r>
        <m:r>
          <m:t>κ</m:t>
        </m:r>
        <m:r>
          <m:t>=</m:t>
        </m:r>
        <m:r>
          <m:t>0.336</m:t>
        </m:r>
      </m:oMath>
      <w:r>
        <w:t xml:space="preserve"> </w:t>
      </w:r>
      <w:r>
        <w:t xml:space="preserve">and a 95% confidence interval of</w:t>
      </w:r>
      <w:r>
        <w:t xml:space="preserve"> </w:t>
      </w:r>
      <m:oMath>
        <m:r>
          <m:t>[</m:t>
        </m:r>
        <m:r>
          <m:t>0.304</m:t>
        </m:r>
        <m:r>
          <m:t>,</m:t>
        </m:r>
        <m:r>
          <m:t>0.369</m:t>
        </m:r>
        <m:r>
          <m:t>]</m:t>
        </m:r>
      </m:oMath>
      <w:r>
        <w:t xml:space="preserve">.</w:t>
      </w:r>
    </w:p>
    <w:p>
      <w:pPr>
        <w:numPr>
          <w:ilvl w:val="0"/>
          <w:numId w:val="1001"/>
        </w:numPr>
      </w:pPr>
      <w:r>
        <w:rPr>
          <w:i/>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t>×</m:t>
        </m:r>
      </m:oMath>
      <w:r>
        <w:t xml:space="preserve"> </w:t>
      </w:r>
      <w:r>
        <w:t xml:space="preserve">increase in inference cost.</w:t>
      </w:r>
    </w:p>
    <w:p>
      <w:pPr>
        <w:numPr>
          <w:ilvl w:val="0"/>
          <w:numId w:val="1001"/>
        </w:numPr>
      </w:pPr>
      <w:r>
        <w:rPr>
          <w:i/>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de-correlation</w:t>
      </w:r>
      <w:r>
        <w:t xml:space="preserve"> </w:t>
      </w:r>
      <w:r>
        <w:t xml:space="preserve">effect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p>
      <w:pPr>
        <w:pStyle w:val="Heading1"/>
      </w:pPr>
      <w:bookmarkStart w:id="22" w:name="related-work"/>
      <w:r>
        <w:t xml:space="preserve">Related Work</w:t>
      </w:r>
      <w:bookmarkEnd w:id="22"/>
    </w:p>
    <w:p>
      <w:pPr>
        <w:pStyle w:val="Heading2"/>
      </w:pPr>
      <w:bookmarkStart w:id="23" w:name="llm-ensembles-and-mixture-of-agents"/>
      <w:r>
        <w:t xml:space="preserve">LLM ensembles and mixture-of-agents</w:t>
      </w:r>
      <w:bookmarkEnd w:id="23"/>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reliability[1, 2, 4].</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model[3].</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improvements[5].</w:t>
      </w:r>
    </w:p>
    <w:p>
      <w:pPr>
        <w:pStyle w:val="BodyText"/>
      </w:pPr>
      <w:r>
        <w:t xml:space="preserve">These findings have motivated diversity-aware methods such as the</w:t>
      </w:r>
      <w:r>
        <w:t xml:space="preserve"> </w:t>
      </w:r>
      <w:r>
        <w:t xml:space="preserve">focal-diversity pruning strategy used in LLM-TOPLA[6], the</w:t>
      </w:r>
      <w:r>
        <w:t xml:space="preserve"> </w:t>
      </w:r>
      <w:r>
        <w:t xml:space="preserve">fingerprint-based ensemble selection of DFPE[7], and heterogeneous</w:t>
      </w:r>
      <w:r>
        <w:t xml:space="preserve"> </w:t>
      </w:r>
      <w:r>
        <w:t xml:space="preserve">consensus frameworks such as Council Mode[8].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p>
      <w:pPr>
        <w:pStyle w:val="Heading2"/>
      </w:pPr>
      <w:bookmarkStart w:id="24" w:name="X364ca8ac753c97321324239b8298a79261c7758"/>
      <w:r>
        <w:t xml:space="preserve">Correlated errors and algorithmic monoculture</w:t>
      </w:r>
      <w:bookmarkEnd w:id="24"/>
    </w:p>
    <w:p>
      <w:pPr>
        <w:pStyle w:val="FirstParagraph"/>
      </w:pPr>
      <w:r>
        <w:t xml:space="preserve">Kim</w:t>
      </w:r>
      <w:r>
        <w:t xml:space="preserve"> </w:t>
      </w:r>
      <w:r>
        <w:rPr>
          <w:i/>
        </w:rPr>
        <w:t xml:space="preserve">et al.</w:t>
      </w:r>
      <w:r>
        <w:t xml:space="preserve">[3] 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Bugaud[9] 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p>
      <w:pPr>
        <w:pStyle w:val="Heading2"/>
      </w:pPr>
      <w:bookmarkStart w:id="25" w:name="Xbb85b8ce7f9ae6c4a372caf0c9db37fce9322f2"/>
      <w:r>
        <w:t xml:space="preserve">Inter-rater agreement and diversity metrics</w:t>
      </w:r>
      <w:bookmarkEnd w:id="25"/>
    </w:p>
    <w:p>
      <w:pPr>
        <w:pStyle w:val="FirstParagraph"/>
      </w:pPr>
      <w:r>
        <w:t xml:space="preserve">Fleiss’</w:t>
      </w:r>
      <w:r>
        <w:t xml:space="preserve"> </w:t>
      </w:r>
      <m:oMath>
        <m:r>
          <m:t>κ</m:t>
        </m:r>
      </m:oMath>
      <w:r>
        <w:t xml:space="preserve">[10] 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t>(</m:t>
        </m:r>
        <m:r>
          <m:rPr>
            <m:sty m:val="p"/>
          </m:rPr>
          <m:t>t</m:t>
        </m:r>
        <m:r>
          <m:rPr>
            <m:sty m:val="p"/>
          </m:rPr>
          <m:t>i</m:t>
        </m:r>
        <m:r>
          <m:rPr>
            <m:sty m:val="p"/>
          </m:rPr>
          <m:t>c</m:t>
        </m:r>
        <m:r>
          <m:rPr>
            <m:sty m:val="p"/>
          </m:rPr>
          <m:t>k</m:t>
        </m:r>
        <m:r>
          <m:rPr>
            <m:sty m:val="p"/>
          </m:rPr>
          <m:t>e</m:t>
        </m:r>
        <m:r>
          <m:rPr>
            <m:sty m:val="p"/>
          </m:rPr>
          <m:t>r</m:t>
        </m:r>
        <m:r>
          <m:t>,</m:t>
        </m:r>
        <m:r>
          <m:rPr>
            <m:sty m:val="p"/>
          </m:rPr>
          <m:t>d</m:t>
        </m:r>
        <m:r>
          <m:rPr>
            <m:sty m:val="p"/>
          </m:rPr>
          <m:t>a</m:t>
        </m:r>
        <m:r>
          <m:rPr>
            <m:sty m:val="p"/>
          </m:rPr>
          <m:t>t</m:t>
        </m:r>
        <m:r>
          <m:rPr>
            <m:sty m:val="p"/>
          </m:rPr>
          <m:t>e</m:t>
        </m:r>
        <m: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members[6],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[11] and Gwet’s AC1[12]. Statistical</w:t>
      </w:r>
      <w:r>
        <w:t xml:space="preserve"> </w:t>
      </w:r>
      <w:r>
        <w:t xml:space="preserve">uncertainty is estimated through cluster-bootstrap resampling at the equity</w:t>
      </w:r>
      <w:r>
        <w:t xml:space="preserve"> </w:t>
      </w:r>
      <w:r>
        <w:t xml:space="preserve">level[13].</w:t>
      </w:r>
    </w:p>
    <w:p>
      <w:pPr>
        <w:pStyle w:val="Heading2"/>
      </w:pPr>
      <w:bookmarkStart w:id="26" w:name="reproducibility-and-pre-registration"/>
      <w:r>
        <w:t xml:space="preserve">Reproducibility and pre-registration</w:t>
      </w:r>
      <w:bookmarkEnd w:id="26"/>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p>
      <w:pPr>
        <w:pStyle w:val="Heading1"/>
      </w:pPr>
      <w:bookmarkStart w:id="27" w:name="problem-formulation-and-metrics"/>
      <w:r>
        <w:t xml:space="preserve">Problem Formulation and Metrics</w:t>
      </w:r>
      <w:bookmarkEnd w:id="27"/>
    </w:p>
    <w:p>
      <w:pPr>
        <w:pStyle w:val="Heading2"/>
      </w:pPr>
      <w:bookmarkStart w:id="28" w:name="ensemble-configurations"/>
      <w:r>
        <w:t xml:space="preserve">Ensemble configurations</w:t>
      </w:r>
      <w:bookmarkEnd w:id="28"/>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t>=</m:t>
          </m:r>
          <m:nary>
            <m:naryPr>
              <m:chr m:val="∑"/>
              <m:limLoc m:val="undOvr"/>
              <m:subHide m:val="0"/>
              <m:supHide m:val="0"/>
            </m:naryPr>
            <m:sub>
              <m:r>
                <m:t>i</m:t>
              </m:r>
              <m:r>
                <m:t>=</m:t>
              </m:r>
              <m:r>
                <m:t>1</m:t>
              </m:r>
            </m:sub>
            <m:sup>
              <m:r>
                <m:t>5</m:t>
              </m:r>
            </m:sup>
            <m:e>
              <m:r>
                <m:rPr>
                  <m:sty m:val="p"/>
                  <m:scr m:val="double-struck"/>
                </m:rPr>
                <m:t>I</m:t>
              </m:r>
            </m:e>
          </m:nary>
          <m:d>
            <m:dPr>
              <m:begChr m:val="("/>
              <m:endChr m:val=")"/>
              <m:grow/>
            </m:dPr>
            <m:e>
              <m:sSub>
                <m:e>
                  <m:r>
                    <m:t>p</m:t>
                  </m:r>
                </m:e>
                <m:sub>
                  <m:r>
                    <m:t>i</m:t>
                  </m:r>
                </m:sub>
              </m:sSub>
              <m: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rPr>
        <w:t xml:space="preserve">HOM</w:t>
      </w:r>
      <w:r>
        <w:t xml:space="preserve"> </w:t>
      </w:r>
      <w:r>
        <w:t xml:space="preserve">(</w:t>
      </w:r>
      <m:oMath>
        <m:r>
          <m:t>h</m:t>
        </m:r>
        <m:r>
          <m:t>=</m:t>
        </m:r>
        <m:r>
          <m:t>0</m:t>
        </m:r>
      </m:oMath>
      <w:r>
        <w:t xml:space="preserve">): five agents using the primary-provider model;</w:t>
      </w:r>
    </w:p>
    <w:p>
      <w:pPr>
        <w:numPr>
          <w:ilvl w:val="0"/>
          <w:numId w:val="1002"/>
        </w:numPr>
      </w:pPr>
      <w:r>
        <w:rPr>
          <w:b/>
        </w:rPr>
        <w:t xml:space="preserve">HET-LITE</w:t>
      </w:r>
      <w:r>
        <w:t xml:space="preserve"> </w:t>
      </w:r>
      <w:r>
        <w:t xml:space="preserve">(</w:t>
      </w:r>
      <m:oMath>
        <m:r>
          <m:t>h</m:t>
        </m:r>
        <m:r>
          <m:t>=</m:t>
        </m:r>
        <m:r>
          <m:t>1</m:t>
        </m:r>
      </m:oMath>
      <w:r>
        <w:t xml:space="preserve">): four primary-provider agents and one Google</w:t>
      </w:r>
      <w:r>
        <w:t xml:space="preserve"> </w:t>
      </w:r>
      <w:r>
        <w:t xml:space="preserve">agent;</w:t>
      </w:r>
    </w:p>
    <w:p>
      <w:pPr>
        <w:numPr>
          <w:ilvl w:val="0"/>
          <w:numId w:val="1002"/>
        </w:numPr>
      </w:pPr>
      <w:r>
        <w:rPr>
          <w:b/>
        </w:rPr>
        <w:t xml:space="preserve">HET</w:t>
      </w:r>
      <w:r>
        <w:t xml:space="preserve"> </w:t>
      </w:r>
      <w:r>
        <w:t xml:space="preserve">(</w:t>
      </w:r>
      <m:oMath>
        <m:r>
          <m:t>h</m:t>
        </m:r>
        <m: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29"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pct" w:w="0.0"/>
        <w:tblLook w:firstRow="1"/>
        <w:tblCaption w:val="Model registry (verified via a live probe). Prices are USD per 10^6 tokens at time of experiment."/>
      </w:tblPr>
      <w:tblGrid/>
      <w:tr>
        <w:trPr>
          <w:cnfStyle w:firstRow="1"/>
        </w:trPr>
        <w:tc>
          <w:tcPr>
            <w:tcBorders>
              <w:bottom w:val="single"/>
            </w:tcBorders>
            <w:vAlign w:val="bottom"/>
          </w:tcPr>
          <w:p>
            <w:pPr>
              <w:pStyle w:val="Compact"/>
              <w:jc w:val="left"/>
            </w:pPr>
            <w:r>
              <w:t xml:space="preserve">Provider (role)</w:t>
            </w:r>
          </w:p>
        </w:tc>
        <w:tc>
          <w:tcPr>
            <w:tcBorders>
              <w:bottom w:val="single"/>
            </w:tcBorders>
            <w:vAlign w:val="bottom"/>
          </w:tcPr>
          <w:p>
            <w:pPr>
              <w:pStyle w:val="Compact"/>
              <w:jc w:val="left"/>
            </w:pPr>
            <w:r>
              <w:t xml:space="preserve">Model string</w:t>
            </w:r>
          </w:p>
        </w:tc>
        <w:tc>
          <w:tcPr>
            <w:tcBorders>
              <w:bottom w:val="single"/>
            </w:tcBorders>
            <w:vAlign w:val="bottom"/>
          </w:tcPr>
          <w:p>
            <w:pPr>
              <w:pStyle w:val="Compact"/>
              <w:jc w:val="left"/>
            </w:pPr>
            <w:r>
              <w:t xml:space="preserve">In</w:t>
            </w:r>
          </w:p>
        </w:tc>
        <w:tc>
          <w:tcPr>
            <w:tcBorders>
              <w:bottom w:val="single"/>
            </w:tcBorders>
            <w:vAlign w:val="bottom"/>
          </w:tcPr>
          <w:p>
            <w:pPr>
              <w:pStyle w:val="Compact"/>
              <w:jc w:val="left"/>
            </w:pPr>
            <w:r>
              <w:t xml:space="preserve">Out</w:t>
            </w:r>
          </w:p>
        </w:tc>
      </w:tr>
      <w:tr>
        <w:tc>
          <w:p>
            <w:pPr>
              <w:pStyle w:val="Compact"/>
              <w:jc w:val="left"/>
            </w:pPr>
            <w:r>
              <w:t xml:space="preserve">OpenAI (primary)</w:t>
            </w:r>
          </w:p>
        </w:tc>
        <w:tc>
          <w:p>
            <w:pPr>
              <w:pStyle w:val="Compact"/>
              <w:jc w:val="left"/>
            </w:pPr>
            <w:r>
              <w:t xml:space="preserve">gpt-5.4-nano</w:t>
            </w:r>
          </w:p>
        </w:tc>
        <w:tc>
          <w:p>
            <w:pPr>
              <w:pStyle w:val="Compact"/>
              <w:jc w:val="left"/>
            </w:pPr>
            <w:r>
              <w:t xml:space="preserve">0.20</w:t>
            </w:r>
          </w:p>
        </w:tc>
        <w:tc>
          <w:p>
            <w:pPr>
              <w:pStyle w:val="Compact"/>
              <w:jc w:val="left"/>
            </w:pPr>
            <w:r>
              <w:t xml:space="preserve">1.25</w:t>
            </w:r>
          </w:p>
        </w:tc>
      </w:tr>
      <w:tr>
        <w:tc>
          <w:p>
            <w:pPr>
              <w:pStyle w:val="Compact"/>
              <w:jc w:val="left"/>
            </w:pPr>
            <w:r>
              <w:t xml:space="preserve">Google (het.)</w:t>
            </w:r>
          </w:p>
        </w:tc>
        <w:tc>
          <w:p>
            <w:pPr>
              <w:pStyle w:val="Compact"/>
              <w:jc w:val="left"/>
            </w:pPr>
            <w:r>
              <w:t xml:space="preserve">gemini-3.5-flash</w:t>
            </w:r>
          </w:p>
        </w:tc>
        <w:tc>
          <w:p>
            <w:pPr>
              <w:pStyle w:val="Compact"/>
              <w:jc w:val="left"/>
            </w:pPr>
            <w:r>
              <w:t xml:space="preserve">1.50</w:t>
            </w:r>
          </w:p>
        </w:tc>
        <w:tc>
          <w:p>
            <w:pPr>
              <w:pStyle w:val="Compact"/>
              <w:jc w:val="left"/>
            </w:pPr>
            <w:r>
              <w:t xml:space="preserve">9.00</w:t>
            </w:r>
          </w:p>
        </w:tc>
      </w:tr>
      <w:tr>
        <w:tc>
          <w:p>
            <w:pPr>
              <w:pStyle w:val="Compact"/>
              <w:jc w:val="left"/>
            </w:pPr>
            <w:r>
              <w:t xml:space="preserve">xAI (het.)</w:t>
            </w:r>
          </w:p>
        </w:tc>
        <w:tc>
          <w:p>
            <w:pPr>
              <w:pStyle w:val="Compact"/>
              <w:jc w:val="left"/>
            </w:pPr>
            <w:r>
              <w:t xml:space="preserve">grok-4.3</w:t>
            </w:r>
          </w:p>
        </w:tc>
        <w:tc>
          <w:p>
            <w:pPr>
              <w:pStyle w:val="Compact"/>
              <w:jc w:val="left"/>
            </w:pPr>
            <w:r>
              <w:t xml:space="preserve">1.25</w:t>
            </w:r>
          </w:p>
        </w:tc>
        <w:tc>
          <w:p>
            <w:pPr>
              <w:pStyle w:val="Compact"/>
              <w:jc w:val="left"/>
            </w:pPr>
            <w:r>
              <w:t xml:space="preserve">2.50</w:t>
            </w:r>
          </w:p>
        </w:tc>
      </w:tr>
    </w:tbl>
    <w:bookmarkEnd w:id="29"/>
    <w:p>
      <w:pPr>
        <w:pStyle w:val="Heading2"/>
      </w:pPr>
      <w:bookmarkStart w:id="30" w:name="agreement-statistic"/>
      <w:r>
        <w:t xml:space="preserve">Agreement statistic</w:t>
      </w:r>
      <w:bookmarkEnd w:id="30"/>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t>=</m:t>
        </m:r>
        <m:r>
          <m:t>(</m:t>
        </m:r>
        <m:r>
          <m:rPr>
            <m:sty m:val="p"/>
          </m:rPr>
          <m:t>t</m:t>
        </m:r>
        <m:r>
          <m:rPr>
            <m:sty m:val="p"/>
          </m:rPr>
          <m:t>i</m:t>
        </m:r>
        <m:r>
          <m:rPr>
            <m:sty m:val="p"/>
          </m:rPr>
          <m:t>c</m:t>
        </m:r>
        <m:r>
          <m:rPr>
            <m:sty m:val="p"/>
          </m:rPr>
          <m:t>k</m:t>
        </m:r>
        <m:r>
          <m:rPr>
            <m:sty m:val="p"/>
          </m:rPr>
          <m:t>e</m:t>
        </m:r>
        <m:r>
          <m:rPr>
            <m:sty m:val="p"/>
          </m:rPr>
          <m:t>r</m:t>
        </m:r>
        <m:r>
          <m:t>,</m:t>
        </m:r>
        <m:r>
          <m:rPr>
            <m:sty m:val="p"/>
          </m:rPr>
          <m:t>d</m:t>
        </m:r>
        <m:r>
          <m:rPr>
            <m:sty m:val="p"/>
          </m:rPr>
          <m:t>a</m:t>
        </m:r>
        <m:r>
          <m:rPr>
            <m:sty m:val="p"/>
          </m:rPr>
          <m:t>t</m:t>
        </m:r>
        <m:r>
          <m:rPr>
            <m:sty m:val="p"/>
          </m:rPr>
          <m:t>e</m:t>
        </m:r>
        <m:r>
          <m:t>)</m:t>
        </m:r>
      </m:oMath>
      <w:r>
        <w:t xml:space="preserve">, the five agents return one categorical</w:t>
      </w:r>
      <w:r>
        <w:t xml:space="preserve"> </w:t>
      </w:r>
      <w:r>
        <w:t xml:space="preserve">direction from</w:t>
      </w:r>
      <w:r>
        <w:t xml:space="preserve"> </w:t>
      </w:r>
      <m:oMath>
        <m:r>
          <m:rPr>
            <m:sty m:val="p"/>
            <m:scr m:val="script"/>
          </m:rPr>
          <m:t>Y</m:t>
        </m:r>
        <m:r>
          <m:t>=</m:t>
        </m:r>
        <m:r>
          <m:t>{</m:t>
        </m:r>
        <m:r>
          <m:rPr>
            <m:sty m:val="p"/>
          </m:rPr>
          <m:t>B</m:t>
        </m:r>
        <m:r>
          <m:rPr>
            <m:sty m:val="p"/>
          </m:rPr>
          <m:t>U</m:t>
        </m:r>
        <m:r>
          <m:rPr>
            <m:sty m:val="p"/>
          </m:rPr>
          <m:t>Y</m:t>
        </m:r>
        <m:r>
          <m:t>,</m:t>
        </m:r>
        <m:r>
          <m:rPr>
            <m:sty m:val="p"/>
          </m:rPr>
          <m:t>H</m:t>
        </m:r>
        <m:r>
          <m:rPr>
            <m:sty m:val="p"/>
          </m:rPr>
          <m:t>O</m:t>
        </m:r>
        <m:r>
          <m:rPr>
            <m:sty m:val="p"/>
          </m:rPr>
          <m:t>L</m:t>
        </m:r>
        <m:r>
          <m:rPr>
            <m:sty m:val="p"/>
          </m:rPr>
          <m:t>D</m:t>
        </m:r>
        <m:r>
          <m:t>,</m:t>
        </m:r>
        <m:r>
          <m:rPr>
            <m:sty m:val="p"/>
          </m:rPr>
          <m:t>S</m:t>
        </m:r>
        <m:r>
          <m:rPr>
            <m:sty m:val="p"/>
          </m:rPr>
          <m:t>E</m:t>
        </m:r>
        <m:r>
          <m:rPr>
            <m:sty m:val="p"/>
          </m:rPr>
          <m:t>L</m:t>
        </m:r>
        <m:r>
          <m:rPr>
            <m:sty m:val="p"/>
          </m:rPr>
          <m:t>L</m:t>
        </m:r>
        <m: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t>,</m:t>
            </m:r>
            <m:r>
              <m:t>r</m:t>
            </m:r>
          </m:sub>
        </m:sSub>
      </m:oMath>
      <w:r>
        <w:t xml:space="preserve">. Configuration-level agreement is then defined as the</w:t>
      </w:r>
      <w:r>
        <w:t xml:space="preserve"> </w:t>
      </w:r>
      <w:r>
        <w:t xml:space="preserve">mean across the</w:t>
      </w:r>
      <w:r>
        <w:t xml:space="preserve"> </w:t>
      </w:r>
      <m:oMath>
        <m:r>
          <m:t>R</m:t>
        </m:r>
        <m:r>
          <m:t>=</m:t>
        </m:r>
        <m:r>
          <m:t>3</m:t>
        </m:r>
      </m:oMath>
      <w:r>
        <w:t xml:space="preserve"> </w:t>
      </w:r>
      <w:r>
        <w:t xml:space="preserve">runs:</w:t>
      </w:r>
    </w:p>
    <w:p>
      <w:pPr>
        <w:pStyle w:val="BodyText"/>
      </w:pPr>
      <m:oMathPara>
        <m:oMathParaPr>
          <m:jc m:val="center"/>
        </m:oMathParaPr>
        <m:oMath>
          <m:sSub>
            <m:e>
              <m:r>
                <m:t>κ</m:t>
              </m:r>
            </m:e>
            <m:sub>
              <m:r>
                <m:t>c</m:t>
              </m:r>
            </m:sub>
          </m:sSub>
          <m:r>
            <m:t>=</m:t>
          </m:r>
          <m:f>
            <m:fPr>
              <m:type m:val="bar"/>
            </m:fPr>
            <m:num>
              <m:r>
                <m:t>1</m:t>
              </m:r>
            </m:num>
            <m:den>
              <m:r>
                <m:t>R</m:t>
              </m:r>
            </m:den>
          </m:f>
          <m:nary>
            <m:naryPr>
              <m:chr m:val="∑"/>
              <m:limLoc m:val="undOvr"/>
              <m:subHide m:val="0"/>
              <m:supHide m:val="0"/>
            </m:naryPr>
            <m:sub>
              <m:r>
                <m:t>r</m:t>
              </m:r>
              <m:r>
                <m:t>=</m:t>
              </m:r>
              <m:r>
                <m:t>1</m:t>
              </m:r>
            </m:sub>
            <m:sup>
              <m:r>
                <m:t>R</m:t>
              </m:r>
            </m:sup>
            <m:e>
              <m:sSub>
                <m:e>
                  <m:r>
                    <m:t>κ</m:t>
                  </m:r>
                </m:e>
                <m:sub>
                  <m:r>
                    <m:t>c</m:t>
                  </m:r>
                  <m:r>
                    <m:t>,</m:t>
                  </m:r>
                  <m:r>
                    <m:t>r</m:t>
                  </m:r>
                </m:sub>
              </m:sSub>
            </m:e>
          </m:nary>
          <m: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t>=</m:t>
          </m:r>
          <m:sSub>
            <m:e>
              <m:r>
                <m:t>κ</m:t>
              </m:r>
            </m:e>
            <m:sub>
              <m:r>
                <m:rPr>
                  <m:sty m:val="p"/>
                </m:rPr>
                <m:t>H</m:t>
              </m:r>
              <m:r>
                <m:rPr>
                  <m:sty m:val="p"/>
                </m:rPr>
                <m:t>O</m:t>
              </m:r>
              <m:r>
                <m:rPr>
                  <m:sty m:val="p"/>
                </m:rPr>
                <m:t>M</m:t>
              </m:r>
            </m:sub>
          </m:sSub>
          <m:r>
            <m:t>−</m:t>
          </m:r>
          <m:sSub>
            <m:e>
              <m:r>
                <m:t>κ</m:t>
              </m:r>
            </m:e>
            <m:sub>
              <m:r>
                <m:rPr>
                  <m:sty m:val="p"/>
                </m:rPr>
                <m:t>H</m:t>
              </m:r>
              <m:r>
                <m:rPr>
                  <m:sty m:val="p"/>
                </m:rPr>
                <m:t>E</m:t>
              </m:r>
              <m:r>
                <m:rPr>
                  <m:sty m:val="p"/>
                </m:rPr>
                <m:t>T</m:t>
              </m:r>
            </m:sub>
          </m:sSub>
          <m:r>
            <m:t>.</m:t>
          </m:r>
        </m:oMath>
      </m:oMathPara>
    </w:p>
    <w:p>
      <w:pPr>
        <w:pStyle w:val="FirstParagraph"/>
      </w:pPr>
      <w:r>
        <w:t xml:space="preserve">The pre-registered secondary contrasts are</w:t>
      </w:r>
      <w:r>
        <w:t xml:space="preserve"> </w:t>
      </w: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m:t>
        </m:r>
        <m:sSub>
          <m:e>
            <m:r>
              <m:t>κ</m:t>
            </m:r>
          </m:e>
          <m:sub>
            <m:r>
              <m:rPr>
                <m:sty m:val="p"/>
              </m:rPr>
              <m:t>H</m:t>
            </m:r>
            <m:r>
              <m:rPr>
                <m:sty m:val="p"/>
              </m:rPr>
              <m:t>O</m:t>
            </m:r>
            <m:r>
              <m:rPr>
                <m:sty m:val="p"/>
              </m:rPr>
              <m:t>M</m:t>
            </m:r>
          </m:sub>
        </m:sSub>
        <m: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m:t>
        </m:r>
        <m:sSub>
          <m:e>
            <m:r>
              <m:t>κ</m:t>
            </m:r>
          </m:e>
          <m:sub>
            <m:r>
              <m:rPr>
                <m:sty m:val="p"/>
              </m:rPr>
              <m:t>H</m:t>
            </m:r>
            <m:r>
              <m:rPr>
                <m:sty m:val="p"/>
              </m:rPr>
              <m:t>E</m:t>
            </m:r>
            <m:r>
              <m:rPr>
                <m:sty m:val="p"/>
              </m:rPr>
              <m:t>T</m:t>
            </m:r>
          </m:sub>
        </m:sSub>
      </m:oMath>
      <w:r>
        <w:t xml:space="preserve">.</w:t>
      </w:r>
      <w:r>
        <w:t xml:space="preserve"> </w:t>
      </w:r>
      <w:r>
        <w:t xml:space="preserve">Positive values indicate that increasing cross-provider heterogeneity reduces</w:t>
      </w:r>
      <w:r>
        <w:t xml:space="preserve"> </w:t>
      </w:r>
      <w:r>
        <w:t xml:space="preserve">within-ensemble agreement.</w:t>
      </w:r>
    </w:p>
    <w:p>
      <w:pPr>
        <w:pStyle w:val="Heading2"/>
      </w:pPr>
      <w:bookmarkStart w:id="31" w:name="sec:estimand"/>
      <w:r>
        <w:t xml:space="preserve">Independent-draw estimand</w:t>
      </w:r>
      <w:bookmarkEnd w:id="31"/>
    </w:p>
    <w:p>
      <w:pPr>
        <w:pStyle w:val="FirstParagraph"/>
      </w:pP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t>,</m:t>
              </m:r>
              <m:r>
                <m:t>c</m:t>
              </m:r>
              <m:r>
                <m:t>,</m:t>
              </m:r>
              <m:r>
                <m:t>s</m:t>
              </m:r>
              <m:r>
                <m:t>,</m:t>
              </m:r>
              <m:r>
                <m:t>i</m:t>
              </m:r>
            </m:sub>
          </m:sSub>
          <m:r>
            <m:t>=</m:t>
          </m:r>
          <m:r>
            <m:rPr>
              <m:sty m:val="p"/>
            </m:rPr>
            <m:t>S</m:t>
          </m:r>
          <m:r>
            <m:rPr>
              <m:sty m:val="p"/>
            </m:rPr>
            <m:t>H</m:t>
          </m:r>
          <m:r>
            <m:rPr>
              <m:sty m:val="p"/>
            </m:rPr>
            <m:t>A</m:t>
          </m:r>
          <m:r>
            <m:rPr>
              <m:nor/>
              <m:sty m:val="p"/>
            </m:rPr>
            <m:t>-</m:t>
          </m:r>
          <m:r>
            <m:rPr>
              <m:sty m:val="p"/>
            </m:rPr>
            <m:t>256</m:t>
          </m:r>
          <m:r>
            <m:t>(</m:t>
          </m:r>
          <m:r>
            <m:rPr>
              <m:sty m:val="p"/>
            </m:rPr>
            <m:t>m</m:t>
          </m:r>
          <m:r>
            <m:rPr>
              <m:sty m:val="p"/>
            </m:rPr>
            <m:t>a</m:t>
          </m:r>
          <m:r>
            <m:rPr>
              <m:sty m:val="p"/>
            </m:rPr>
            <m:t>s</m:t>
          </m:r>
          <m:r>
            <m:rPr>
              <m:sty m:val="p"/>
            </m:rPr>
            <m:t>t</m:t>
          </m:r>
          <m:r>
            <m:rPr>
              <m:sty m:val="p"/>
            </m:rPr>
            <m:t>e</m:t>
          </m:r>
          <m:r>
            <m:rPr>
              <m:sty m:val="p"/>
            </m:rPr>
            <m:t>r</m:t>
          </m:r>
          <m:r>
            <m:t>,</m:t>
          </m:r>
          <m:r>
            <m:t>r</m:t>
          </m:r>
          <m:r>
            <m:t>,</m:t>
          </m:r>
          <m:r>
            <m:t>c</m:t>
          </m:r>
          <m:r>
            <m:t>,</m:t>
          </m:r>
          <m:r>
            <m:rPr>
              <m:sty m:val="p"/>
            </m:rPr>
            <m:t>t</m:t>
          </m:r>
          <m:r>
            <m:rPr>
              <m:sty m:val="p"/>
            </m:rPr>
            <m:t>i</m:t>
          </m:r>
          <m:r>
            <m:rPr>
              <m:sty m:val="p"/>
            </m:rPr>
            <m:t>c</m:t>
          </m:r>
          <m:r>
            <m:rPr>
              <m:sty m:val="p"/>
            </m:rPr>
            <m:t>k</m:t>
          </m:r>
          <m:r>
            <m:rPr>
              <m:sty m:val="p"/>
            </m:rPr>
            <m:t>e</m:t>
          </m:r>
          <m:r>
            <m:rPr>
              <m:sty m:val="p"/>
            </m:rPr>
            <m:t>r</m:t>
          </m:r>
          <m:r>
            <m:t>,</m:t>
          </m:r>
          <m:r>
            <m:rPr>
              <m:sty m:val="p"/>
            </m:rPr>
            <m:t>d</m:t>
          </m:r>
          <m:r>
            <m:rPr>
              <m:sty m:val="p"/>
            </m:rPr>
            <m:t>a</m:t>
          </m:r>
          <m:r>
            <m:rPr>
              <m:sty m:val="p"/>
            </m:rPr>
            <m:t>t</m:t>
          </m:r>
          <m:r>
            <m:rPr>
              <m:sty m:val="p"/>
            </m:rPr>
            <m:t>e</m:t>
          </m:r>
          <m:r>
            <m:t>,</m:t>
          </m:r>
          <m:r>
            <m:t>i</m:t>
          </m:r>
          <m:r>
            <m:t>)</m:t>
          </m:r>
          <m:box>
            <m:boxPr>
              <m:opEmu m:val="1"/>
            </m:boxPr>
            <m:e>
              <m:r>
                <m:t>mod</m:t>
              </m:r>
            </m:e>
          </m:box>
          <m:sSup>
            <m:e>
              <m:r>
                <m:t>2</m:t>
              </m:r>
            </m:e>
            <m:sup>
              <m:r>
                <m:t>31</m:t>
              </m:r>
            </m:sup>
          </m:sSup>
          <m: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p>
      <w:pPr>
        <w:pStyle w:val="Heading2"/>
      </w:pPr>
      <w:bookmarkStart w:id="32" w:name="uncertainty-quantification"/>
      <w:r>
        <w:t xml:space="preserve">Uncertainty quantification</w:t>
      </w:r>
      <w:bookmarkEnd w:id="32"/>
    </w:p>
    <w:p>
      <w:pPr>
        <w:pStyle w:val="FirstParagraph"/>
      </w:pPr>
      <w:r>
        <w:t xml:space="preserve">Uncertainty in the agreement contrasts is estimated using a cluster bootstrap</w:t>
      </w:r>
      <w:r>
        <w:t xml:space="preserve"> </w:t>
      </w:r>
      <w:r>
        <w:t xml:space="preserve">with equities as the resampling unit[13].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t>&gt;</m:t>
        </m:r>
        <m:r>
          <m:t>0</m:t>
        </m:r>
      </m:oMath>
      <w:r>
        <w:t xml:space="preserve"> </w:t>
      </w:r>
      <w:r>
        <w:t xml:space="preserve">and its 95% confidence interval excludes</w:t>
      </w:r>
      <w:r>
        <w:t xml:space="preserve"> </w:t>
      </w:r>
      <w:r>
        <w:t xml:space="preserve">zero.</w:t>
      </w:r>
    </w:p>
    <w:p>
      <w:pPr>
        <w:pStyle w:val="Heading1"/>
      </w:pPr>
      <w:bookmarkStart w:id="33" w:name="experimental-design"/>
      <w:r>
        <w:t xml:space="preserve">Experimental Design</w:t>
      </w:r>
      <w:bookmarkEnd w:id="33"/>
    </w:p>
    <w:p>
      <w:pPr>
        <w:pStyle w:val="Heading2"/>
      </w:pPr>
      <w:bookmarkStart w:id="34" w:name="task-and-grid"/>
      <w:r>
        <w:t xml:space="preserve">Task and grid</w:t>
      </w:r>
      <w:bookmarkEnd w:id="34"/>
    </w:p>
    <w:p>
      <w:pPr>
        <w:pStyle w:val="FirstParagraph"/>
      </w:pPr>
      <w:r>
        <w:t xml:space="preserve">For each evaluation cell</w:t>
      </w:r>
      <w:r>
        <w:t xml:space="preserve"> </w:t>
      </w:r>
      <m:oMath>
        <m:r>
          <m:t>s</m:t>
        </m:r>
        <m:r>
          <m:t>=</m:t>
        </m:r>
        <m:r>
          <m:t>(</m:t>
        </m:r>
        <m:r>
          <m:t>j</m:t>
        </m:r>
        <m:r>
          <m:t>,</m:t>
        </m:r>
        <m:r>
          <m:t>t</m:t>
        </m:r>
        <m: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t>{</m:t>
        </m:r>
        <m:r>
          <m:rPr>
            <m:sty m:val="p"/>
          </m:rPr>
          <m:t>B</m:t>
        </m:r>
        <m:r>
          <m:rPr>
            <m:sty m:val="p"/>
          </m:rPr>
          <m:t>U</m:t>
        </m:r>
        <m:r>
          <m:rPr>
            <m:sty m:val="p"/>
          </m:rPr>
          <m:t>Y</m:t>
        </m:r>
        <m:r>
          <m:t>,</m:t>
        </m:r>
        <m:r>
          <m:rPr>
            <m:sty m:val="p"/>
          </m:rPr>
          <m:t>H</m:t>
        </m:r>
        <m:r>
          <m:rPr>
            <m:sty m:val="p"/>
          </m:rPr>
          <m:t>O</m:t>
        </m:r>
        <m:r>
          <m:rPr>
            <m:sty m:val="p"/>
          </m:rPr>
          <m:t>L</m:t>
        </m:r>
        <m:r>
          <m:rPr>
            <m:sty m:val="p"/>
          </m:rPr>
          <m:t>D</m:t>
        </m:r>
        <m:r>
          <m:t>,</m:t>
        </m:r>
        <m:r>
          <m:rPr>
            <m:sty m:val="p"/>
          </m:rPr>
          <m:t>S</m:t>
        </m:r>
        <m:r>
          <m:rPr>
            <m:sty m:val="p"/>
          </m:rPr>
          <m:t>E</m:t>
        </m:r>
        <m:r>
          <m:rPr>
            <m:sty m:val="p"/>
          </m:rPr>
          <m:t>L</m:t>
        </m:r>
        <m:r>
          <m:rPr>
            <m:sty m:val="p"/>
          </m:rPr>
          <m:t>L</m:t>
        </m:r>
        <m: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t>×</m:t>
        </m:r>
        <m:r>
          <m:t>12</m:t>
        </m:r>
        <m:r>
          <m:t>×</m:t>
        </m:r>
        <m:r>
          <m:t>3</m:t>
        </m:r>
        <m:r>
          <m:t>×</m:t>
        </m:r>
        <m:r>
          <m:t>3</m:t>
        </m:r>
        <m:r>
          <m:t>×</m:t>
        </m:r>
        <m:r>
          <m:t>5</m:t>
        </m:r>
        <m:r>
          <m:t>=</m:t>
        </m:r>
        <m:r>
          <m:t>54</m:t>
        </m:r>
        <m: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p>
      <w:pPr>
        <w:pStyle w:val="Heading2"/>
      </w:pPr>
      <w:bookmarkStart w:id="35" w:name="no-lookahead-context"/>
      <w:r>
        <w:t xml:space="preserve">No-lookahead context</w:t>
      </w:r>
      <w:bookmarkEnd w:id="35"/>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t>,</m:t>
              </m:r>
              <m:r>
                <m:t>t</m:t>
              </m:r>
            </m:sub>
          </m:sSub>
          <m:r>
            <m:t>=</m:t>
          </m:r>
          <m:f>
            <m:fPr>
              <m:type m:val="bar"/>
            </m:fPr>
            <m:num>
              <m:sSub>
                <m:e>
                  <m:r>
                    <m:t>P</m:t>
                  </m:r>
                </m:e>
                <m:sub>
                  <m:r>
                    <m:t>j</m:t>
                  </m:r>
                  <m:r>
                    <m:t>,</m:t>
                  </m:r>
                  <m:r>
                    <m:t>t</m:t>
                  </m:r>
                  <m:r>
                    <m:t>−</m:t>
                  </m:r>
                  <m:r>
                    <m:t>1</m:t>
                  </m:r>
                </m:sub>
              </m:sSub>
              <m:r>
                <m:t>−</m:t>
              </m:r>
              <m:limLow>
                <m:e>
                  <m:r>
                    <m:rPr>
                      <m:nor/>
                      <m:sty m:val="p"/>
                    </m:rPr>
                    <m:t>min</m:t>
                  </m:r>
                </m:e>
                <m:lim>
                  <m:r>
                    <m:t>τ</m:t>
                  </m:r>
                  <m:r>
                    <m:t>∈</m:t>
                  </m:r>
                  <m:sSub>
                    <m:e>
                      <m:r>
                        <m:t>W</m:t>
                      </m:r>
                    </m:e>
                    <m:sub>
                      <m:r>
                        <m:t>63</m:t>
                      </m:r>
                    </m:sub>
                  </m:sSub>
                </m:lim>
              </m:limLow>
              <m:sSub>
                <m:e>
                  <m:r>
                    <m:t>P</m:t>
                  </m:r>
                </m:e>
                <m:sub>
                  <m:r>
                    <m:t>j</m:t>
                  </m:r>
                  <m:r>
                    <m:t>,</m:t>
                  </m:r>
                  <m:r>
                    <m:t>τ</m:t>
                  </m:r>
                </m:sub>
              </m:sSub>
            </m:num>
            <m:den>
              <m:limLow>
                <m:e>
                  <m:r>
                    <m:rPr>
                      <m:nor/>
                      <m:sty m:val="p"/>
                    </m:rPr>
                    <m:t>max</m:t>
                  </m:r>
                </m:e>
                <m:lim>
                  <m:r>
                    <m:t>τ</m:t>
                  </m:r>
                  <m:r>
                    <m:t>∈</m:t>
                  </m:r>
                  <m:sSub>
                    <m:e>
                      <m:r>
                        <m:t>W</m:t>
                      </m:r>
                    </m:e>
                    <m:sub>
                      <m:r>
                        <m:t>63</m:t>
                      </m:r>
                    </m:sub>
                  </m:sSub>
                </m:lim>
              </m:limLow>
              <m:sSub>
                <m:e>
                  <m:r>
                    <m:t>P</m:t>
                  </m:r>
                </m:e>
                <m:sub>
                  <m:r>
                    <m:t>j</m:t>
                  </m:r>
                  <m:r>
                    <m:t>,</m:t>
                  </m:r>
                  <m:r>
                    <m:t>τ</m:t>
                  </m:r>
                </m:sub>
              </m:sSub>
              <m:r>
                <m:t>−</m:t>
              </m:r>
              <m:limLow>
                <m:e>
                  <m:r>
                    <m:rPr>
                      <m:nor/>
                      <m:sty m:val="p"/>
                    </m:rPr>
                    <m:t>min</m:t>
                  </m:r>
                </m:e>
                <m:lim>
                  <m:r>
                    <m:t>τ</m:t>
                  </m:r>
                  <m:r>
                    <m:t>∈</m:t>
                  </m:r>
                  <m:sSub>
                    <m:e>
                      <m:r>
                        <m:t>W</m:t>
                      </m:r>
                    </m:e>
                    <m:sub>
                      <m:r>
                        <m:t>63</m:t>
                      </m:r>
                    </m:sub>
                  </m:sSub>
                </m:lim>
              </m:limLow>
              <m:sSub>
                <m:e>
                  <m:r>
                    <m:t>P</m:t>
                  </m:r>
                </m:e>
                <m:sub>
                  <m:r>
                    <m:t>j</m:t>
                  </m:r>
                  <m:r>
                    <m:t>,</m:t>
                  </m:r>
                  <m:r>
                    <m:t>τ</m:t>
                  </m:r>
                </m:sub>
              </m:sSub>
            </m:den>
          </m:f>
          <m: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p>
      <w:pPr>
        <w:pStyle w:val="Heading2"/>
      </w:pPr>
      <w:bookmarkStart w:id="36" w:name="models"/>
      <w:r>
        <w:t xml:space="preserve">Models</w:t>
      </w:r>
      <w:bookmarkEnd w:id="36"/>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3.3</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37" w:name="tab:endpoints"/>
    <w:p>
      <w:pPr>
        <w:pStyle w:val="TableCaption"/>
      </w:pPr>
      <w:r>
        <w:t xml:space="preserve">Primary and secondary</w:t>
      </w:r>
      <w:r>
        <w:t xml:space="preserve"> </w:t>
      </w:r>
      <m:oMath>
        <m: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pct" w:w="0.0"/>
        <w:tblLook w:firstRow="1"/>
        <w:tblCaption w:val="Primary and secondary \Delta\kappa (cluster bootstrap over equities, 2,000 draws, seed 42)."/>
      </w:tblPr>
      <w:tblGrid/>
      <w:tr>
        <w:trPr>
          <w:cnfStyle w:firstRow="1"/>
        </w:trPr>
        <w:tc>
          <w:tcPr>
            <w:tcBorders>
              <w:bottom w:val="single"/>
            </w:tcBorders>
            <w:vAlign w:val="bottom"/>
          </w:tcPr>
          <w:p>
            <w:pPr>
              <w:pStyle w:val="Compact"/>
              <w:jc w:val="left"/>
            </w:pPr>
            <w:r>
              <w:t xml:space="preserve">Contrast</w:t>
            </w:r>
          </w:p>
        </w:tc>
        <w:tc>
          <w:tcPr>
            <w:tcBorders>
              <w:bottom w:val="single"/>
            </w:tcBorders>
            <w:vAlign w:val="bottom"/>
          </w:tcPr>
          <w:p>
            <w:pPr>
              <w:pStyle w:val="Compact"/>
              <w:jc w:val="left"/>
            </w:pPr>
            <m:oMath>
              <m:r>
                <m:t>Δ</m:t>
              </m:r>
              <m:r>
                <m:t>κ</m:t>
              </m:r>
            </m:oMath>
          </w:p>
        </w:tc>
        <w:tc>
          <w:tcPr>
            <w:tcBorders>
              <w:bottom w:val="single"/>
            </w:tcBorders>
            <w:vAlign w:val="bottom"/>
          </w:tcPr>
          <w:p>
            <w:pPr>
              <w:pStyle w:val="Compact"/>
              <w:jc w:val="left"/>
            </w:pPr>
            <w:r>
              <w:t xml:space="preserve">95% CI</w:t>
            </w:r>
          </w:p>
        </w:tc>
      </w:tr>
      <w:tr>
        <w:tc>
          <w:p>
            <w:pPr>
              <w:pStyle w:val="Compact"/>
              <w:jc w:val="left"/>
            </w:pPr>
            <w:r>
              <w:t xml:space="preserve">HOM</w:t>
            </w:r>
            <w:r>
              <w:t xml:space="preserve"> </w:t>
            </w:r>
            <m:oMath>
              <m:r>
                <m:t>−</m:t>
              </m:r>
            </m:oMath>
            <w:r>
              <w:t xml:space="preserve"> </w:t>
            </w:r>
            <w:r>
              <w:t xml:space="preserve">HET (primary)</w:t>
            </w:r>
          </w:p>
        </w:tc>
        <w:tc>
          <w:p>
            <w:pPr>
              <w:pStyle w:val="Compact"/>
              <w:jc w:val="left"/>
            </w:pPr>
            <w:r>
              <w:t xml:space="preserve">0.336</w:t>
            </w:r>
          </w:p>
        </w:tc>
        <w:tc>
          <w:p>
            <w:pPr>
              <w:pStyle w:val="Compact"/>
              <w:jc w:val="left"/>
            </w:pPr>
            <m:oMath>
              <m:r>
                <m:t>[</m:t>
              </m:r>
              <m:r>
                <m:t>0.304</m:t>
              </m:r>
              <m:r>
                <m:t>,</m:t>
              </m:r>
              <m:r>
                <m:t> </m:t>
              </m:r>
              <m:r>
                <m:t>0.369</m:t>
              </m:r>
              <m:r>
                <m:t>]</m:t>
              </m:r>
            </m:oMath>
          </w:p>
        </w:tc>
      </w:tr>
      <w:tr>
        <w:tc>
          <w:p>
            <w:pPr>
              <w:pStyle w:val="Compact"/>
              <w:jc w:val="left"/>
            </w:pPr>
            <w:r>
              <w:t xml:space="preserve">HOM</w:t>
            </w:r>
            <w:r>
              <w:t xml:space="preserve"> </w:t>
            </w:r>
            <m:oMath>
              <m:r>
                <m:t>−</m:t>
              </m:r>
            </m:oMath>
            <w:r>
              <w:t xml:space="preserve"> </w:t>
            </w:r>
            <w:r>
              <w:t xml:space="preserve">HET-LITE</w:t>
            </w:r>
          </w:p>
        </w:tc>
        <w:tc>
          <w:p>
            <w:pPr>
              <w:pStyle w:val="Compact"/>
              <w:jc w:val="left"/>
            </w:pPr>
            <w:r>
              <w:t xml:space="preserve">0.249</w:t>
            </w:r>
          </w:p>
        </w:tc>
        <w:tc>
          <w:p>
            <w:pPr>
              <w:pStyle w:val="Compact"/>
              <w:jc w:val="left"/>
            </w:pPr>
            <m:oMath>
              <m:r>
                <m:t>[</m:t>
              </m:r>
              <m:r>
                <m:t>0.218</m:t>
              </m:r>
              <m:r>
                <m:t>,</m:t>
              </m:r>
              <m:r>
                <m:t> </m:t>
              </m:r>
              <m:r>
                <m:t>0.280</m:t>
              </m:r>
              <m:r>
                <m:t>]</m:t>
              </m:r>
            </m:oMath>
          </w:p>
        </w:tc>
      </w:tr>
      <w:tr>
        <w:tc>
          <w:p>
            <w:pPr>
              <w:pStyle w:val="Compact"/>
              <w:jc w:val="left"/>
            </w:pPr>
            <w:r>
              <w:t xml:space="preserve">HET-LITE</w:t>
            </w:r>
            <w:r>
              <w:t xml:space="preserve"> </w:t>
            </w:r>
            <m:oMath>
              <m:r>
                <m:t>−</m:t>
              </m:r>
            </m:oMath>
            <w:r>
              <w:t xml:space="preserve"> </w:t>
            </w:r>
            <w:r>
              <w:t xml:space="preserve">HET</w:t>
            </w:r>
          </w:p>
        </w:tc>
        <w:tc>
          <w:p>
            <w:pPr>
              <w:pStyle w:val="Compact"/>
              <w:jc w:val="left"/>
            </w:pPr>
            <w:r>
              <w:t xml:space="preserve">0.087</w:t>
            </w:r>
          </w:p>
        </w:tc>
        <w:tc>
          <w:p>
            <w:pPr>
              <w:pStyle w:val="Compact"/>
              <w:jc w:val="left"/>
            </w:pPr>
            <m:oMath>
              <m:r>
                <m:t>[</m:t>
              </m:r>
              <m:r>
                <m:t>0.067</m:t>
              </m:r>
              <m:r>
                <m:t>,</m:t>
              </m:r>
              <m:r>
                <m:t> </m:t>
              </m:r>
              <m:r>
                <m:t>0.105</m:t>
              </m:r>
              <m:r>
                <m:t>]</m:t>
              </m:r>
            </m:oMath>
          </w:p>
        </w:tc>
      </w:tr>
    </w:tbl>
    <w:bookmarkEnd w:id="37"/>
    <w:p>
      <w:pPr>
        <w:pStyle w:val="Heading2"/>
      </w:pPr>
      <w:bookmarkStart w:id="38" w:name="sec:prereg"/>
      <w:r>
        <w:t xml:space="preserve">Pre-registration, freezing, and reproducibility</w:t>
      </w:r>
      <w:bookmarkEnd w:id="38"/>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p>
      <w:pPr>
        <w:pStyle w:val="Heading1"/>
      </w:pPr>
      <w:bookmarkStart w:id="39" w:name="results"/>
      <w:r>
        <w:t xml:space="preserve">Results</w:t>
      </w:r>
      <w:bookmarkEnd w:id="39"/>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p>
      <w:pPr>
        <w:pStyle w:val="Heading2"/>
      </w:pPr>
      <w:bookmarkStart w:id="40" w:name="Xec9ec511394943af17cc3289dbc0d82397e4829"/>
      <w:r>
        <w:t xml:space="preserve">Heterogeneity de-correlates ensembles (primary)</w:t>
      </w:r>
      <w:bookmarkEnd w:id="40"/>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t>=</m:t>
          </m:r>
          <m:sSub>
            <m:e>
              <m:r>
                <m:t>κ</m:t>
              </m:r>
            </m:e>
            <m:sub>
              <m:r>
                <m:rPr>
                  <m:sty m:val="p"/>
                </m:rPr>
                <m:t>H</m:t>
              </m:r>
              <m:r>
                <m:rPr>
                  <m:sty m:val="p"/>
                </m:rPr>
                <m:t>O</m:t>
              </m:r>
              <m:r>
                <m:rPr>
                  <m:sty m:val="p"/>
                </m:rPr>
                <m:t>M</m:t>
              </m:r>
            </m:sub>
          </m:sSub>
          <m:r>
            <m:t>−</m:t>
          </m:r>
          <m:sSub>
            <m:e>
              <m:r>
                <m:t>κ</m:t>
              </m:r>
            </m:e>
            <m:sub>
              <m:r>
                <m:rPr>
                  <m:sty m:val="p"/>
                </m:rPr>
                <m:t>H</m:t>
              </m:r>
              <m:r>
                <m:rPr>
                  <m:sty m:val="p"/>
                </m:rPr>
                <m:t>E</m:t>
              </m:r>
              <m:r>
                <m:rPr>
                  <m:sty m:val="p"/>
                </m:rPr>
                <m:t>T</m:t>
              </m:r>
            </m:sub>
          </m:sSub>
          <m:r>
            <m:t>=</m:t>
          </m:r>
          <m:r>
            <m:t>0.336</m:t>
          </m:r>
          <m:r>
            <m:t>,</m:t>
          </m:r>
        </m:oMath>
      </m:oMathPara>
    </w:p>
    <w:p>
      <w:pPr>
        <w:pStyle w:val="FirstParagraph"/>
      </w:pPr>
      <w:r>
        <w:t xml:space="preserve">with a 95% cluster-bootstrap confidence interval of</w:t>
      </w:r>
      <w:r>
        <w:t xml:space="preserve"> </w:t>
      </w:r>
      <m:oMath>
        <m:r>
          <m:t>[</m:t>
        </m:r>
        <m:r>
          <m:t>0.304</m:t>
        </m:r>
        <m:r>
          <m:t>,</m:t>
        </m:r>
        <m:r>
          <m:t>0.369</m:t>
        </m:r>
        <m:r>
          <m:t>]</m:t>
        </m:r>
      </m:oMath>
      <w:r>
        <w:t xml:space="preserve">. Because</w:t>
      </w:r>
      <w:r>
        <w:t xml:space="preserve"> </w:t>
      </w:r>
      <w:r>
        <w:t xml:space="preserve">the confidence interval excludes zero, the pre-registered primary hypothesis</w:t>
      </w:r>
      <w:r>
        <w:t xml:space="preserve"> </w:t>
      </w:r>
      <w:r>
        <w:t xml:space="preserve">that cross-provider heterogeneity reduces within-ensemble agreement is</w:t>
      </w:r>
      <w:r>
        <w:t xml:space="preserve"> </w:t>
      </w:r>
      <w:r>
        <w:t xml:space="preserve">supported. In Landis–Koch[14] terms, homogeneous ensembles reach</w:t>
      </w:r>
      <w:r>
        <w:t xml:space="preserve"> </w:t>
      </w:r>
      <w:r>
        <w:t xml:space="preserve">“</w:t>
      </w:r>
      <w:r>
        <w:t xml:space="preserve">moderate–substantial</w:t>
      </w:r>
      <w:r>
        <w:t xml:space="preserve">”</w:t>
      </w:r>
      <w:r>
        <w:t xml:space="preserve"> </w:t>
      </w:r>
      <w:r>
        <w:t xml:space="preserve">internal agreement while fully heterogeneous ones fall</w:t>
      </w:r>
      <w:r>
        <w:t xml:space="preserve"> </w:t>
      </w:r>
      <w:r>
        <w:t xml:space="preserve">to</w:t>
      </w:r>
      <w:r>
        <w:t xml:space="preserve"> </w:t>
      </w:r>
      <w:r>
        <w:t xml:space="preserve">“</w:t>
      </w:r>
      <w:r>
        <w:t xml:space="preserve">fair.</w:t>
      </w:r>
      <w:r>
        <w:t xml:space="preserve">”</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Agreement</w:t>
      </w:r>
      <w:r>
        <w:t xml:space="preserve"> </w:t>
      </w:r>
      <w:r>
        <w:t xml:space="preserve">therefore decreases at each observed increase in heterogeneity, from HOM to</w:t>
      </w:r>
      <w:r>
        <w:t xml:space="preserve"> </w:t>
      </w:r>
      <w:r>
        <w:t xml:space="preserve">HET-LITE and from HET-LITE to HET. These results establish a monotonic</w:t>
      </w:r>
      <w:r>
        <w:t xml:space="preserve"> </w:t>
      </w:r>
      <w:r>
        <w:t xml:space="preserve">relationship between provider heterogeneity and within-ensemble de-correlation</w:t>
      </w:r>
      <w:r>
        <w:t xml:space="preserve"> </w:t>
      </w:r>
      <w:r>
        <w:t xml:space="preserve">in the evaluated task.</w:t>
      </w:r>
    </w:p>
    <w:p>
      <w:pPr>
        <w:pStyle w:val="CaptionedFigure"/>
      </w:pPr>
      <w:bookmarkStart w:id="42" w:name="fig:frontier"/>
      <w:r>
        <w:drawing>
          <wp:inline>
            <wp:extent cx="5334000" cy="3733799"/>
            <wp:effectExtent b="0" l="0" r="0" t="0"/>
            <wp:docPr descr="Agreement–cost frontier. Within-ensemble Fleiss’ \kappa (y) versus cost per ensemble decision (x) at heterogeneity levels \{0, 1, 3\}. Lower \kappa indicates lower observed within-ensemble agreement; the horizontal spread is the cost premium." title="" id="1" name="Picture"/>
            <a:graphic>
              <a:graphicData uri="http://schemas.openxmlformats.org/drawingml/2006/picture">
                <pic:pic>
                  <pic:nvPicPr>
                    <pic:cNvPr descr="fig1_frontier.png" id="0" name="Picture"/>
                    <pic:cNvPicPr>
                      <a:picLocks noChangeArrowheads="1" noChangeAspect="1"/>
                    </pic:cNvPicPr>
                  </pic:nvPicPr>
                  <pic:blipFill>
                    <a:blip r:embed="rId41"/>
                    <a:stretch>
                      <a:fillRect/>
                    </a:stretch>
                  </pic:blipFill>
                  <pic:spPr bwMode="auto">
                    <a:xfrm>
                      <a:off x="0" y="0"/>
                      <a:ext cx="5334000" cy="3733799"/>
                    </a:xfrm>
                    <a:prstGeom prst="rect">
                      <a:avLst/>
                    </a:prstGeom>
                    <a:noFill/>
                    <a:ln w="9525">
                      <a:noFill/>
                      <a:headEnd/>
                      <a:tailEnd/>
                    </a:ln>
                  </pic:spPr>
                </pic:pic>
              </a:graphicData>
            </a:graphic>
          </wp:inline>
        </w:drawing>
      </w:r>
      <w:bookmarkEnd w:id="42"/>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t>{</m:t>
        </m:r>
        <m:r>
          <m:t>0</m:t>
        </m:r>
        <m:r>
          <m:t>,</m:t>
        </m:r>
        <m:r>
          <m:t>1</m:t>
        </m:r>
        <m:r>
          <m:t>,</m:t>
        </m:r>
        <m:r>
          <m:t>3</m:t>
        </m:r>
        <m: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p>
      <w:pPr>
        <w:pStyle w:val="Heading2"/>
      </w:pPr>
      <w:bookmarkStart w:id="43" w:name="robustness-of-the-agreement-statistic"/>
      <w:r>
        <w:t xml:space="preserve">Robustness of the agreement statistic</w:t>
      </w:r>
      <w:bookmarkEnd w:id="43"/>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[11] for nominal outcomes and Gwet’s</w:t>
      </w:r>
      <w:r>
        <w:t xml:space="preserve"> </w:t>
      </w:r>
      <w:r>
        <w:t xml:space="preserve">AC1[12]. All three statistics produce the same monotonic</w:t>
      </w:r>
      <w:r>
        <w:t xml:space="preserve"> </w:t>
      </w:r>
      <w:r>
        <w:t xml:space="preserve">configuration ordering: HOM</w:t>
      </w:r>
      <w:r>
        <w:t xml:space="preserve"> </w:t>
      </w:r>
      <m:oMath>
        <m:r>
          <m:t>&gt;</m:t>
        </m:r>
      </m:oMath>
      <w:r>
        <w:t xml:space="preserve"> </w:t>
      </w:r>
      <w:r>
        <w:t xml:space="preserve">HET-LITE</w:t>
      </w:r>
      <w:r>
        <w:t xml:space="preserve"> </w:t>
      </w:r>
      <m:oMath>
        <m: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44"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pct" w:w="0.0"/>
        <w:tblLook w:firstRow="0"/>
        <w:tblCaption w:val="Agreement under three statistics (per-run averaged), with the per-config directional marginals. All three statistics agree on the ordering despite the prevalence shift in HOLD."/>
      </w:tblPr>
      <w:tblGrid/>
      <w:tr>
        <w:tc>
          <w:p/>
        </w:tc>
        <w:tc>
          <w:p/>
        </w:tc>
        <w:tc>
          <w:p/>
        </w:tc>
        <w:tc>
          <w:p/>
        </w:tc>
        <w:tc>
          <w:p/>
        </w:tc>
        <w:tc>
          <w:p/>
        </w:tc>
        <w:tc>
          <w:p/>
        </w:tc>
      </w:tr>
      <w:tr>
        <w:tc>
          <w:p>
            <w:pPr>
              <w:pStyle w:val="Compact"/>
              <w:jc w:val="left"/>
            </w:pPr>
            <w:r>
              <w:t xml:space="preserve">(lr)</w:t>
            </w:r>
            <w:r>
              <w:t xml:space="preserve">2-4</w:t>
            </w:r>
            <w:r>
              <w:t xml:space="preserve">(lr)</w:t>
            </w:r>
            <w:r>
              <w:t xml:space="preserve">5-7</w:t>
            </w:r>
            <w:r>
              <w:t xml:space="preserve"> </w:t>
            </w:r>
            <w:r>
              <w:t xml:space="preserve">Config</w:t>
            </w:r>
          </w:p>
        </w:tc>
        <w:tc>
          <w:p>
            <w:pPr>
              <w:pStyle w:val="Compact"/>
              <w:jc w:val="center"/>
            </w:pPr>
            <m:oMath>
              <m:r>
                <m:t>κ</m:t>
              </m:r>
            </m:oMath>
          </w:p>
        </w:tc>
        <w:tc>
          <w:p>
            <w:pPr>
              <w:pStyle w:val="Compact"/>
              <w:jc w:val="center"/>
            </w:pPr>
            <m:oMath>
              <m:r>
                <m:t>α</m:t>
              </m:r>
            </m:oMath>
          </w:p>
        </w:tc>
        <w:tc>
          <w:p>
            <w:pPr>
              <w:pStyle w:val="Compact"/>
              <w:jc w:val="center"/>
            </w:pPr>
            <w:r>
              <w:t xml:space="preserve">AC1</w:t>
            </w:r>
          </w:p>
        </w:tc>
        <w:tc>
          <w:p>
            <w:pPr>
              <w:pStyle w:val="Compact"/>
              <w:jc w:val="center"/>
            </w:pPr>
            <w:r>
              <w:t xml:space="preserve">BUY</w:t>
            </w:r>
          </w:p>
        </w:tc>
        <w:tc>
          <w:p>
            <w:pPr>
              <w:pStyle w:val="Compact"/>
              <w:jc w:val="center"/>
            </w:pPr>
            <w:r>
              <w:t xml:space="preserve">HOLD</w:t>
            </w:r>
          </w:p>
        </w:tc>
        <w:tc>
          <w:p>
            <w:pPr>
              <w:pStyle w:val="Compact"/>
              <w:jc w:val="center"/>
            </w:pPr>
            <w:r>
              <w:t xml:space="preserve">SELL</w:t>
            </w:r>
          </w:p>
        </w:tc>
      </w:tr>
      <w:tr>
        <w:tc>
          <w:p>
            <w:pPr>
              <w:pStyle w:val="Compact"/>
              <w:jc w:val="left"/>
            </w:pPr>
            <w:r>
              <w:t xml:space="preserve">HOM</w:t>
            </w:r>
          </w:p>
        </w:tc>
        <w:tc>
          <w:p>
            <w:pPr>
              <w:pStyle w:val="Compact"/>
              <w:jc w:val="center"/>
            </w:pPr>
            <w:r>
              <w:t xml:space="preserve">0.552</w:t>
            </w:r>
          </w:p>
        </w:tc>
        <w:tc>
          <w:p>
            <w:pPr>
              <w:pStyle w:val="Compact"/>
              <w:jc w:val="center"/>
            </w:pPr>
            <w:r>
              <w:t xml:space="preserve">0.552</w:t>
            </w:r>
          </w:p>
        </w:tc>
        <w:tc>
          <w:p>
            <w:pPr>
              <w:pStyle w:val="Compact"/>
              <w:jc w:val="center"/>
            </w:pPr>
            <w:r>
              <w:t xml:space="preserve">0.743</w:t>
            </w:r>
          </w:p>
        </w:tc>
        <w:tc>
          <w:p>
            <w:pPr>
              <w:pStyle w:val="Compact"/>
              <w:jc w:val="center"/>
            </w:pPr>
            <w:r>
              <w:t xml:space="preserve">0.212</w:t>
            </w:r>
          </w:p>
        </w:tc>
        <w:tc>
          <w:p>
            <w:pPr>
              <w:pStyle w:val="Compact"/>
              <w:jc w:val="center"/>
            </w:pPr>
            <w:r>
              <w:t xml:space="preserve">0.709</w:t>
            </w:r>
          </w:p>
        </w:tc>
        <w:tc>
          <w:p>
            <w:pPr>
              <w:pStyle w:val="Compact"/>
              <w:jc w:val="center"/>
            </w:pPr>
            <w:r>
              <w:t xml:space="preserve">0.079</w:t>
            </w:r>
          </w:p>
        </w:tc>
      </w:tr>
      <w:tr>
        <w:tc>
          <w:p>
            <w:pPr>
              <w:pStyle w:val="Compact"/>
              <w:jc w:val="left"/>
            </w:pPr>
            <w:r>
              <w:t xml:space="preserve">HET-LITE</w:t>
            </w:r>
          </w:p>
        </w:tc>
        <w:tc>
          <w:p>
            <w:pPr>
              <w:pStyle w:val="Compact"/>
              <w:jc w:val="center"/>
            </w:pPr>
            <w:r>
              <w:t xml:space="preserve">0.302</w:t>
            </w:r>
          </w:p>
        </w:tc>
        <w:tc>
          <w:p>
            <w:pPr>
              <w:pStyle w:val="Compact"/>
              <w:jc w:val="center"/>
            </w:pPr>
            <w:r>
              <w:t xml:space="preserve">0.303</w:t>
            </w:r>
          </w:p>
        </w:tc>
        <w:tc>
          <w:p>
            <w:pPr>
              <w:pStyle w:val="Compact"/>
              <w:jc w:val="center"/>
            </w:pPr>
            <w:r>
              <w:t xml:space="preserve">0.548</w:t>
            </w:r>
          </w:p>
        </w:tc>
        <w:tc>
          <w:p>
            <w:pPr>
              <w:pStyle w:val="Compact"/>
              <w:jc w:val="center"/>
            </w:pPr>
            <w:r>
              <w:t xml:space="preserve">0.282</w:t>
            </w:r>
          </w:p>
        </w:tc>
        <w:tc>
          <w:p>
            <w:pPr>
              <w:pStyle w:val="Compact"/>
              <w:jc w:val="center"/>
            </w:pPr>
            <w:r>
              <w:t xml:space="preserve">0.653</w:t>
            </w:r>
          </w:p>
        </w:tc>
        <w:tc>
          <w:p>
            <w:pPr>
              <w:pStyle w:val="Compact"/>
              <w:jc w:val="center"/>
            </w:pPr>
            <w:r>
              <w:t xml:space="preserve">0.064</w:t>
            </w:r>
          </w:p>
        </w:tc>
      </w:tr>
      <w:tr>
        <w:tc>
          <w:p>
            <w:pPr>
              <w:pStyle w:val="Compact"/>
              <w:jc w:val="left"/>
            </w:pPr>
            <w:r>
              <w:t xml:space="preserve">HET</w:t>
            </w:r>
          </w:p>
        </w:tc>
        <w:tc>
          <w:p>
            <w:pPr>
              <w:pStyle w:val="Compact"/>
              <w:jc w:val="center"/>
            </w:pPr>
            <w:r>
              <w:t xml:space="preserve">0.215</w:t>
            </w:r>
          </w:p>
        </w:tc>
        <w:tc>
          <w:p>
            <w:pPr>
              <w:pStyle w:val="Compact"/>
              <w:jc w:val="center"/>
            </w:pPr>
            <w:r>
              <w:t xml:space="preserve">0.216</w:t>
            </w:r>
          </w:p>
        </w:tc>
        <w:tc>
          <w:p>
            <w:pPr>
              <w:pStyle w:val="Compact"/>
              <w:jc w:val="center"/>
            </w:pPr>
            <w:r>
              <w:t xml:space="preserve">0.398</w:t>
            </w:r>
          </w:p>
        </w:tc>
        <w:tc>
          <w:p>
            <w:pPr>
              <w:pStyle w:val="Compact"/>
              <w:jc w:val="center"/>
            </w:pPr>
            <w:r>
              <w:t xml:space="preserve">0.358</w:t>
            </w:r>
          </w:p>
        </w:tc>
        <w:tc>
          <w:p>
            <w:pPr>
              <w:pStyle w:val="Compact"/>
              <w:jc w:val="center"/>
            </w:pPr>
            <w:r>
              <w:t xml:space="preserve">0.556</w:t>
            </w:r>
          </w:p>
        </w:tc>
        <w:tc>
          <w:p>
            <w:pPr>
              <w:pStyle w:val="Compact"/>
              <w:jc w:val="center"/>
            </w:pPr>
            <w:r>
              <w:t xml:space="preserve">0.085</w:t>
            </w:r>
          </w:p>
        </w:tc>
      </w:tr>
    </w:tbl>
    <w:bookmarkEnd w:id="44"/>
    <w:bookmarkStart w:id="45" w:name="tab:frontier"/>
    <w:p>
      <w:pPr>
        <w:pStyle w:val="TableCaption"/>
      </w:pPr>
      <w:r>
        <w:t xml:space="preserve">Frontier: within-ensemble agreement and cost by heterogeneity level.</w:t>
      </w:r>
    </w:p>
    <w:tbl>
      <w:tblPr>
        <w:tblStyle w:val="Table"/>
        <w:tblW w:type="pct" w:w="0.0"/>
        <w:tblLook w:firstRow="1"/>
        <w:tblCaption w:val="Frontier: within-ensemble agreement and cost by heterogeneity level."/>
      </w:tblPr>
      <w:tblGrid/>
      <w:tr>
        <w:trPr>
          <w:cnfStyle w:firstRow="1"/>
        </w:trPr>
        <w:tc>
          <w:tcPr>
            <w:tcBorders>
              <w:bottom w:val="single"/>
            </w:tcBorders>
            <w:vAlign w:val="bottom"/>
          </w:tcPr>
          <w:p>
            <w:pPr>
              <w:pStyle w:val="Compact"/>
              <w:jc w:val="left"/>
            </w:pPr>
            <w:r>
              <w:t xml:space="preserve">Config</w:t>
            </w:r>
          </w:p>
        </w:tc>
        <w:tc>
          <w:tcPr>
            <w:tcBorders>
              <w:bottom w:val="single"/>
            </w:tcBorders>
            <w:vAlign w:val="bottom"/>
          </w:tcPr>
          <w:p>
            <w:pPr>
              <w:pStyle w:val="Compact"/>
              <w:jc w:val="left"/>
            </w:pPr>
            <m:oMath>
              <m:r>
                <m:t>h</m:t>
              </m:r>
            </m:oMath>
          </w:p>
        </w:tc>
        <w:tc>
          <w:tcPr>
            <w:tcBorders>
              <w:bottom w:val="single"/>
            </w:tcBorders>
            <w:vAlign w:val="bottom"/>
          </w:tcPr>
          <w:p>
            <w:pPr>
              <w:pStyle w:val="Compact"/>
              <w:jc w:val="center"/>
            </w:pPr>
            <m:oMath>
              <m:r>
                <m:t>κ</m:t>
              </m:r>
            </m:oMath>
          </w:p>
        </w:tc>
        <w:tc>
          <w:tcPr>
            <w:tcBorders>
              <w:bottom w:val="single"/>
            </w:tcBorders>
            <w:vAlign w:val="bottom"/>
          </w:tcPr>
          <w:p>
            <w:pPr>
              <w:pStyle w:val="Compact"/>
              <w:jc w:val="center"/>
            </w:pPr>
            <w:r>
              <w:t xml:space="preserve">$ / ensemble-decision</w:t>
            </w:r>
          </w:p>
        </w:tc>
      </w:tr>
      <w:tr>
        <w:tc>
          <w:p>
            <w:pPr>
              <w:pStyle w:val="Compact"/>
              <w:jc w:val="left"/>
            </w:pPr>
            <w:r>
              <w:t xml:space="preserve">HOM</w:t>
            </w:r>
          </w:p>
        </w:tc>
        <w:tc>
          <w:p>
            <w:pPr>
              <w:pStyle w:val="Compact"/>
              <w:jc w:val="left"/>
            </w:pPr>
            <w:r>
              <w:t xml:space="preserve">0</w:t>
            </w:r>
          </w:p>
        </w:tc>
        <w:tc>
          <w:p>
            <w:pPr>
              <w:pStyle w:val="Compact"/>
              <w:jc w:val="center"/>
            </w:pPr>
            <w:r>
              <w:t xml:space="preserve">0.552</w:t>
            </w:r>
          </w:p>
        </w:tc>
        <w:tc>
          <w:p>
            <w:pPr>
              <w:pStyle w:val="Compact"/>
              <w:jc w:val="center"/>
            </w:pPr>
            <m:oMath>
              <m:r>
                <m:t>6.48</m:t>
              </m:r>
              <m:r>
                <m:t>×</m:t>
              </m:r>
              <m:sSup>
                <m:e>
                  <m:r>
                    <m:t>10</m:t>
                  </m:r>
                </m:e>
                <m:sup>
                  <m:r>
                    <m:t>−</m:t>
                  </m:r>
                  <m:r>
                    <m:t>4</m:t>
                  </m:r>
                </m:sup>
              </m:sSup>
            </m:oMath>
          </w:p>
        </w:tc>
      </w:tr>
      <w:tr>
        <w:tc>
          <w:p>
            <w:pPr>
              <w:pStyle w:val="Compact"/>
              <w:jc w:val="left"/>
            </w:pPr>
            <w:r>
              <w:t xml:space="preserve">HET-LITE</w:t>
            </w:r>
          </w:p>
        </w:tc>
        <w:tc>
          <w:p>
            <w:pPr>
              <w:pStyle w:val="Compact"/>
              <w:jc w:val="left"/>
            </w:pPr>
            <w:r>
              <w:t xml:space="preserve">1</w:t>
            </w:r>
          </w:p>
        </w:tc>
        <w:tc>
          <w:p>
            <w:pPr>
              <w:pStyle w:val="Compact"/>
              <w:jc w:val="center"/>
            </w:pPr>
            <w:r>
              <w:t xml:space="preserve">0.302</w:t>
            </w:r>
          </w:p>
        </w:tc>
        <w:tc>
          <w:p>
            <w:pPr>
              <w:pStyle w:val="Compact"/>
              <w:jc w:val="center"/>
            </w:pPr>
            <m:oMath>
              <m:r>
                <m:t>1.52</m:t>
              </m:r>
              <m:r>
                <m:t>×</m:t>
              </m:r>
              <m:sSup>
                <m:e>
                  <m:r>
                    <m:t>10</m:t>
                  </m:r>
                </m:e>
                <m:sup>
                  <m:r>
                    <m:t>−</m:t>
                  </m:r>
                  <m:r>
                    <m:t>3</m:t>
                  </m:r>
                </m:sup>
              </m:sSup>
            </m:oMath>
          </w:p>
        </w:tc>
      </w:tr>
      <w:tr>
        <w:tc>
          <w:p>
            <w:pPr>
              <w:pStyle w:val="Compact"/>
              <w:jc w:val="left"/>
            </w:pPr>
            <w:r>
              <w:t xml:space="preserve">HET</w:t>
            </w:r>
          </w:p>
        </w:tc>
        <w:tc>
          <w:p>
            <w:pPr>
              <w:pStyle w:val="Compact"/>
              <w:jc w:val="left"/>
            </w:pPr>
            <w:r>
              <w:t xml:space="preserve">3</w:t>
            </w:r>
          </w:p>
        </w:tc>
        <w:tc>
          <w:p>
            <w:pPr>
              <w:pStyle w:val="Compact"/>
              <w:jc w:val="center"/>
            </w:pPr>
            <w:r>
              <w:t xml:space="preserve">0.215</w:t>
            </w:r>
          </w:p>
        </w:tc>
        <w:tc>
          <w:p>
            <w:pPr>
              <w:pStyle w:val="Compact"/>
              <w:jc w:val="center"/>
            </w:pPr>
            <m:oMath>
              <m:r>
                <m:t>2.84</m:t>
              </m:r>
              <m:r>
                <m:t>×</m:t>
              </m:r>
              <m:sSup>
                <m:e>
                  <m:r>
                    <m:t>10</m:t>
                  </m:r>
                </m:e>
                <m:sup>
                  <m:r>
                    <m:t>−</m:t>
                  </m:r>
                  <m:r>
                    <m:t>3</m:t>
                  </m:r>
                </m:sup>
              </m:sSup>
            </m:oMath>
          </w:p>
        </w:tc>
      </w:tr>
    </w:tbl>
    <w:bookmarkEnd w:id="45"/>
    <w:p>
      <w:pPr>
        <w:pStyle w:val="Heading2"/>
      </w:pPr>
      <w:bookmarkStart w:id="46" w:name="the-agreementcost-frontier"/>
      <w:r>
        <w:t xml:space="preserve">The agreement–cost frontier</w:t>
      </w:r>
      <w:bookmarkEnd w:id="46"/>
    </w:p>
    <w:p>
      <w:pPr>
        <w:pStyle w:val="FirstParagraph"/>
      </w:pPr>
      <w:r>
        <w:t xml:space="preserve">The reduction in agreement is accompanied by higher inference cost. The observed</w:t>
      </w:r>
      <w:r>
        <w:t xml:space="preserve"> </w:t>
      </w:r>
      <w:r>
        <w:t xml:space="preserve">cost per five-agent ensemble decision increases from approximately</w:t>
      </w:r>
      <w:r>
        <w:t xml:space="preserve"> </w:t>
      </w:r>
      <m:oMath>
        <m:r>
          <m:t>$</m:t>
        </m:r>
        <m:r>
          <m:t>6.5</m:t>
        </m:r>
        <m:r>
          <m:t>×</m:t>
        </m:r>
        <m:sSup>
          <m:e>
            <m:r>
              <m:t>10</m:t>
            </m:r>
          </m:e>
          <m:sup>
            <m:r>
              <m:t>−</m:t>
            </m:r>
            <m:r>
              <m:t>4</m:t>
            </m:r>
          </m:sup>
        </m:sSup>
      </m:oMath>
      <w:r>
        <w:t xml:space="preserve"> </w:t>
      </w:r>
      <w:r>
        <w:t xml:space="preserve">for HOM to</w:t>
      </w:r>
      <w:r>
        <w:t xml:space="preserve"> </w:t>
      </w:r>
      <m:oMath>
        <m:r>
          <m:t>$</m:t>
        </m:r>
        <m:r>
          <m:t>1.5</m:t>
        </m:r>
        <m:r>
          <m:t>×</m:t>
        </m:r>
        <m:sSup>
          <m:e>
            <m:r>
              <m:t>10</m:t>
            </m:r>
          </m:e>
          <m:sup>
            <m:r>
              <m:t>−</m:t>
            </m:r>
            <m:r>
              <m:t>3</m:t>
            </m:r>
          </m:sup>
        </m:sSup>
      </m:oMath>
      <w:r>
        <w:t xml:space="preserve"> </w:t>
      </w:r>
      <w:r>
        <w:t xml:space="preserve">for HET-LITE and</w:t>
      </w:r>
      <w:r>
        <w:t xml:space="preserve"> </w:t>
      </w:r>
      <m:oMath>
        <m:r>
          <m:t>$</m:t>
        </m:r>
        <m:r>
          <m:t>2.8</m:t>
        </m:r>
        <m:r>
          <m:t>×</m:t>
        </m:r>
        <m:sSup>
          <m:e>
            <m:r>
              <m:t>10</m:t>
            </m:r>
          </m:e>
          <m:sup>
            <m: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p>
      <w:pPr>
        <w:pStyle w:val="Heading2"/>
      </w:pPr>
      <w:bookmarkStart w:id="47" w:name="sec:protocol"/>
      <w:r>
        <w:t xml:space="preserve">Shared-seed dependence and measurement validation</w:t>
      </w:r>
      <w:bookmarkEnd w:id="47"/>
    </w:p>
    <w:p>
      <w:pPr>
        <w:pStyle w:val="Heading4"/>
      </w:pPr>
      <w:bookmarkStart w:id="48" w:name="exactly-what-was-shared"/>
      <w:r>
        <w:t xml:space="preserve">Exactly what was shared</w:t>
      </w:r>
      <w:bookmarkEnd w:id="48"/>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[fig:seed]</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p>
      <w:pPr>
        <w:pStyle w:val="SourceCode"/>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unique per-agent seed,</w:t>
      </w:r>
      <w:r>
        <w:br/>
      </w:r>
      <w:r>
        <w:rPr>
          <w:rStyle w:val="VerbatimChar"/>
        </w:rPr>
        <w:t xml:space="preserve"># independent draws</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independent draw</w:t>
      </w:r>
    </w:p>
    <w:p>
      <w:pPr>
        <w:pStyle w:val="Heading4"/>
      </w:pPr>
      <w:bookmarkStart w:id="49" w:name="ruling-out-adjacent-explanations"/>
      <w:r>
        <w:t xml:space="preserve">Ruling out adjacent explanations</w:t>
      </w:r>
      <w:bookmarkEnd w:id="49"/>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p>
      <w:pPr>
        <w:pStyle w:val="Heading4"/>
      </w:pPr>
      <w:bookmarkStart w:id="50" w:name="diagnostic-verification"/>
      <w:r>
        <w:t xml:space="preserve">Diagnostic verification</w:t>
      </w:r>
      <w:bookmarkEnd w:id="50"/>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5</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de-correlation effect by approximately fourfold</w:t>
      </w:r>
      <w:r>
        <w:t xml:space="preserve"> </w:t>
      </w:r>
      <w:r>
        <w:t xml:space="preserve">(Fig. </w:t>
      </w:r>
      <w:hyperlink w:anchor="fig:trap">
        <w:r>
          <w:rPr>
            <w:rStyle w:val="Hyperlink"/>
          </w:rPr>
          <w:t xml:space="preserve">2</w:t>
        </w:r>
      </w:hyperlink>
      <w:r>
        <w:t xml:space="preserve">). The pilot grid comprised 8 equities</w:t>
      </w:r>
      <w:r>
        <w:t xml:space="preserve"> </w:t>
      </w:r>
      <m:oMath>
        <m:r>
          <m:t>×</m:t>
        </m:r>
      </m:oMath>
      <w:r>
        <w:t xml:space="preserve"> </w:t>
      </w:r>
      <w:r>
        <w:t xml:space="preserve">2 analysis</w:t>
      </w:r>
      <w:r>
        <w:t xml:space="preserve"> </w:t>
      </w:r>
      <w:r>
        <w:t xml:space="preserve">dates</w:t>
      </w:r>
      <w:r>
        <w:t xml:space="preserve"> </w:t>
      </w:r>
      <m:oMath>
        <m:r>
          <m:t>×</m:t>
        </m:r>
      </m:oMath>
      <w:r>
        <w:t xml:space="preserve"> </w:t>
      </w:r>
      <w:r>
        <w:t xml:space="preserve">2 configurations (HOM and HET)</w:t>
      </w:r>
      <w:r>
        <w:t xml:space="preserve"> </w:t>
      </w:r>
      <m:oMath>
        <m:r>
          <m:t>×</m:t>
        </m:r>
      </m:oMath>
      <w:r>
        <w:t xml:space="preserve"> </w:t>
      </w:r>
      <w:r>
        <w:t xml:space="preserve">3 runs</w:t>
      </w:r>
      <w:r>
        <w:t xml:space="preserve"> </w:t>
      </w:r>
      <m:oMath>
        <m: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t>−</m:t>
        </m:r>
        <m:r>
          <m:t>0.048</m:t>
        </m:r>
      </m:oMath>
      <w:r>
        <w:t xml:space="preserve"> </w:t>
      </w:r>
      <w:r>
        <w:t xml:space="preserve">and</w:t>
      </w:r>
      <w:r>
        <w:t xml:space="preserve"> </w:t>
      </w:r>
      <m:oMath>
        <m: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51"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t>≈</m:t>
        </m:r>
        <m:r>
          <m:t>0</m:t>
        </m:r>
      </m:oMath>
      <w:r>
        <w:t xml:space="preserve"> </w:t>
      </w:r>
      <w:r>
        <w:t xml:space="preserve">for the primary/homogeneous configuration).</w:t>
      </w:r>
    </w:p>
    <w:tbl>
      <w:tblPr>
        <w:tblStyle w:val="Table"/>
        <w:tblW w:type="pct" w:w="0.0"/>
        <w:tblLook w:firstRow="1"/>
        <w:tblCaption w:val="Non-determinism check: within-run vs. cross-run \kappa (must be \approx 0 for the primary/homogeneous configuration)."/>
      </w:tblPr>
      <w:tblGrid/>
      <w:tr>
        <w:trPr>
          <w:cnfStyle w:firstRow="1"/>
        </w:trPr>
        <w:tc>
          <w:tcPr>
            <w:tcBorders>
              <w:bottom w:val="single"/>
            </w:tcBorders>
            <w:vAlign w:val="bottom"/>
          </w:tcPr>
          <w:p>
            <w:pPr>
              <w:pStyle w:val="Compact"/>
              <w:jc w:val="left"/>
            </w:pPr>
            <w:r>
              <w:t xml:space="preserve">Config</w:t>
            </w:r>
          </w:p>
        </w:tc>
        <w:tc>
          <w:tcPr>
            <w:tcBorders>
              <w:bottom w:val="single"/>
            </w:tcBorders>
            <w:vAlign w:val="bottom"/>
          </w:tcPr>
          <w:p>
            <w:pPr>
              <w:pStyle w:val="Compact"/>
              <w:jc w:val="center"/>
            </w:pPr>
            <w:r>
              <w:t xml:space="preserve">within</w:t>
            </w:r>
          </w:p>
        </w:tc>
        <w:tc>
          <w:tcPr>
            <w:tcBorders>
              <w:bottom w:val="single"/>
            </w:tcBorders>
            <w:vAlign w:val="bottom"/>
          </w:tcPr>
          <w:p>
            <w:pPr>
              <w:pStyle w:val="Compact"/>
              <w:jc w:val="center"/>
            </w:pPr>
            <w:r>
              <w:t xml:space="preserve">cross</w:t>
            </w:r>
          </w:p>
        </w:tc>
        <w:tc>
          <w:tcPr>
            <w:tcBorders>
              <w:bottom w:val="single"/>
            </w:tcBorders>
            <w:vAlign w:val="bottom"/>
          </w:tcPr>
          <w:p>
            <w:pPr>
              <w:pStyle w:val="Compact"/>
              <w:jc w:val="center"/>
            </w:pPr>
            <w:r>
              <w:t xml:space="preserve">within</w:t>
            </w:r>
            <m:oMath>
              <m:r>
                <m:t>−</m:t>
              </m:r>
            </m:oMath>
            <w:r>
              <w:t xml:space="preserve">cross</w:t>
            </w:r>
          </w:p>
        </w:tc>
      </w:tr>
      <w:tr>
        <w:tc>
          <w:p>
            <w:pPr>
              <w:pStyle w:val="Compact"/>
              <w:jc w:val="left"/>
            </w:pPr>
            <w:r>
              <w:t xml:space="preserve">HOM</w:t>
            </w:r>
          </w:p>
        </w:tc>
        <w:tc>
          <w:p>
            <w:pPr>
              <w:pStyle w:val="Compact"/>
              <w:jc w:val="center"/>
            </w:pPr>
            <w:r>
              <w:t xml:space="preserve">0.552</w:t>
            </w:r>
          </w:p>
        </w:tc>
        <w:tc>
          <w:p>
            <w:pPr>
              <w:pStyle w:val="Compact"/>
              <w:jc w:val="center"/>
            </w:pPr>
            <w:r>
              <w:t xml:space="preserve">0.551</w:t>
            </w:r>
          </w:p>
        </w:tc>
        <w:tc>
          <w:p>
            <w:pPr>
              <w:pStyle w:val="Compact"/>
              <w:jc w:val="center"/>
            </w:pPr>
            <m:oMath>
              <m:r>
                <m:t>+</m:t>
              </m:r>
              <m:r>
                <m:t>0.001</m:t>
              </m:r>
            </m:oMath>
          </w:p>
        </w:tc>
      </w:tr>
      <w:tr>
        <w:tc>
          <w:p>
            <w:pPr>
              <w:pStyle w:val="Compact"/>
              <w:jc w:val="left"/>
            </w:pPr>
            <w:r>
              <w:t xml:space="preserve">HET-LITE</w:t>
            </w:r>
          </w:p>
        </w:tc>
        <w:tc>
          <w:p>
            <w:pPr>
              <w:pStyle w:val="Compact"/>
              <w:jc w:val="center"/>
            </w:pPr>
            <w:r>
              <w:t xml:space="preserve">0.302</w:t>
            </w:r>
          </w:p>
        </w:tc>
        <w:tc>
          <w:p>
            <w:pPr>
              <w:pStyle w:val="Compact"/>
              <w:jc w:val="center"/>
            </w:pPr>
            <w:r>
              <w:t xml:space="preserve">0.350</w:t>
            </w:r>
          </w:p>
        </w:tc>
        <w:tc>
          <w:p>
            <w:pPr>
              <w:pStyle w:val="Compact"/>
              <w:jc w:val="center"/>
            </w:pPr>
            <m:oMath>
              <m:r>
                <m:t>−</m:t>
              </m:r>
              <m:r>
                <m:t>0.048</m:t>
              </m:r>
            </m:oMath>
          </w:p>
        </w:tc>
      </w:tr>
      <w:tr>
        <w:tc>
          <w:p>
            <w:pPr>
              <w:pStyle w:val="Compact"/>
              <w:jc w:val="left"/>
            </w:pPr>
            <w:r>
              <w:t xml:space="preserve">HET</w:t>
            </w:r>
          </w:p>
        </w:tc>
        <w:tc>
          <w:p>
            <w:pPr>
              <w:pStyle w:val="Compact"/>
              <w:jc w:val="center"/>
            </w:pPr>
            <w:r>
              <w:t xml:space="preserve">0.215</w:t>
            </w:r>
          </w:p>
        </w:tc>
        <w:tc>
          <w:p>
            <w:pPr>
              <w:pStyle w:val="Compact"/>
              <w:jc w:val="center"/>
            </w:pPr>
            <w:r>
              <w:t xml:space="preserve">0.289</w:t>
            </w:r>
          </w:p>
        </w:tc>
        <w:tc>
          <w:p>
            <w:pPr>
              <w:pStyle w:val="Compact"/>
              <w:jc w:val="center"/>
            </w:pPr>
            <m:oMath>
              <m:r>
                <m:t>−</m:t>
              </m:r>
              <m:r>
                <m:t>0.074</m:t>
              </m:r>
            </m:oMath>
          </w:p>
        </w:tc>
      </w:tr>
    </w:tbl>
    <w:bookmarkEnd w:id="51"/>
    <w:p>
      <w:pPr>
        <w:pStyle w:val="CaptionedFigure"/>
      </w:pPr>
      <w:bookmarkStart w:id="53" w:name="fig:trap"/>
      <w:r>
        <w:drawing>
          <wp:inline>
            <wp:extent cx="5334000" cy="3733799"/>
            <wp:effectExtent b="0" l="0" r="0" t="0"/>
            <wp:docPr descr="Shared-seed dependence inflates measured agreement. The homogeneous within-cross \kappa gap collapses from a seed-shared pilot (\Delta\kappa=0.485) to the independent-draw pilot (\Delta\kappa=0.113) to \approx 0 in the full study, showing that shared-seed dependence in the pilot, not model similarity, produced the inflation." title="" id="1" name="Picture"/>
            <a:graphic>
              <a:graphicData uri="http://schemas.openxmlformats.org/drawingml/2006/picture">
                <pic:pic>
                  <pic:nvPicPr>
                    <pic:cNvPr descr="fig2_protocol.png" id="0" name="Picture"/>
                    <pic:cNvPicPr>
                      <a:picLocks noChangeArrowheads="1" noChangeAspect="1"/>
                    </pic:cNvPicPr>
                  </pic:nvPicPr>
                  <pic:blipFill>
                    <a:blip r:embed="rId52"/>
                    <a:stretch>
                      <a:fillRect/>
                    </a:stretch>
                  </pic:blipFill>
                  <pic:spPr bwMode="auto">
                    <a:xfrm>
                      <a:off x="0" y="0"/>
                      <a:ext cx="5334000" cy="3733799"/>
                    </a:xfrm>
                    <a:prstGeom prst="rect">
                      <a:avLst/>
                    </a:prstGeom>
                    <a:noFill/>
                    <a:ln w="9525">
                      <a:noFill/>
                      <a:headEnd/>
                      <a:tailEnd/>
                    </a:ln>
                  </pic:spPr>
                </pic:pic>
              </a:graphicData>
            </a:graphic>
          </wp:inline>
        </w:drawing>
      </w:r>
      <w:bookmarkEnd w:id="53"/>
    </w:p>
    <w:p>
      <w:pPr>
        <w:pStyle w:val="ImageCaption"/>
      </w:pPr>
      <w:r>
        <w:t xml:space="preserve">Shared-seed dependence inflates measured agreement. The homogeneous</w:t>
      </w:r>
      <w:r>
        <w:t xml:space="preserve"> </w:t>
      </w:r>
      <w:r>
        <w:t xml:space="preserve">within</w:t>
      </w:r>
      <m:oMath>
        <m:r>
          <m:t>−</m:t>
        </m:r>
      </m:oMath>
      <w:r>
        <w:t xml:space="preserve">cross</w:t>
      </w:r>
      <w:r>
        <w:t xml:space="preserve"> </w:t>
      </w:r>
      <m:oMath>
        <m:r>
          <m:t>κ</m:t>
        </m:r>
      </m:oMath>
      <w:r>
        <w:t xml:space="preserve"> </w:t>
      </w:r>
      <w:r>
        <w:t xml:space="preserve">gap collapses from a seed-shared pilot</w:t>
      </w:r>
      <w:r>
        <w:t xml:space="preserve"> </w:t>
      </w:r>
      <w:r>
        <w:t xml:space="preserve">(</w:t>
      </w:r>
      <m:oMath>
        <m:r>
          <m:t>Δ</m:t>
        </m:r>
        <m:r>
          <m:t>κ</m:t>
        </m:r>
        <m:r>
          <m:t>=</m:t>
        </m:r>
        <m:r>
          <m:t>0.485</m:t>
        </m:r>
      </m:oMath>
      <w:r>
        <w:t xml:space="preserve">) to the independent-draw pilot (</w:t>
      </w:r>
      <m:oMath>
        <m:r>
          <m:t>Δ</m:t>
        </m:r>
        <m:r>
          <m:t>κ</m:t>
        </m:r>
        <m:r>
          <m:t>=</m:t>
        </m:r>
        <m:r>
          <m:t>0.113</m:t>
        </m:r>
      </m:oMath>
      <w:r>
        <w:t xml:space="preserve">) to</w:t>
      </w:r>
      <w:r>
        <w:t xml:space="preserve"> </w:t>
      </w:r>
      <m:oMath>
        <m:r>
          <m:t>≈</m:t>
        </m:r>
        <m:r>
          <m:t>0</m:t>
        </m:r>
      </m:oMath>
      <w:r>
        <w:t xml:space="preserve"> </w:t>
      </w:r>
      <w:r>
        <w:t xml:space="preserve">in the full study, showing that shared-seed dependence in the pilot,</w:t>
      </w:r>
      <w:r>
        <w:t xml:space="preserve"> </w:t>
      </w:r>
      <w:r>
        <w:t xml:space="preserve">not model similarity, produced the inflation.</w:t>
      </w:r>
    </w:p>
    <w:p>
      <w:pPr>
        <w:pStyle w:val="Heading2"/>
      </w:pPr>
      <w:bookmarkStart w:id="54" w:name="provider-pair-agreement"/>
      <w:r>
        <w:t xml:space="preserve">Provider-pair agreement</w:t>
      </w:r>
      <w:bookmarkEnd w:id="54"/>
    </w:p>
    <w:p>
      <w:pPr>
        <w:pStyle w:val="FirstParagraph"/>
      </w:pPr>
      <w:r>
        <w:t xml:space="preserve">The pairwise directional-agreement matrix in Fig. </w:t>
      </w:r>
      <w:hyperlink w:anchor="fig:provider">
        <w:r>
          <w:rPr>
            <w:rStyle w:val="Hyperlink"/>
          </w:rPr>
          <w:t xml:space="preserve">3</w:t>
        </w:r>
      </w:hyperlink>
      <w:r>
        <w:t xml:space="preserve"> </w:t>
      </w:r>
      <w:r>
        <w:t xml:space="preserve">provides</w:t>
      </w:r>
      <w:r>
        <w:t xml:space="preserve"> </w:t>
      </w:r>
      <w:r>
        <w:t xml:space="preserve">additional evidence regarding the source of ensemble de-correlation.</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 This pattern is consistent with provider identity being an important</w:t>
      </w:r>
      <w:r>
        <w:t xml:space="preserve"> </w:t>
      </w:r>
      <w:r>
        <w:t xml:space="preserve">source of behavioral similarity and helps explain the lower overall agreement</w:t>
      </w:r>
      <w:r>
        <w:t xml:space="preserve"> </w:t>
      </w:r>
      <w:r>
        <w:t xml:space="preserve">observed in the heterogeneous ensembles.</w:t>
      </w:r>
    </w:p>
    <w:p>
      <w:pPr>
        <w:pStyle w:val="CaptionedFigure"/>
      </w:pPr>
      <w:bookmarkStart w:id="56" w:name="fig:provider"/>
      <w:r>
        <w:drawing>
          <wp:inline>
            <wp:extent cx="4389120" cy="3840479"/>
            <wp:effectExtent b="0" l="0" r="0" t="0"/>
            <wp:docPr descr="Pairwise directional-agreement matrix by provider. Diagonal (within-provider) agreement greatly exceeds off-diagonal (cross-provider), the source of ensemble de-correlation. The xAI–xAI diagonal is undefined (marked N/A, not 0): each HET cell contains a single xAI agent, so no within-xAI agent pair exists." title="" id="1" name="Picture"/>
            <a:graphic>
              <a:graphicData uri="http://schemas.openxmlformats.org/drawingml/2006/picture">
                <pic:pic>
                  <pic:nvPicPr>
                    <pic:cNvPr descr="fig3_provider_heatmap.png" id="0" name="Picture"/>
                    <pic:cNvPicPr>
                      <a:picLocks noChangeArrowheads="1" noChangeAspect="1"/>
                    </pic:cNvPicPr>
                  </pic:nvPicPr>
                  <pic:blipFill>
                    <a:blip r:embed="rId55"/>
                    <a:stretch>
                      <a:fillRect/>
                    </a:stretch>
                  </pic:blipFill>
                  <pic:spPr bwMode="auto">
                    <a:xfrm>
                      <a:off x="0" y="0"/>
                      <a:ext cx="4389120" cy="3840479"/>
                    </a:xfrm>
                    <a:prstGeom prst="rect">
                      <a:avLst/>
                    </a:prstGeom>
                    <a:noFill/>
                    <a:ln w="9525">
                      <a:noFill/>
                      <a:headEnd/>
                      <a:tailEnd/>
                    </a:ln>
                  </pic:spPr>
                </pic:pic>
              </a:graphicData>
            </a:graphic>
          </wp:inline>
        </w:drawing>
      </w:r>
      <w:bookmarkEnd w:id="56"/>
    </w:p>
    <w:p>
      <w:pPr>
        <w:pStyle w:val="ImageCaption"/>
      </w:pPr>
      <w:r>
        <w:t xml:space="preserve">Pairwise directional-agreement matrix by provider. Diagonal</w:t>
      </w:r>
      <w:r>
        <w:t xml:space="preserve"> </w:t>
      </w:r>
      <w:r>
        <w:t xml:space="preserve">(within-provider) agreement greatly exceeds off-diagonal (cross-provider), the</w:t>
      </w:r>
      <w:r>
        <w:t xml:space="preserve"> </w:t>
      </w:r>
      <w:r>
        <w:t xml:space="preserve">source of ensemble de-correlation. The xAI–xAI diagonal is undefined (marked</w:t>
      </w:r>
      <w:r>
        <w:t xml:space="preserve"> </w:t>
      </w:r>
      <w:r>
        <w:t xml:space="preserve">N/A, not 0): each HET cell contains a single xAI agent, so no within-xAI agent</w:t>
      </w:r>
      <w:r>
        <w:t xml:space="preserve"> </w:t>
      </w:r>
      <w:r>
        <w:t xml:space="preserve">pair exists.</w:t>
      </w:r>
    </w:p>
    <w:p>
      <w:pPr>
        <w:pStyle w:val="Heading2"/>
      </w:pPr>
      <w:bookmarkStart w:id="57" w:name="secondary-directional-accuracy-analysis"/>
      <w:r>
        <w:t xml:space="preserve">Secondary directional-accuracy analysis</w:t>
      </w:r>
      <w:bookmarkEnd w:id="57"/>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6</w:t>
        </w:r>
      </w:hyperlink>
      <w:r>
        <w:t xml:space="preserve">). The associated</w:t>
      </w:r>
      <w:r>
        <w:t xml:space="preserve"> </w:t>
      </w:r>
      <w:r>
        <w:t xml:space="preserve">Wilson confidence intervals[15] 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de-correlation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pct" w:w="0.0"/>
        <w:tblLook w:firstRow="1"/>
        <w:tblCaption w:val="Accuracy proxy (SECONDARY; underpowered by design). Hit-rate of majority-vote direction vs. 20-day forward-return sign; HOLD abstains."/>
      </w:tblPr>
      <w:tblGrid/>
      <w:tr>
        <w:trPr>
          <w:cnfStyle w:firstRow="1"/>
        </w:trPr>
        <w:tc>
          <w:tcPr>
            <w:tcBorders>
              <w:bottom w:val="single"/>
            </w:tcBorders>
            <w:vAlign w:val="bottom"/>
          </w:tcPr>
          <w:p>
            <w:pPr>
              <w:pStyle w:val="Compact"/>
              <w:jc w:val="left"/>
            </w:pPr>
            <w:r>
              <w:t xml:space="preserve">Config</w:t>
            </w:r>
          </w:p>
        </w:tc>
        <w:tc>
          <w:tcPr>
            <w:tcBorders>
              <w:bottom w:val="single"/>
            </w:tcBorders>
            <w:vAlign w:val="bottom"/>
          </w:tcPr>
          <w:p>
            <w:pPr>
              <w:pStyle w:val="Compact"/>
              <w:jc w:val="center"/>
            </w:pPr>
            <w:r>
              <w:t xml:space="preserve">hit-rate</w:t>
            </w:r>
          </w:p>
        </w:tc>
        <w:tc>
          <w:tcPr>
            <w:tcBorders>
              <w:bottom w:val="single"/>
            </w:tcBorders>
            <w:vAlign w:val="bottom"/>
          </w:tcPr>
          <w:p>
            <w:pPr>
              <w:pStyle w:val="Compact"/>
              <w:jc w:val="center"/>
            </w:pPr>
            <m:oMath>
              <m:r>
                <m:t>n</m:t>
              </m:r>
            </m:oMath>
          </w:p>
        </w:tc>
        <w:tc>
          <w:tcPr>
            <w:tcBorders>
              <w:bottom w:val="single"/>
            </w:tcBorders>
            <w:vAlign w:val="bottom"/>
          </w:tcPr>
          <w:p>
            <w:pPr>
              <w:pStyle w:val="Compact"/>
              <w:jc w:val="center"/>
            </w:pPr>
            <w:r>
              <w:t xml:space="preserve">95% CI (Wilson)</w:t>
            </w:r>
          </w:p>
        </w:tc>
      </w:tr>
      <w:tr>
        <w:tc>
          <w:p>
            <w:pPr>
              <w:pStyle w:val="Compact"/>
              <w:jc w:val="left"/>
            </w:pPr>
            <w:r>
              <w:t xml:space="preserve">HOM</w:t>
            </w:r>
          </w:p>
        </w:tc>
        <w:tc>
          <w:p>
            <w:pPr>
              <w:pStyle w:val="Compact"/>
              <w:jc w:val="center"/>
            </w:pPr>
            <w:r>
              <w:t xml:space="preserve">0.438</w:t>
            </w:r>
          </w:p>
        </w:tc>
        <w:tc>
          <w:p>
            <w:pPr>
              <w:pStyle w:val="Compact"/>
              <w:jc w:val="center"/>
            </w:pPr>
            <w:r>
              <w:t xml:space="preserve">315</w:t>
            </w:r>
          </w:p>
        </w:tc>
        <w:tc>
          <w:p>
            <w:pPr>
              <w:pStyle w:val="Compact"/>
              <w:jc w:val="center"/>
            </w:pPr>
            <m:oMath>
              <m:r>
                <m:t>[</m:t>
              </m:r>
              <m:r>
                <m:t>0.384</m:t>
              </m:r>
              <m:r>
                <m:t>,</m:t>
              </m:r>
              <m:r>
                <m:t> </m:t>
              </m:r>
              <m:r>
                <m:t>0.493</m:t>
              </m:r>
              <m:r>
                <m:t>]</m:t>
              </m:r>
            </m:oMath>
          </w:p>
        </w:tc>
      </w:tr>
      <w:tr>
        <w:tc>
          <w:p>
            <w:pPr>
              <w:pStyle w:val="Compact"/>
              <w:jc w:val="left"/>
            </w:pPr>
            <w:r>
              <w:t xml:space="preserve">HET-LITE</w:t>
            </w:r>
          </w:p>
        </w:tc>
        <w:tc>
          <w:p>
            <w:pPr>
              <w:pStyle w:val="Compact"/>
              <w:jc w:val="center"/>
            </w:pPr>
            <w:r>
              <w:t xml:space="preserve">0.463</w:t>
            </w:r>
          </w:p>
        </w:tc>
        <w:tc>
          <w:p>
            <w:pPr>
              <w:pStyle w:val="Compact"/>
              <w:jc w:val="center"/>
            </w:pPr>
            <w:r>
              <w:t xml:space="preserve">339</w:t>
            </w:r>
          </w:p>
        </w:tc>
        <w:tc>
          <w:p>
            <w:pPr>
              <w:pStyle w:val="Compact"/>
              <w:jc w:val="center"/>
            </w:pPr>
            <m:oMath>
              <m:r>
                <m:t>[</m:t>
              </m:r>
              <m:r>
                <m:t>0.411</m:t>
              </m:r>
              <m:r>
                <m:t>,</m:t>
              </m:r>
              <m:r>
                <m:t> </m:t>
              </m:r>
              <m:r>
                <m:t>0.516</m:t>
              </m:r>
              <m:r>
                <m:t>]</m:t>
              </m:r>
            </m:oMath>
          </w:p>
        </w:tc>
      </w:tr>
      <w:tr>
        <w:tc>
          <w:p>
            <w:pPr>
              <w:pStyle w:val="Compact"/>
              <w:jc w:val="left"/>
            </w:pPr>
            <w:r>
              <w:t xml:space="preserve">HET</w:t>
            </w:r>
          </w:p>
        </w:tc>
        <w:tc>
          <w:p>
            <w:pPr>
              <w:pStyle w:val="Compact"/>
              <w:jc w:val="center"/>
            </w:pPr>
            <w:r>
              <w:t xml:space="preserve">0.488</w:t>
            </w:r>
          </w:p>
        </w:tc>
        <w:tc>
          <w:p>
            <w:pPr>
              <w:pStyle w:val="Compact"/>
              <w:jc w:val="center"/>
            </w:pPr>
            <w:r>
              <w:t xml:space="preserve">525</w:t>
            </w:r>
          </w:p>
        </w:tc>
        <w:tc>
          <w:p>
            <w:pPr>
              <w:pStyle w:val="Compact"/>
              <w:jc w:val="center"/>
            </w:pPr>
            <m:oMath>
              <m:r>
                <m:t>[</m:t>
              </m:r>
              <m:r>
                <m:t>0.445</m:t>
              </m:r>
              <m:r>
                <m:t>,</m:t>
              </m:r>
              <m:r>
                <m:t> </m:t>
              </m:r>
              <m:r>
                <m:t>0.530</m:t>
              </m:r>
              <m:r>
                <m:t>]</m:t>
              </m:r>
            </m:oMath>
          </w:p>
        </w:tc>
      </w:tr>
    </w:tbl>
    <w:bookmarkEnd w:id="58"/>
    <w:p>
      <w:pPr>
        <w:pStyle w:val="Heading2"/>
      </w:pPr>
      <w:bookmarkStart w:id="59" w:name="sec:consensus"/>
      <w:r>
        <w:t xml:space="preserve">Exploratory analysis of consensus errors</w:t>
      </w:r>
      <w:bookmarkEnd w:id="59"/>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w:t>
      </w:r>
      <w:r>
        <w:t xml:space="preserve">manufactured-consensus</w:t>
      </w:r>
      <w:r>
        <w:t xml:space="preserve">”</w:t>
      </w:r>
      <w:r>
        <w:t xml:space="preserve"> </w:t>
      </w:r>
      <w:r>
        <w:t xml:space="preserve">failure that monoculture warnings</w:t>
      </w:r>
      <w:r>
        <w:t xml:space="preserve"> </w:t>
      </w:r>
      <w:r>
        <w:t xml:space="preserve">describe[3];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7</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t>×</m:t>
        </m:r>
      </m:oMath>
      <w:r>
        <w:t xml:space="preserve"> </w:t>
      </w:r>
      <w:r>
        <w:t xml:space="preserve">the rate of</w:t>
      </w:r>
      <w:r>
        <w:t xml:space="preserve"> </w:t>
      </w:r>
      <w:r>
        <w:t xml:space="preserve">the fully heterogeneous ensemble. HET-LITE achieves a reduction comparable to</w:t>
      </w:r>
      <w:r>
        <w:t xml:space="preserve"> </w:t>
      </w:r>
      <w:r>
        <w:t xml:space="preserve">HET at an approximately</w:t>
      </w:r>
      <w:r>
        <w:t xml:space="preserve"> </w:t>
      </w:r>
      <m:oMath>
        <m:r>
          <m:t>2.3</m:t>
        </m:r>
        <m:r>
          <m:t>×</m:t>
        </m:r>
      </m:oMath>
      <w:r>
        <w:t xml:space="preserve">, rather than</w:t>
      </w:r>
      <w:r>
        <w:t xml:space="preserve"> </w:t>
      </w:r>
      <m:oMath>
        <m:r>
          <m:t>4.4</m:t>
        </m:r>
        <m:r>
          <m:t>×</m:t>
        </m:r>
      </m:oMath>
      <w:r>
        <w:t xml:space="preserve">, cost premium.</w:t>
      </w:r>
      <w:r>
        <w:t xml:space="preserve"> </w:t>
      </w:r>
      <w:r>
        <w:t xml:space="preserve">Within this exploratory analysis, HET-LITE therefore appears to be a candidate</w:t>
      </w:r>
      <w:r>
        <w:t xml:space="preserve"> </w:t>
      </w:r>
      <w:r>
        <w:t xml:space="preserve">cost-efficient configuration for reducing unanimous directional errors. This</w:t>
      </w:r>
      <w:r>
        <w:t xml:space="preserve"> </w:t>
      </w:r>
      <w:r>
        <w:t xml:space="preserve">conclusion requires confirmatory evaluation before being treated as a general</w:t>
      </w:r>
      <w:r>
        <w:t xml:space="preserve"> </w:t>
      </w:r>
      <w:r>
        <w:t xml:space="preserve">design recommendation.</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Errors in the heterogeneous ensembles therefore contain more</w:t>
      </w:r>
      <w:r>
        <w:t xml:space="preserve"> </w:t>
      </w:r>
      <w:r>
        <w:t xml:space="preserve">within-committee dissent, which may provide an observable signal for escalation,</w:t>
      </w:r>
      <w:r>
        <w:t xml:space="preserve"> </w:t>
      </w:r>
      <w:r>
        <w:t xml:space="preserve">abstention, or further review. These findings suggest that heterogeneity may</w:t>
      </w:r>
      <w:r>
        <w:t xml:space="preserve"> </w:t>
      </w:r>
      <w:r>
        <w:t xml:space="preserve">affect the concentration of collective errors even when it does not produce a</w:t>
      </w:r>
      <w:r>
        <w:t xml:space="preserve"> </w:t>
      </w:r>
      <w:r>
        <w:t xml:space="preserve">detectable improvement in mean directional accuracy. However, they do not</w:t>
      </w:r>
      <w:r>
        <w:t xml:space="preserve"> </w:t>
      </w:r>
      <w:r>
        <w:t xml:space="preserve">establish a reduction in financial tail risk, because the analysis measures</w:t>
      </w:r>
      <w:r>
        <w:t xml:space="preserve"> </w:t>
      </w:r>
      <w:r>
        <w:t xml:space="preserve">decision-error structure rather than the distribution of realized monetary</w:t>
      </w:r>
      <w:r>
        <w:t xml:space="preserve"> </w:t>
      </w:r>
      <w:r>
        <w:t xml:space="preserve">losses.</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4</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w:t>
      </w:r>
      <w:r>
        <w:t xml:space="preserve">Unan. wrong</w:t>
      </w:r>
      <w:r>
        <w:t xml:space="preserve">”</w:t>
      </w:r>
      <w:r>
        <w:t xml:space="preserve"> </w:t>
      </w:r>
      <m:oMath>
        <m:r>
          <m:t>=</m:t>
        </m:r>
      </m:oMath>
      <w:r>
        <w:t xml:space="preserve"> </w:t>
      </w:r>
      <w:r>
        <w:t xml:space="preserve">all five agents agree on</w:t>
      </w:r>
      <w:r>
        <w:t xml:space="preserve"> </w:t>
      </w:r>
      <w:r>
        <w:t xml:space="preserve">one directional call that is wrong;</w:t>
      </w:r>
      <w:r>
        <w:t xml:space="preserve"> </w:t>
      </w:r>
      <w:r>
        <w:t xml:space="preserve">“</w:t>
      </w:r>
      <w:r>
        <w:t xml:space="preserve">pile-on</w:t>
      </w:r>
      <w:r>
        <w:t xml:space="preserve">”</w:t>
      </w:r>
      <w:r>
        <w:t xml:space="preserve"> </w:t>
      </w:r>
      <m:oMath>
        <m:r>
          <m:t>=</m:t>
        </m:r>
      </m:oMath>
      <w:r>
        <w:t xml:space="preserve"> </w:t>
      </w:r>
      <m:oMath>
        <m:r>
          <m:t>P</m:t>
        </m:r>
        <m: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t>)</m:t>
        </m:r>
      </m:oMath>
      <w:r>
        <w:t xml:space="preserve">.</w:t>
      </w:r>
    </w:p>
    <w:tbl>
      <w:tblPr>
        <w:tblStyle w:val="Table"/>
        <w:tblW w:type="pct" w:w="0.0"/>
        <w:tblLook w:firstRow="1"/>
        <w:tblCaption w:val="Consensus structure by heterogeneity (exploratory; 3,600 scoreable five-agent decisions per config). “Unan. wrong” = all five agents agree on one directional call that is wrong; “pile-on” = P(\mathrm{agent\ endorses\ majority}\mid\mathrm{majority\ wrong})."/>
      </w:tblPr>
      <w:tblGrid/>
      <w:tr>
        <w:trPr>
          <w:cnfStyle w:firstRow="1"/>
        </w:trPr>
        <w:tc>
          <w:tcPr>
            <w:tcBorders>
              <w:bottom w:val="single"/>
            </w:tcBorders>
            <w:vAlign w:val="bottom"/>
          </w:tcPr>
          <w:p>
            <w:pPr>
              <w:pStyle w:val="Compact"/>
              <w:jc w:val="left"/>
            </w:pPr>
            <w:r>
              <w:t xml:space="preserve">Config</w:t>
            </w:r>
          </w:p>
        </w:tc>
        <w:tc>
          <w:tcPr>
            <w:tcBorders>
              <w:bottom w:val="single"/>
            </w:tcBorders>
            <w:vAlign w:val="bottom"/>
          </w:tcPr>
          <w:p>
            <w:pPr>
              <w:pStyle w:val="Compact"/>
              <w:jc w:val="center"/>
            </w:pPr>
            <w:r>
              <w:t xml:space="preserve">unanimity</w:t>
            </w:r>
          </w:p>
        </w:tc>
        <w:tc>
          <w:tcPr>
            <w:tcBorders>
              <w:bottom w:val="single"/>
            </w:tcBorders>
            <w:vAlign w:val="bottom"/>
          </w:tcPr>
          <w:p>
            <w:pPr>
              <w:pStyle w:val="Compact"/>
              <w:jc w:val="center"/>
            </w:pPr>
            <w:r>
              <w:t xml:space="preserve">unan. wrong</w:t>
            </w:r>
          </w:p>
        </w:tc>
        <w:tc>
          <w:tcPr>
            <w:tcBorders>
              <w:bottom w:val="single"/>
            </w:tcBorders>
            <w:vAlign w:val="bottom"/>
          </w:tcPr>
          <w:p>
            <w:pPr>
              <w:pStyle w:val="Compact"/>
              <w:jc w:val="center"/>
            </w:pPr>
            <w:r>
              <w:t xml:space="preserve">pile-on</w:t>
            </w:r>
          </w:p>
        </w:tc>
      </w:tr>
      <w:tr>
        <w:tc>
          <w:p>
            <w:pPr>
              <w:pStyle w:val="Compact"/>
              <w:jc w:val="left"/>
            </w:pPr>
            <w:r>
              <w:t xml:space="preserve">HOM</w:t>
            </w:r>
          </w:p>
        </w:tc>
        <w:tc>
          <w:p>
            <w:pPr>
              <w:pStyle w:val="Compact"/>
              <w:jc w:val="center"/>
            </w:pPr>
            <w:r>
              <w:t xml:space="preserve">0.591</w:t>
            </w:r>
          </w:p>
        </w:tc>
        <w:tc>
          <w:p>
            <w:pPr>
              <w:pStyle w:val="Compact"/>
              <w:jc w:val="center"/>
            </w:pPr>
            <w:r>
              <w:t xml:space="preserve">0.058</w:t>
            </w:r>
          </w:p>
        </w:tc>
        <w:tc>
          <w:p>
            <w:pPr>
              <w:pStyle w:val="Compact"/>
              <w:jc w:val="center"/>
            </w:pPr>
            <w:r>
              <w:t xml:space="preserve">0.824</w:t>
            </w:r>
          </w:p>
        </w:tc>
      </w:tr>
      <w:tr>
        <w:tc>
          <w:p>
            <w:pPr>
              <w:pStyle w:val="Compact"/>
              <w:jc w:val="left"/>
            </w:pPr>
            <w:r>
              <w:t xml:space="preserve">HET-LITE</w:t>
            </w:r>
          </w:p>
        </w:tc>
        <w:tc>
          <w:p>
            <w:pPr>
              <w:pStyle w:val="Compact"/>
              <w:jc w:val="center"/>
            </w:pPr>
            <w:r>
              <w:t xml:space="preserve">0.315</w:t>
            </w:r>
          </w:p>
        </w:tc>
        <w:tc>
          <w:p>
            <w:pPr>
              <w:pStyle w:val="Compact"/>
              <w:jc w:val="center"/>
            </w:pPr>
            <w:r>
              <w:t xml:space="preserve">0.030</w:t>
            </w:r>
          </w:p>
        </w:tc>
        <w:tc>
          <w:p>
            <w:pPr>
              <w:pStyle w:val="Compact"/>
              <w:jc w:val="center"/>
            </w:pPr>
            <w:r>
              <w:t xml:space="preserve">0.761</w:t>
            </w:r>
          </w:p>
        </w:tc>
      </w:tr>
      <w:tr>
        <w:tc>
          <w:p>
            <w:pPr>
              <w:pStyle w:val="Compact"/>
              <w:jc w:val="left"/>
            </w:pPr>
            <w:r>
              <w:t xml:space="preserve">HET</w:t>
            </w:r>
          </w:p>
        </w:tc>
        <w:tc>
          <w:p>
            <w:pPr>
              <w:pStyle w:val="Compact"/>
              <w:jc w:val="center"/>
            </w:pPr>
            <w:r>
              <w:t xml:space="preserve">0.267</w:t>
            </w:r>
          </w:p>
        </w:tc>
        <w:tc>
          <w:p>
            <w:pPr>
              <w:pStyle w:val="Compact"/>
              <w:jc w:val="center"/>
            </w:pPr>
            <w:r>
              <w:t xml:space="preserve">0.032</w:t>
            </w:r>
          </w:p>
        </w:tc>
        <w:tc>
          <w:p>
            <w:pPr>
              <w:pStyle w:val="Compact"/>
              <w:jc w:val="center"/>
            </w:pPr>
            <w:r>
              <w:t xml:space="preserve">0.636</w:t>
            </w:r>
          </w:p>
        </w:tc>
      </w:tr>
    </w:tbl>
    <w:bookmarkEnd w:id="60"/>
    <w:p>
      <w:pPr>
        <w:pStyle w:val="CaptionedFigure"/>
      </w:pPr>
      <w:bookmarkStart w:id="62" w:name="fig:cal"/>
      <w:r>
        <w:drawing>
          <wp:inline>
            <wp:extent cx="4572000" cy="2926080"/>
            <wp:effectExtent b="0" l="0" r="0" t="0"/>
            <wp:docPr descr="Self-reported conviction does not predict directional accuracy. Per-agent directional hit-rate by self-reported conviction bucket; no configuration rises reliably above chance (0.5, dashed), consistent with the secondary directional-accuracy analysis." title="" id="1" name="Picture"/>
            <a:graphic>
              <a:graphicData uri="http://schemas.openxmlformats.org/drawingml/2006/picture">
                <pic:pic>
                  <pic:nvPicPr>
                    <pic:cNvPr descr="fig5_calibration.png" id="0"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bookmarkEnd w:id="62"/>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p>
      <w:pPr>
        <w:pStyle w:val="Heading2"/>
      </w:pPr>
      <w:bookmarkStart w:id="63" w:name="sec:control"/>
      <w:r>
        <w:t xml:space="preserve">Robustness: capability-matched control</w:t>
      </w:r>
      <w:bookmarkEnd w:id="63"/>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t>=</m:t>
        </m:r>
        <m:r>
          <m:t>0.236</m:t>
        </m:r>
      </m:oMath>
      <w:r>
        <w:t xml:space="preserve">. The resulting contrast is</w:t>
      </w:r>
    </w:p>
    <w:p>
      <w:pPr>
        <w:pStyle w:val="BodyText"/>
      </w:pPr>
      <m:oMathPara>
        <m:oMathParaPr>
          <m:jc m:val="center"/>
        </m:oMathParaPr>
        <m:oMath>
          <m: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t>=</m:t>
          </m:r>
          <m:r>
            <m:t>0.315</m:t>
          </m:r>
          <m:r>
            <m:t>,</m:t>
          </m:r>
          <m:r>
            <m:t> </m:t>
          </m:r>
          <m:r>
            <m:t>95</m:t>
          </m:r>
          <m:r>
            <m:t>%</m:t>
          </m:r>
          <m:r>
            <m:t> </m:t>
          </m:r>
          <m:r>
            <m:rPr>
              <m:sty m:val="p"/>
            </m:rPr>
            <m:t>C</m:t>
          </m:r>
          <m:r>
            <m:rPr>
              <m:sty m:val="p"/>
            </m:rPr>
            <m:t>I</m:t>
          </m:r>
          <m:r>
            <m:t> </m:t>
          </m:r>
          <m:r>
            <m:t>[</m:t>
          </m:r>
          <m:r>
            <m:t>0.288</m:t>
          </m:r>
          <m:r>
            <m:t>,</m:t>
          </m:r>
          <m:r>
            <m:t> </m:t>
          </m:r>
          <m:r>
            <m:t>0.341</m:t>
          </m:r>
          <m:r>
            <m:t>]</m:t>
          </m:r>
          <m:r>
            <m:t>,</m:t>
          </m:r>
        </m:oMath>
      </m:oMathPara>
    </w:p>
    <w:p>
      <w:pPr>
        <w:pStyle w:val="FirstParagraph"/>
      </w:pPr>
      <w:r>
        <w:t xml:space="preserve">which excludes zero. This capability-matched estimate is approximately 94% of</w:t>
      </w:r>
      <w:r>
        <w:t xml:space="preserve"> </w:t>
      </w:r>
      <w:r>
        <w:t xml:space="preserve">the primary HOM-to-HET contrast. The result indicates that the observed</w:t>
      </w:r>
      <w:r>
        <w:t xml:space="preserve"> </w:t>
      </w:r>
      <w:r>
        <w:t xml:space="preserve">de-correlation is largely preserved when model tier is held approximately</w:t>
      </w:r>
      <w:r>
        <w:t xml:space="preserve"> </w:t>
      </w:r>
      <w:r>
        <w:t xml:space="preserve">constant, supporting provider identity as a major contributor to the primary</w:t>
      </w:r>
      <w:r>
        <w:t xml:space="preserve"> </w:t>
      </w:r>
      <w:r>
        <w:t xml:space="preserve">effect. The control substantially reduces the capability-tier concern but does</w:t>
      </w:r>
      <w:r>
        <w:t xml:space="preserve"> </w:t>
      </w:r>
      <w:r>
        <w:t xml:space="preserve">not eliminate it completely, because matching is approximate and covers only two</w:t>
      </w:r>
      <w:r>
        <w:t xml:space="preserve"> </w:t>
      </w:r>
      <w:r>
        <w:t xml:space="preserve">providers. (The reproduction of</w:t>
      </w:r>
      <w:r>
        <w:t xml:space="preserve"> </w:t>
      </w:r>
      <m:oMath>
        <m:sSub>
          <m:e>
            <m:r>
              <m:t>κ</m:t>
            </m:r>
          </m:e>
          <m:sub>
            <m:r>
              <m:rPr>
                <m:sty m:val="p"/>
              </m:rPr>
              <m:t>H</m:t>
            </m:r>
            <m:r>
              <m:rPr>
                <m:sty m:val="p"/>
              </m:rPr>
              <m:t>O</m:t>
            </m:r>
            <m:r>
              <m:rPr>
                <m:sty m:val="p"/>
              </m:rPr>
              <m:t>M</m:t>
            </m:r>
          </m:sub>
        </m:sSub>
        <m:r>
          <m:t>=</m:t>
        </m:r>
        <m:r>
          <m:t>0.552</m:t>
        </m:r>
      </m:oMath>
      <w:r>
        <w:t xml:space="preserve"> </w:t>
      </w:r>
      <w:r>
        <w:t xml:space="preserve">to four decimals</w:t>
      </w:r>
      <w:r>
        <w:t xml:space="preserve"> </w:t>
      </w:r>
      <w:r>
        <w:t xml:space="preserve">across two independently collected datasets also re-confirms determinism of the</w:t>
      </w:r>
      <w:r>
        <w:t xml:space="preserve"> </w:t>
      </w:r>
      <w:r>
        <w:t xml:space="preserve">homogeneous baseline.)</w:t>
      </w:r>
    </w:p>
    <w:p>
      <w:pPr>
        <w:pStyle w:val="Heading2"/>
      </w:pPr>
      <w:bookmarkStart w:id="64" w:name="robustness-temperature-sensitivity"/>
      <w:r>
        <w:t xml:space="preserve">Robustness: temperature sensitivity</w:t>
      </w:r>
      <w:bookmarkEnd w:id="64"/>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t>∈</m:t>
        </m:r>
        <m:r>
          <m:t>{</m:t>
        </m:r>
        <m:r>
          <m:t>0.0</m:t>
        </m:r>
        <m:r>
          <m:t>,</m:t>
        </m:r>
        <m:r>
          <m:t>0.7</m:t>
        </m:r>
        <m:r>
          <m:t>,</m:t>
        </m:r>
        <m:r>
          <m:t>1.0</m:t>
        </m:r>
        <m: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8</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t>=</m:t>
        </m:r>
        <m:r>
          <m:t>0</m:t>
        </m:r>
      </m:oMath>
      <w:r>
        <w:t xml:space="preserve">, the homogeneous</w:t>
      </w:r>
      <w:r>
        <w:t xml:space="preserve"> </w:t>
      </w:r>
      <w:r>
        <w:t xml:space="preserve">configuration produces a more nearly uniform label distribution, whereas at</w:t>
      </w:r>
      <w:r>
        <w:t xml:space="preserve"> </w:t>
      </w:r>
      <m:oMath>
        <m:r>
          <m:t>T</m:t>
        </m:r>
        <m:r>
          <m:t>=</m:t>
        </m:r>
        <m:r>
          <m:t>0.7</m:t>
        </m:r>
      </m:oMath>
      <w:r>
        <w:t xml:space="preserve"> </w:t>
      </w:r>
      <w:r>
        <w:t xml:space="preserve">and</w:t>
      </w:r>
      <w:r>
        <w:t xml:space="preserve"> </w:t>
      </w:r>
      <m:oMath>
        <m:r>
          <m:t>T</m:t>
        </m:r>
        <m: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t>×</m:t>
        </m:r>
        <m:r>
          <m:t>2</m:t>
        </m:r>
      </m:oMath>
      <w:r>
        <w:t xml:space="preserve"> </w:t>
      </w:r>
      <w:r>
        <w:t xml:space="preserve">subgrid, whose wide confidence</w:t>
      </w:r>
      <w:r>
        <w:t xml:space="preserve"> </w:t>
      </w:r>
      <w:r>
        <w:t xml:space="preserve">interval (</w:t>
      </w:r>
      <m:oMath>
        <m:r>
          <m:t>[</m:t>
        </m:r>
        <m:r>
          <m:t>0.21</m:t>
        </m:r>
        <m:r>
          <m:t>,</m:t>
        </m:r>
        <m:r>
          <m:t> </m:t>
        </m:r>
        <m:r>
          <m:t>0.78</m:t>
        </m:r>
        <m: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5" w:name="tab:temp"/>
    <w:p>
      <w:pPr>
        <w:pStyle w:val="TableCaption"/>
      </w:pPr>
      <w:r>
        <w:t xml:space="preserve">Temperature-sensitivity robustness (</w:t>
      </w:r>
      <m:oMath>
        <m:r>
          <m:t>8</m:t>
        </m:r>
        <m: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pct" w:w="0.0"/>
        <w:tblLook w:firstRow="1"/>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tr>
        <w:trPr>
          <w:cnfStyle w:firstRow="1"/>
        </w:trPr>
        <w:tc>
          <w:tcPr>
            <w:tcBorders>
              <w:bottom w:val="single"/>
            </w:tcBorders>
            <w:vAlign w:val="bottom"/>
          </w:tcPr>
          <w:p>
            <w:pPr>
              <w:pStyle w:val="Compact"/>
              <w:jc w:val="left"/>
            </w:pPr>
            <m:oMath>
              <m:r>
                <m:t>T</m:t>
              </m:r>
            </m:oMath>
          </w:p>
        </w:tc>
        <w:tc>
          <w:tcPr>
            <w:tcBorders>
              <w:bottom w:val="single"/>
            </w:tcBorders>
            <w:vAlign w:val="bottom"/>
          </w:tcPr>
          <w:p>
            <w:pPr>
              <w:pStyle w:val="Compact"/>
              <w:jc w:val="center"/>
            </w:pPr>
            <m:oMath>
              <m:sSub>
                <m:e>
                  <m:r>
                    <m:t>κ</m:t>
                  </m:r>
                </m:e>
                <m:sub>
                  <m:r>
                    <m:rPr>
                      <m:sty m:val="p"/>
                    </m:rPr>
                    <m:t>H</m:t>
                  </m:r>
                  <m:r>
                    <m:rPr>
                      <m:sty m:val="p"/>
                    </m:rPr>
                    <m:t>O</m:t>
                  </m:r>
                  <m:r>
                    <m:rPr>
                      <m:sty m:val="p"/>
                    </m:rPr>
                    <m:t>M</m:t>
                  </m:r>
                </m:sub>
              </m:sSub>
            </m:oMath>
          </w:p>
        </w:tc>
        <w:tc>
          <w:tcPr>
            <w:tcBorders>
              <w:bottom w:val="single"/>
            </w:tcBorders>
            <w:vAlign w:val="bottom"/>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p>
        </w:tc>
        <w:tc>
          <w:tcPr>
            <w:tcBorders>
              <w:bottom w:val="single"/>
            </w:tcBorders>
            <w:vAlign w:val="bottom"/>
          </w:tcPr>
          <w:p>
            <w:pPr>
              <w:pStyle w:val="Compact"/>
              <w:jc w:val="center"/>
            </w:pPr>
            <m:oMath>
              <m:sSub>
                <m:e>
                  <m:r>
                    <m:t>κ</m:t>
                  </m:r>
                </m:e>
                <m:sub>
                  <m:r>
                    <m:rPr>
                      <m:sty m:val="p"/>
                    </m:rPr>
                    <m:t>H</m:t>
                  </m:r>
                  <m:r>
                    <m:rPr>
                      <m:sty m:val="p"/>
                    </m:rPr>
                    <m:t>E</m:t>
                  </m:r>
                  <m:r>
                    <m:rPr>
                      <m:sty m:val="p"/>
                    </m:rPr>
                    <m:t>T</m:t>
                  </m:r>
                </m:sub>
              </m:sSub>
            </m:oMath>
          </w:p>
        </w:tc>
        <w:tc>
          <w:tcPr>
            <w:tcBorders>
              <w:bottom w:val="single"/>
            </w:tcBorders>
            <w:vAlign w:val="bottom"/>
          </w:tcPr>
          <w:p>
            <w:pPr>
              <w:pStyle w:val="Compact"/>
              <w:jc w:val="center"/>
            </w:pPr>
            <m:oMath>
              <m:r>
                <m:t>Δ</m:t>
              </m:r>
              <m:r>
                <m:t>κ</m:t>
              </m:r>
            </m:oMath>
            <w:r>
              <w:t xml:space="preserve"> </w:t>
            </w:r>
            <w:r>
              <w:t xml:space="preserve">[95% CI]</w:t>
            </w:r>
          </w:p>
        </w:tc>
      </w:tr>
      <w:tr>
        <w:tc>
          <w:p>
            <w:pPr>
              <w:pStyle w:val="Compact"/>
              <w:jc w:val="left"/>
            </w:pPr>
            <w:r>
              <w:t xml:space="preserve">0.0</w:t>
            </w:r>
          </w:p>
        </w:tc>
        <w:tc>
          <w:p>
            <w:pPr>
              <w:pStyle w:val="Compact"/>
              <w:jc w:val="center"/>
            </w:pPr>
            <w:r>
              <w:t xml:space="preserve">0.33</w:t>
            </w:r>
          </w:p>
        </w:tc>
        <w:tc>
          <w:p>
            <w:pPr>
              <w:pStyle w:val="Compact"/>
              <w:jc w:val="center"/>
            </w:pPr>
            <w:r>
              <w:t xml:space="preserve">0.17</w:t>
            </w:r>
          </w:p>
        </w:tc>
        <w:tc>
          <w:p>
            <w:pPr>
              <w:pStyle w:val="Compact"/>
              <w:jc w:val="center"/>
            </w:pPr>
            <w:r>
              <w:t xml:space="preserve">0.03</w:t>
            </w:r>
          </w:p>
        </w:tc>
        <w:tc>
          <w:p>
            <w:pPr>
              <w:pStyle w:val="Compact"/>
              <w:jc w:val="center"/>
            </w:pPr>
            <w:r>
              <w:t xml:space="preserve">0.30</w:t>
            </w:r>
            <w:r>
              <w:t xml:space="preserve"> </w:t>
            </w:r>
            <m:oMath>
              <m:r>
                <m:t>[</m:t>
              </m:r>
              <m:r>
                <m:t>0.16</m:t>
              </m:r>
              <m:r>
                <m:t>,</m:t>
              </m:r>
              <m:r>
                <m:t> </m:t>
              </m:r>
              <m:r>
                <m:t>0.44</m:t>
              </m:r>
              <m:r>
                <m:t>]</m:t>
              </m:r>
            </m:oMath>
          </w:p>
        </w:tc>
      </w:tr>
      <w:tr>
        <w:tc>
          <w:p>
            <w:pPr>
              <w:pStyle w:val="Compact"/>
              <w:jc w:val="left"/>
            </w:pPr>
            <w:r>
              <w:t xml:space="preserve">0.7</w:t>
            </w:r>
          </w:p>
        </w:tc>
        <w:tc>
          <w:p>
            <w:pPr>
              <w:pStyle w:val="Compact"/>
              <w:jc w:val="center"/>
            </w:pPr>
            <w:r>
              <w:t xml:space="preserve">0.67</w:t>
            </w:r>
          </w:p>
        </w:tc>
        <w:tc>
          <w:p>
            <w:pPr>
              <w:pStyle w:val="Compact"/>
              <w:jc w:val="center"/>
            </w:pPr>
            <w:r>
              <w:t xml:space="preserve">0.38</w:t>
            </w:r>
          </w:p>
        </w:tc>
        <w:tc>
          <w:p>
            <w:pPr>
              <w:pStyle w:val="Compact"/>
              <w:jc w:val="center"/>
            </w:pPr>
            <w:r>
              <w:t xml:space="preserve">0.16</w:t>
            </w:r>
          </w:p>
        </w:tc>
        <w:tc>
          <w:p>
            <w:pPr>
              <w:pStyle w:val="Compact"/>
              <w:jc w:val="center"/>
            </w:pPr>
            <w:r>
              <w:t xml:space="preserve">0.51</w:t>
            </w:r>
            <w:r>
              <w:t xml:space="preserve"> </w:t>
            </w:r>
            <m:oMath>
              <m:r>
                <m:t>[</m:t>
              </m:r>
              <m:r>
                <m:t>0.21</m:t>
              </m:r>
              <m:r>
                <m:t>,</m:t>
              </m:r>
              <m:r>
                <m:t> </m:t>
              </m:r>
              <m:r>
                <m:t>0.78</m:t>
              </m:r>
              <m:r>
                <m:t>]</m:t>
              </m:r>
            </m:oMath>
          </w:p>
        </w:tc>
      </w:tr>
      <w:tr>
        <w:tc>
          <w:p>
            <w:pPr>
              <w:pStyle w:val="Compact"/>
              <w:jc w:val="left"/>
            </w:pPr>
            <w:r>
              <w:t xml:space="preserve">1.0</w:t>
            </w:r>
          </w:p>
        </w:tc>
        <w:tc>
          <w:p>
            <w:pPr>
              <w:pStyle w:val="Compact"/>
              <w:jc w:val="center"/>
            </w:pPr>
            <w:r>
              <w:t xml:space="preserve">0.53</w:t>
            </w:r>
          </w:p>
        </w:tc>
        <w:tc>
          <w:p>
            <w:pPr>
              <w:pStyle w:val="Compact"/>
              <w:jc w:val="center"/>
            </w:pPr>
            <w:r>
              <w:t xml:space="preserve">0.27</w:t>
            </w:r>
          </w:p>
        </w:tc>
        <w:tc>
          <w:p>
            <w:pPr>
              <w:pStyle w:val="Compact"/>
              <w:jc w:val="center"/>
            </w:pPr>
            <w:r>
              <w:t xml:space="preserve">0.15</w:t>
            </w:r>
          </w:p>
        </w:tc>
        <w:tc>
          <w:p>
            <w:pPr>
              <w:pStyle w:val="Compact"/>
              <w:jc w:val="center"/>
            </w:pPr>
            <w:r>
              <w:t xml:space="preserve">0.38</w:t>
            </w:r>
            <w:r>
              <w:t xml:space="preserve"> </w:t>
            </w:r>
            <m:oMath>
              <m:r>
                <m:t>[</m:t>
              </m:r>
              <m:r>
                <m:t>0.19</m:t>
              </m:r>
              <m:r>
                <m:t>,</m:t>
              </m:r>
              <m:r>
                <m:t> </m:t>
              </m:r>
              <m:r>
                <m:t>0.54</m:t>
              </m:r>
              <m:r>
                <m:t>]</m:t>
              </m:r>
            </m:oMath>
          </w:p>
        </w:tc>
      </w:tr>
    </w:tbl>
    <w:bookmarkEnd w:id="65"/>
    <w:p>
      <w:pPr>
        <w:pStyle w:val="Heading1"/>
      </w:pPr>
      <w:bookmarkStart w:id="66" w:name="discussion"/>
      <w:r>
        <w:t xml:space="preserve">Discussion</w:t>
      </w:r>
      <w:bookmarkEnd w:id="66"/>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t>=</m:t>
        </m:r>
        <m:r>
          <m:t>0.552</m:t>
        </m:r>
      </m:oMath>
      <w:r>
        <w:t xml:space="preserve"> </w:t>
      </w:r>
      <w:r>
        <w:t xml:space="preserve">for the homogeneous configuration to</w:t>
      </w:r>
      <w:r>
        <w:t xml:space="preserve"> </w:t>
      </w:r>
      <m:oMath>
        <m:r>
          <m:t>κ</m:t>
        </m:r>
        <m: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control, these findings support provider identity as</w:t>
      </w:r>
      <w:r>
        <w:t xml:space="preserve"> </w:t>
      </w:r>
      <w:r>
        <w:t xml:space="preserve">an important source of behavioral similarity within LLM ensembles.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cross-provider heterogeneity</w:t>
      </w:r>
      <w:r>
        <w:t xml:space="preserve"> </w:t>
      </w:r>
      <w:r>
        <w:t xml:space="preserve">substantially reduces within-ensemble agreement but does not produce a</w:t>
      </w:r>
      <w:r>
        <w:t xml:space="preserve"> </w:t>
      </w:r>
      <w:r>
        <w:t xml:space="preserve">statistically reliable improvement in average directional accuracy. This result</w:t>
      </w:r>
      <w:r>
        <w:t xml:space="preserve"> </w:t>
      </w:r>
      <w:r>
        <w:t xml:space="preserve">is consistent with the algorithmic-monoculture</w:t>
      </w:r>
      <w:r>
        <w:t xml:space="preserve"> </w:t>
      </w:r>
      <w:r>
        <w:t xml:space="preserve">literature[3] 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t>×</m:t>
        </m:r>
      </m:oMath>
      <w:r>
        <w:t xml:space="preserve">, rather than</w:t>
      </w:r>
      <w:r>
        <w:t xml:space="preserve"> </w:t>
      </w:r>
      <m:oMath>
        <m:r>
          <m:t>4.4</m:t>
        </m:r>
        <m:r>
          <m:t>×</m:t>
        </m:r>
      </m:oMath>
      <w:r>
        <w:t xml:space="preserve">, cost premium. A single</w:t>
      </w:r>
      <w:r>
        <w:t xml:space="preserve"> </w:t>
      </w:r>
      <w:r>
        <w:t xml:space="preserve">second-provider agent may therefore represent a candidate cost-efficient</w:t>
      </w:r>
      <w:r>
        <w:t xml:space="preserve"> </w:t>
      </w:r>
      <w:r>
        <w:t xml:space="preserve">operating point for this task, although this conclusion should be validated</w:t>
      </w:r>
      <w:r>
        <w:t xml:space="preserve"> </w:t>
      </w:r>
      <w:r>
        <w:t xml:space="preserve">prospectively before being generalized to other applications.</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p>
      <w:pPr>
        <w:pStyle w:val="Heading1"/>
      </w:pPr>
      <w:bookmarkStart w:id="67" w:name="threats-to-validity"/>
      <w:r>
        <w:t xml:space="preserve">Threats to Validity</w:t>
      </w:r>
      <w:bookmarkEnd w:id="67"/>
    </w:p>
    <w:p>
      <w:pPr>
        <w:pStyle w:val="FirstParagraph"/>
      </w:pPr>
      <w:r>
        <w:rPr>
          <w:b/>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3</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5.8</w:t>
        </w:r>
      </w:hyperlink>
      <w:r>
        <w:t xml:space="preserve">) holds model tier approximately constant</w:t>
      </w:r>
      <w:r>
        <w:t xml:space="preserve"> </w:t>
      </w:r>
      <w:r>
        <w:t xml:space="preserve">across OpenAI and Google and produces a contrast of</w:t>
      </w:r>
      <w:r>
        <w:t xml:space="preserve"> </w:t>
      </w:r>
      <m:oMath>
        <m:r>
          <m:t>Δ</m:t>
        </m:r>
        <m:r>
          <m:t>κ</m:t>
        </m:r>
        <m:r>
          <m:t>=</m:t>
        </m:r>
        <m:r>
          <m:t>0.315</m:t>
        </m:r>
      </m:oMath>
      <w:r>
        <w:t xml:space="preserve">,</w:t>
      </w:r>
      <w:r>
        <w:t xml:space="preserve"> </w:t>
      </w:r>
      <w:r>
        <w:t xml:space="preserve">approximately 94% of the primary HOM-to-HET effect. The de-correlation</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rPr>
        <w:t xml:space="preserve">Single task domain.</w:t>
      </w:r>
      <w:r>
        <w:t xml:space="preserve"> </w:t>
      </w:r>
      <w:r>
        <w:t xml:space="preserve">The experiment evaluates one directional financial-analysis task using a single</w:t>
      </w:r>
      <w:r>
        <w:t xml:space="preserve"> </w:t>
      </w:r>
      <w:r>
        <w:t xml:space="preserve">prompt template and a three-class BUY/HOLD/SELL output space. The magnitude of</w:t>
      </w:r>
      <w:r>
        <w:t xml:space="preserve"> </w:t>
      </w:r>
      <w:r>
        <w:t xml:space="preserve">agreement reduction may differ for other tasks, prompts, domains, label</w:t>
      </w:r>
      <w:r>
        <w:t xml:space="preserve"> </w:t>
      </w:r>
      <w:r>
        <w:t xml:space="preserve">structures, or reasoning requirements. In particular, tasks involving factual</w:t>
      </w:r>
      <w:r>
        <w:t xml:space="preserve"> </w:t>
      </w:r>
      <w:r>
        <w:t xml:space="preserve">retrieval, open-ended generation, numerical reasoning, or multi-turn interaction</w:t>
      </w:r>
      <w:r>
        <w:t xml:space="preserve"> </w:t>
      </w:r>
      <w:r>
        <w:t xml:space="preserve">may exhibit different within-provider and cross-provider dependence. The present</w:t>
      </w:r>
      <w:r>
        <w:t xml:space="preserve"> </w:t>
      </w:r>
      <w:r>
        <w:t xml:space="preserve">results should therefore be interpreted as evidence for the evaluated task</w:t>
      </w:r>
      <w:r>
        <w:t xml:space="preserve"> </w:t>
      </w:r>
      <w:r>
        <w:t xml:space="preserve">rather than as a universal estimate of LLM ensemble de-correlation. An</w:t>
      </w:r>
      <w:r>
        <w:t xml:space="preserve"> </w:t>
      </w:r>
      <w:r>
        <w:t xml:space="preserve">out-of-domain replication using the same ensemble configurations,</w:t>
      </w:r>
      <w:r>
        <w:t xml:space="preserve"> </w:t>
      </w:r>
      <w:r>
        <w:t xml:space="preserve">independent-sampling protocol, and agreement estimator is required to determine</w:t>
      </w:r>
      <w:r>
        <w:t xml:space="preserve"> </w:t>
      </w:r>
      <w:r>
        <w:t xml:space="preserve">whether the observed ordering generalizes beyond the financial setting.</w:t>
      </w:r>
    </w:p>
    <w:p>
      <w:pPr>
        <w:pStyle w:val="BodyText"/>
      </w:pPr>
      <w:r>
        <w:rPr>
          <w:b/>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p>
      <w:pPr>
        <w:pStyle w:val="BodyText"/>
      </w:pPr>
      <w:r>
        <w:rPr>
          <w:b/>
        </w:rPr>
        <w:t xml:space="preserve">Generalization.</w:t>
      </w:r>
      <w:r>
        <w:t xml:space="preserve"> </w:t>
      </w:r>
      <w:r>
        <w:t xml:space="preserve">The findings are specific to five-agent ensembles, three provider mixtures, the</w:t>
      </w:r>
      <w:r>
        <w:t xml:space="preserve"> </w:t>
      </w:r>
      <w:r>
        <w:t xml:space="preserve">selected models, and the tested heterogeneity levels. Different ensemble sizes,</w:t>
      </w:r>
      <w:r>
        <w:t xml:space="preserve"> </w:t>
      </w:r>
      <w:r>
        <w:t xml:space="preserve">provider allocations, aggregation rules, model tiers, prompts, or cost</w:t>
      </w:r>
      <w:r>
        <w:t xml:space="preserve"> </w:t>
      </w:r>
      <w:r>
        <w:t xml:space="preserve">structures may produce different agreement–cost frontiers. In addition, lower</w:t>
      </w:r>
      <w:r>
        <w:t xml:space="preserve"> </w:t>
      </w:r>
      <w:r>
        <w:t xml:space="preserve">agreement is not inherently beneficial; its value depends on whether</w:t>
      </w:r>
      <w:r>
        <w:t xml:space="preserve"> </w:t>
      </w:r>
      <w:r>
        <w:t xml:space="preserve">disagreement improves a relevant downstream outcome. Generalization therefore</w:t>
      </w:r>
      <w:r>
        <w:t xml:space="preserve"> </w:t>
      </w:r>
      <w:r>
        <w:t xml:space="preserve">requires replication across alternative ensemble compositions and decision</w:t>
      </w:r>
      <w:r>
        <w:t xml:space="preserve"> </w:t>
      </w:r>
      <w:r>
        <w:t xml:space="preserve">tasks.</w:t>
      </w:r>
    </w:p>
    <w:p>
      <w:pPr>
        <w:pStyle w:val="Heading1"/>
      </w:pPr>
      <w:bookmarkStart w:id="68" w:name="conclusion"/>
      <w:r>
        <w:t xml:space="preserve">Conclusion</w:t>
      </w:r>
      <w:bookmarkEnd w:id="68"/>
    </w:p>
    <w:p>
      <w:pPr>
        <w:pStyle w:val="FirstParagraph"/>
      </w:pPr>
      <w:r>
        <w:t xml:space="preserve">This study presents a pre-registered empirical evaluation of how cross-provider</w:t>
      </w:r>
      <w:r>
        <w:t xml:space="preserve"> </w:t>
      </w:r>
      <w:r>
        <w:t xml:space="preserve">heterogeneity affects agreement and inference cost in LLM ensembles.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t>Δ</m:t>
        </m:r>
        <m:r>
          <m:t>κ</m:t>
        </m:r>
        <m:r>
          <m:t>=</m:t>
        </m:r>
        <m:r>
          <m:t>0.336</m:t>
        </m:r>
      </m:oMath>
      <w:r>
        <w:t xml:space="preserve"> </w:t>
      </w:r>
      <w:r>
        <w:t xml:space="preserve">(95% CI:</w:t>
      </w:r>
      <w:r>
        <w:t xml:space="preserve"> </w:t>
      </w:r>
      <m:oMath>
        <m:r>
          <m:t>[</m:t>
        </m:r>
        <m:r>
          <m:t>0.304</m:t>
        </m:r>
        <m:r>
          <m:t>,</m:t>
        </m:r>
        <m:r>
          <m:t>0.369</m:t>
        </m:r>
        <m:r>
          <m:t>]</m:t>
        </m:r>
      </m:oMath>
      <w:r>
        <w:t xml:space="preserve">). This reduction is</w:t>
      </w:r>
      <w:r>
        <w:t xml:space="preserve"> </w:t>
      </w:r>
      <w:r>
        <w:t xml:space="preserve">accompanied by an approximately</w:t>
      </w:r>
      <w:r>
        <w:t xml:space="preserve"> </w:t>
      </w:r>
      <m:oMath>
        <m:r>
          <m:t>4.4</m:t>
        </m:r>
        <m: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effect, supporting provider identity as a major contributor to ensemble</w:t>
      </w:r>
      <w:r>
        <w:t xml:space="preserve"> </w:t>
      </w:r>
      <w:r>
        <w:t xml:space="preserve">de-correlation while not fully eliminating capability-related confounding.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de-correlation effect by approximately fourfold,</w:t>
      </w:r>
      <w:r>
        <w:t xml:space="preserve"> </w:t>
      </w:r>
      <w:r>
        <w:t xml:space="preserve">demonstrating the importance of verifying sampling independence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yield</w:t>
      </w:r>
      <w:r>
        <w:t xml:space="preserve"> </w:t>
      </w:r>
      <w:r>
        <w:t xml:space="preserve">less-correlated judgments,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p>
      <w:pPr>
        <w:pStyle w:val="Heading1"/>
      </w:pPr>
      <w:bookmarkStart w:id="69" w:name="data-and-code-availability"/>
      <w:r>
        <w:t xml:space="preserve">Data and Code Availability</w:t>
      </w:r>
      <w:bookmarkEnd w:id="69"/>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Artifacts are archived at [Zenodo / Code Ocean DOI, to be minted</w:t>
      </w:r>
      <w:r>
        <w:t xml:space="preserve"> </w:t>
      </w:r>
      <w:r>
        <w:t xml:space="preserve">on acceptance] and mirrored at</w:t>
      </w:r>
      <w:r>
        <w:t xml:space="preserve"> </w:t>
      </w:r>
      <w:hyperlink r:id="rId70">
        <w:r>
          <w:rPr>
            <w:rStyle w:val="Hyperlink"/>
          </w:rPr>
          <w:t xml:space="preserve">https://github.com/samirrc2/price-of-decorrelation</w:t>
        </w:r>
      </w:hyperlink>
      <w:r>
        <w:t xml:space="preserve">. The dataset SHA-256</w:t>
      </w:r>
      <w:r>
        <w:t xml:space="preserve"> </w:t>
      </w:r>
      <w:r>
        <w:t xml:space="preserve">hash and analysis commit hash are recorded in the supplementary manifest.</w:t>
      </w:r>
    </w:p>
    <w:p>
      <w:pPr>
        <w:pStyle w:val="Heading1"/>
      </w:pPr>
      <w:bookmarkStart w:id="71" w:name="acknowledgment"/>
      <w:r>
        <w:t xml:space="preserve">Acknowledgment</w:t>
      </w:r>
      <w:bookmarkEnd w:id="71"/>
    </w:p>
    <w:p>
      <w:pPr>
        <w:pStyle w:val="FirstParagraph"/>
      </w:pPr>
      <w:r>
        <w:t xml:space="preserve">The authors thank colleagues and reviewers for feedback.</w:t>
      </w:r>
    </w:p>
    <w:p>
      <w:pPr>
        <w:pStyle w:val="Heading1"/>
      </w:pPr>
      <w:bookmarkStart w:id="72" w:name="use-of-generative-ai"/>
      <w:r>
        <w:t xml:space="preserve">Use of Generative AI</w:t>
      </w:r>
      <w:bookmarkEnd w:id="72"/>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Heading1"/>
      </w:pPr>
      <w:bookmarkStart w:id="73" w:name="references"/>
      <w:r>
        <w:t xml:space="preserve">References</w:t>
      </w:r>
      <w:bookmarkEnd w:id="73"/>
    </w:p>
    <w:p>
      <w:pPr>
        <w:pStyle w:val="FirstParagraph"/>
      </w:pPr>
      <w:r>
        <w:t xml:space="preserve">[1] Y. Du, S. Li, A. Torralba, J. B. Tenenbaum, and I. Mordatch,</w:t>
      </w:r>
      <w:r>
        <w:t xml:space="preserve"> </w:t>
      </w:r>
      <w:r>
        <w:t xml:space="preserve">“</w:t>
      </w:r>
      <w:r>
        <w:t xml:space="preserve">Improving factuality and reasoning in language models through multiagent debate,</w:t>
      </w:r>
      <w:r>
        <w:t xml:space="preserve">”</w:t>
      </w:r>
      <w:r>
        <w:t xml:space="preserve"> </w:t>
      </w:r>
      <w:r>
        <w:t xml:space="preserve">arXiv preprint arXiv:2305.14325, 2023.</w:t>
      </w:r>
    </w:p>
    <w:p>
      <w:pPr>
        <w:pStyle w:val="BodyText"/>
      </w:pPr>
      <w:r>
        <w:t xml:space="preserve">[2] J. Wang, J. Wang, B. Athiwaratkun, C. Zhang, and J. Zou,</w:t>
      </w:r>
      <w:r>
        <w:t xml:space="preserve"> </w:t>
      </w:r>
      <w:r>
        <w:t xml:space="preserve">“</w:t>
      </w:r>
      <w:r>
        <w:t xml:space="preserve">Mixture-of-agents enhances large language model capabilities,</w:t>
      </w:r>
      <w:r>
        <w:t xml:space="preserve">”</w:t>
      </w:r>
      <w:r>
        <w:t xml:space="preserve"> </w:t>
      </w:r>
      <w:r>
        <w:t xml:space="preserve">arXiv preprint arXiv:2406.04692, 2024.</w:t>
      </w:r>
    </w:p>
    <w:p>
      <w:pPr>
        <w:pStyle w:val="BodyText"/>
      </w:pPr>
      <w:r>
        <w:t xml:space="preserve">[3] E. Kim, A. Garg, K. Peng, and N. Garg,</w:t>
      </w:r>
      <w:r>
        <w:t xml:space="preserve"> </w:t>
      </w:r>
      <w:r>
        <w:t xml:space="preserve">“</w:t>
      </w:r>
      <w:r>
        <w:t xml:space="preserve">Correlated errors in large language models,</w:t>
      </w:r>
      <w:r>
        <w:t xml:space="preserve">”</w:t>
      </w:r>
      <w:r>
        <w:t xml:space="preserve"> </w:t>
      </w:r>
      <w:r>
        <w:t xml:space="preserve">in Proc. 42nd Int. Conf. Mach. Learn. (ICML), ser. Proc. Mach. Learn. Res., vol. 267, 2025, [Online]. Available: https://arxiv.org/abs/2506.07962.</w:t>
      </w:r>
    </w:p>
    <w:p>
      <w:pPr>
        <w:pStyle w:val="BodyText"/>
      </w:pPr>
      <w:r>
        <w:t xml:space="preserve">[4] Z. Chen, J. Li, P. Chen, Z. Li, K. Sun, Y. Luo, Q. Mao, D. Yang, H. Sun, and P. S. Yu,</w:t>
      </w:r>
      <w:r>
        <w:t xml:space="preserve"> </w:t>
      </w:r>
      <w:r>
        <w:t xml:space="preserve">“</w:t>
      </w:r>
      <w:r>
        <w:t xml:space="preserve">Harnessing multiple large language models: A survey on LLM ensemble,</w:t>
      </w:r>
      <w:r>
        <w:t xml:space="preserve">”</w:t>
      </w:r>
      <w:r>
        <w:t xml:space="preserve"> </w:t>
      </w:r>
      <w:r>
        <w:t xml:space="preserve">arXiv preprint arXiv:2502.18036, 2025.</w:t>
      </w:r>
    </w:p>
    <w:p>
      <w:pPr>
        <w:pStyle w:val="BodyText"/>
      </w:pPr>
      <w:r>
        <w:t xml:space="preserve">[5] J. Li, Q. Zhang, Y. Yu, Q. Fu, and D. Ye,</w:t>
      </w:r>
      <w:r>
        <w:t xml:space="preserve"> </w:t>
      </w:r>
      <w:r>
        <w:t xml:space="preserve">“</w:t>
      </w:r>
      <w:r>
        <w:t xml:space="preserve">More agents is all you need,</w:t>
      </w:r>
      <w:r>
        <w:t xml:space="preserve">”</w:t>
      </w:r>
      <w:r>
        <w:t xml:space="preserve"> </w:t>
      </w:r>
      <w:r>
        <w:t xml:space="preserve">Trans. Mach. Learn. Res., 2024, [Online]. Available: https://arxiv.org/abs/2402.05120.</w:t>
      </w:r>
    </w:p>
    <w:p>
      <w:pPr>
        <w:pStyle w:val="BodyText"/>
      </w:pPr>
      <w:r>
        <w:t xml:space="preserve">[6] S. F. Tekin, F. Ilhan, T. Huang, S. Hu, and L. Liu,</w:t>
      </w:r>
      <w:r>
        <w:t xml:space="preserve"> </w:t>
      </w:r>
      <w:r>
        <w:t xml:space="preserve">“</w:t>
      </w:r>
      <w:r>
        <w:t xml:space="preserve">LLM-TOPLA: Efficient LLM ensemble by maximising diversity,</w:t>
      </w:r>
      <w:r>
        <w:t xml:space="preserve">”</w:t>
      </w:r>
      <w:r>
        <w:t xml:space="preserve"> </w:t>
      </w:r>
      <w:r>
        <w:t xml:space="preserve">in Findings Assoc. Comput. Linguistics: EMNLP, 2024, [Online]. Available: https://arxiv.org/abs/2410.03953.</w:t>
      </w:r>
    </w:p>
    <w:p>
      <w:pPr>
        <w:pStyle w:val="BodyText"/>
      </w:pPr>
      <w:r>
        <w:t xml:space="preserve">[7] S. Cohen, N. Goldshlager, N. Cohen-Inger, B. Shapira, and L. Rokach,</w:t>
      </w:r>
      <w:r>
        <w:t xml:space="preserve"> </w:t>
      </w:r>
      <w:r>
        <w:t xml:space="preserve">“</w:t>
      </w:r>
      <w:r>
        <w:t xml:space="preserve">DFPE: A diverse fingerprint ensemble for enhancing LLM performance,</w:t>
      </w:r>
      <w:r>
        <w:t xml:space="preserve">”</w:t>
      </w:r>
      <w:r>
        <w:t xml:space="preserve"> </w:t>
      </w:r>
      <w:r>
        <w:t xml:space="preserve">arXiv preprint arXiv:2501.17479, 2025.</w:t>
      </w:r>
    </w:p>
    <w:p>
      <w:pPr>
        <w:pStyle w:val="BodyText"/>
      </w:pPr>
      <w:r>
        <w:t xml:space="preserve">[8] S. Wu, X. Li, Y. Feng, Y. Li, Z. Wang, and R. Wang,</w:t>
      </w:r>
      <w:r>
        <w:t xml:space="preserve"> </w:t>
      </w:r>
      <w:r>
        <w:t xml:space="preserve">“</w:t>
      </w:r>
      <w:r>
        <w:t xml:space="preserve">Council mode: A heterogeneous multi-agent consensus framework for reducing LLM hallucination and bias,</w:t>
      </w:r>
      <w:r>
        <w:t xml:space="preserve">”</w:t>
      </w:r>
      <w:r>
        <w:t xml:space="preserve"> </w:t>
      </w:r>
      <w:r>
        <w:t xml:space="preserve">arXiv preprint arXiv:2604.02923, 2026.</w:t>
      </w:r>
    </w:p>
    <w:p>
      <w:pPr>
        <w:pStyle w:val="BodyText"/>
      </w:pPr>
      <w:r>
        <w:t xml:space="preserve">[9] Z. Bugaud,</w:t>
      </w:r>
      <w:r>
        <w:t xml:space="preserve"> </w:t>
      </w:r>
      <w:r>
        <w:t xml:space="preserve">“</w:t>
      </w:r>
      <w:r>
        <w:t xml:space="preserve">Hidden clones: Exposing and fixing family bias in vision-language model ensembles,</w:t>
      </w:r>
      <w:r>
        <w:t xml:space="preserve">”</w:t>
      </w:r>
      <w:r>
        <w:t xml:space="preserve"> </w:t>
      </w:r>
      <w:r>
        <w:t xml:space="preserve">arXiv preprint arXiv:2603.17111, 2026.</w:t>
      </w:r>
    </w:p>
    <w:p>
      <w:pPr>
        <w:pStyle w:val="BodyText"/>
      </w:pPr>
      <w:r>
        <w:t xml:space="preserve">[10] J. L. Fleiss,</w:t>
      </w:r>
      <w:r>
        <w:t xml:space="preserve"> </w:t>
      </w:r>
      <w:r>
        <w:t xml:space="preserve">“</w:t>
      </w:r>
      <w:r>
        <w:t xml:space="preserve">Measuring nominal scale agreement among many raters,</w:t>
      </w:r>
      <w:r>
        <w:t xml:space="preserve">”</w:t>
      </w:r>
      <w:r>
        <w:t xml:space="preserve"> </w:t>
      </w:r>
      <w:r>
        <w:t xml:space="preserve">Psychol. Bull., vol. 76, no. 5, pp. 378–382, 1971.</w:t>
      </w:r>
    </w:p>
    <w:p>
      <w:pPr>
        <w:pStyle w:val="BodyText"/>
      </w:pPr>
      <w:r>
        <w:t xml:space="preserve">[11] K. Krippendorff, Content Analysis: An Introduction to Its Methodology, 4th ed.1em plus 0.5em minus 0.4emThousand Oaks, CA, USA: Sage, 2019.</w:t>
      </w:r>
    </w:p>
    <w:p>
      <w:pPr>
        <w:pStyle w:val="BodyText"/>
      </w:pPr>
      <w:r>
        <w:t xml:space="preserve">[12] K. L. Gwet,</w:t>
      </w:r>
      <w:r>
        <w:t xml:space="preserve"> </w:t>
      </w:r>
      <w:r>
        <w:t xml:space="preserve">“</w:t>
      </w:r>
      <w:r>
        <w:t xml:space="preserve">Computing inter-rater reliability and its variance in the presence of high agreement,</w:t>
      </w:r>
      <w:r>
        <w:t xml:space="preserve">”</w:t>
      </w:r>
      <w:r>
        <w:t xml:space="preserve"> </w:t>
      </w:r>
      <w:r>
        <w:t xml:space="preserve">Brit. J. Math. Statist. Psychol., vol. 61, no. 1, pp. 29–48, 2008.</w:t>
      </w:r>
    </w:p>
    <w:p>
      <w:pPr>
        <w:pStyle w:val="BodyText"/>
      </w:pPr>
      <w:r>
        <w:t xml:space="preserve">[13] B. Efron and R. J. Tibshirani, An Introduction to the Bootstrap.1em plus 0.5em minus 0.4emNew York, NY, USA: Chapman &amp; Hall, 1993.</w:t>
      </w:r>
    </w:p>
    <w:p>
      <w:pPr>
        <w:pStyle w:val="BodyText"/>
      </w:pPr>
      <w:r>
        <w:t xml:space="preserve">[14] J. R. Landis and G. G. Koch,</w:t>
      </w:r>
      <w:r>
        <w:t xml:space="preserve"> </w:t>
      </w:r>
      <w:r>
        <w:t xml:space="preserve">“</w:t>
      </w:r>
      <w:r>
        <w:t xml:space="preserve">The measurement of observer agreement for categorical data,</w:t>
      </w:r>
      <w:r>
        <w:t xml:space="preserve">”</w:t>
      </w:r>
      <w:r>
        <w:t xml:space="preserve"> </w:t>
      </w:r>
      <w:r>
        <w:t xml:space="preserve">Biometrics, vol. 33, no. 1, pp. 159–174, 1977.</w:t>
      </w:r>
    </w:p>
    <w:p>
      <w:pPr>
        <w:pStyle w:val="BodyText"/>
      </w:pPr>
      <w:r>
        <w:t xml:space="preserve">[15] E. B. Wilson,</w:t>
      </w:r>
      <w:r>
        <w:t xml:space="preserve"> </w:t>
      </w:r>
      <w:r>
        <w:t xml:space="preserve">“</w:t>
      </w:r>
      <w:r>
        <w:t xml:space="preserve">Probable inference, the law of succession, and statistical inference,</w:t>
      </w:r>
      <w:r>
        <w:t xml:space="preserve">”</w:t>
      </w:r>
      <w:r>
        <w:t xml:space="preserve"> </w:t>
      </w:r>
      <w:r>
        <w:t xml:space="preserve">J. Amer. Statist. Assoc., vol. 22, no. 158, pp. 209–212, 1927.</w:t>
      </w:r>
    </w:p>
    <w:p>
      <w:pPr>
        <w:pStyle w:val="BodyText"/>
      </w:pPr>
      <w:r>
        <w:rPr>
          <w:b/>
        </w:rP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Urbana-Champaign, Urbana, IL, USA,</w:t>
      </w:r>
      <w:r>
        <w:t xml:space="preserve"> </w:t>
      </w:r>
      <w:r>
        <w:t xml:space="preserve">in 2019. He has over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machine learning</w:t>
      </w:r>
      <w:r>
        <w:t xml:space="preserve"> </w:t>
      </w:r>
      <w:r>
        <w:t xml:space="preserve">evaluation, and reproducible empirical methods in computational finance.</w:t>
      </w:r>
    </w:p>
    <w:p>
      <w:pPr>
        <w:pStyle w:val="BodyText"/>
      </w:pPr>
      <w:r>
        <w:rPr>
          <w:b/>
        </w:rPr>
        <w:t xml:space="preserve">Robin Chawla</w:t>
      </w:r>
      <w:r>
        <w:t xml:space="preserve"> </w:t>
      </w:r>
      <w:r>
        <w:t xml:space="preserve">received the B.Tech. degree in computer science and engineering from the Indian</w:t>
      </w:r>
      <w:r>
        <w:t xml:space="preserve"> </w:t>
      </w:r>
      <w:r>
        <w:t xml:space="preserve">Institute of Technology (BHU), Varanasi, India. His research interests include</w:t>
      </w:r>
      <w:r>
        <w:t xml:space="preserve"> </w:t>
      </w:r>
      <w:r>
        <w:t xml:space="preserve">large language models, distributed systems, and reproducible computational</w:t>
      </w:r>
      <w:r>
        <w:t xml:space="preserve"> </w:t>
      </w:r>
      <w:r>
        <w:t xml:space="preserve">science.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hyperlink" Id="rId70" Target="https://github.com/samirrc2/price-of-decorrelation" TargetMode="External" /></Relationships>
</file>

<file path=word/_rels/footnotes.xml.rels><?xml version="1.0" encoding="UTF-8"?>
<Relationships xmlns="http://schemas.openxmlformats.org/package/2006/relationships"><Relationship Type="http://schemas.openxmlformats.org/officeDocument/2006/relationships/hyperlink" Id="rId70"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Chincholikar1, Robin Chawla1 1Independent researchers. Corresponding author: Samir Chincholikar (samir.chincholikar@gmail.com, ORCID 0009-0007-2779-3492). Manuscript submitted August 3, 2026.</dc:creator>
  <cp:keywords/>
  <dcterms:created xsi:type="dcterms:W3CDTF">2026-08-03T17:44:19Z</dcterms:created>
  <dcterms:modified xsi:type="dcterms:W3CDTF">2026-08-03T17:44:19Z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Cross-provider heterogeneity significantly reduces within-ensemble agreement, with a primary reduction of \Delta\kappa=0.336 (95% CI: 0.304–0.369), but increases inference cost by approximately 4.4\times. A capability-matched control indicates that the effect is driven primarily by provider diversity rather than model capability differences. We also introduce an independent-draw measurement protocol that prevents shared sampling conditions from inflating estimated agreement. Although heterogeneity does not produce a reliable improvement in average directional accuracy, exploratory results indicate that homogeneous ensembles generate unanimous incorrect decisions at 1.84 times the rate of heterogeneous ensembles. These findings show that model diversity provides less-correlated judgments rather than guaranteed correctness, and offer a practical agreement–cost framework for designing LLM ensemble systems.</vt:lpwstr>
  </property>
</Properties>
</file>