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the classifier-ensemble result that diversity and accuracy are</w:t>
      </w:r>
      <w:r>
        <w:t xml:space="preserve"> </w:t>
      </w:r>
      <w:r>
        <w:t xml:space="preserve">related but not interchangeable.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Reduces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bootstrap, which resamples the two margins separately, and the multiway-inference</w:t>
      </w:r>
      <w:r>
        <w:t xml:space="preserve"> </w:t>
      </w:r>
      <w:r>
        <w:t xml:space="preserve">literature for non-nested clustering dimensions. We state explicitly that our procedure is</w:t>
      </w:r>
      <w:r>
        <w:t xml:space="preserve"> </w:t>
      </w:r>
      <w:r>
        <w:t xml:space="preserve">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package: the confirmatory</w:t>
      </w:r>
      <w:r>
        <w:t xml:space="preserve"> </w:t>
      </w:r>
      <w:r>
        <w:t xml:space="preserve">freeze is timestamped 2026-07-03T20:41:51Z and records the SHA-256 of the configuration,</w:t>
      </w:r>
      <w:r>
        <w:t xml:space="preserve"> </w:t>
      </w:r>
      <w:r>
        <w:t xml:space="preserve">agent and analysis code, prompt template, pre-registration, grid and model manifest together</w:t>
      </w:r>
      <w:r>
        <w:t xml:space="preserve"> </w:t>
      </w:r>
      <w:r>
        <w:t xml:space="preserve">with the commit that carried them; the cross-domain replication has its own receipt</w:t>
      </w:r>
      <w:r>
        <w:t xml:space="preserve"> </w:t>
      </w:r>
      <w:r>
        <w:t xml:space="preserve">timestamped 2026-09-29T14:47:54Z, recorded before any API call for 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2026-10-02T15:20:07Z</dcterms:created>
  <dcterms:modified xsi:type="dcterms:W3CDTF">2026-10-02T15:20:07Z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