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provider, not capability, orders the result.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The first two bars</w:t>
      </w:r>
      <w:r>
        <w:t xml:space="preserve"> </w:t>
      </w:r>
      <w:r>
        <w:t xml:space="preserve">are the pilot’s HOM-HET contrast under shared and independent seeding on the same grid and</w:t>
      </w:r>
      <w:r>
        <w:t xml:space="preserve"> </w:t>
      </w:r>
      <w:r>
        <w:t xml:space="preserve">model set. The third was the confirmatory study’s within-minus-cross-run difference for HOM,</w:t>
      </w:r>
      <w:r>
        <w:t xml:space="preserve"> </w:t>
      </w:r>
      <w:r>
        <w:t xml:space="preserve">which 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not forced the three bars into one estimand, because the first two and the third</w:t>
      </w:r>
      <w:r>
        <w:t xml:space="preserve"> </w:t>
      </w:r>
      <w:r>
        <w:t xml:space="preserve">answer different questions. We have instead labelled each for what it is, so the like-for-like</w:t>
      </w:r>
      <w:r>
        <w:t xml:space="preserve"> </w:t>
      </w:r>
      <w:r>
        <w:t xml:space="preserve">comparison establishing the artifact is the first two bars and the third is identified as a</w:t>
      </w:r>
      <w:r>
        <w:t xml:space="preserve"> </w:t>
      </w:r>
      <w:r>
        <w:t xml:space="preserve">diagnostic.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Rewrote the Figure 3 caption to identify each quantity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2026-10-01T22:12:51Z</dcterms:created>
  <dcterms:modified xsi:type="dcterms:W3CDTF">2026-10-01T22:12:51Z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