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44.png" ContentType="image/png"/>
  <Override PartName="/word/media/rId52.png" ContentType="image/png"/>
  <Override PartName="/word/media/rId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Price of De-correlation: Quantifying the Agreement–Cost Trade-off</w:t>
      </w:r>
      <w:r>
        <w:t xml:space="preserve"> </w:t>
      </w:r>
      <w:r>
        <w:t xml:space="preserve">in Heterogeneous Large Language Model Ensembles</w:t>
      </w:r>
    </w:p>
    <w:p>
      <w:pPr>
        <w:pStyle w:val="Author"/>
      </w:pPr>
      <w:r>
        <w:t xml:space="preserve">SAMIR CHINCHOLIKAR,</w:t>
      </w:r>
      <w:r>
        <w:t xml:space="preserve"> </w:t>
      </w:r>
      <w:r>
        <w:t xml:space="preserve">ROBIN CHAWLA</w:t>
      </w:r>
    </w:p>
    <w:p>
      <w:pPr>
        <w:pStyle w:val="AbstractTitle"/>
      </w:pPr>
      <w:r>
        <w:t xml:space="preserve">Abstract</w:t>
      </w:r>
    </w:p>
    <w:p>
      <w:pPr>
        <w:pStyle w:val="Abstract"/>
      </w:pPr>
      <w:r>
        <w:t xml:space="preserve">Large language model (LLM) ensembles are increasingly used as decision-making</w:t>
      </w:r>
      <w:r>
        <w:t xml:space="preserve"> </w:t>
      </w:r>
      <w:r>
        <w:t xml:space="preserve">committees under the assumption that aggregating multiple agents improves</w:t>
      </w:r>
      <w:r>
        <w:t xml:space="preserve"> </w:t>
      </w:r>
      <w:r>
        <w:t xml:space="preserve">reliability. However, ensembles composed of repeated instances of the same model</w:t>
      </w:r>
      <w:r>
        <w:t xml:space="preserve"> </w:t>
      </w:r>
      <w:r>
        <w:t xml:space="preserve">may produce correlated judgments and create an appearance of consensus without</w:t>
      </w:r>
      <w:r>
        <w:t xml:space="preserve"> </w:t>
      </w:r>
      <w:r>
        <w:t xml:space="preserve">genuine independence. This study quantifies the relationship between</w:t>
      </w:r>
      <w:r>
        <w:t xml:space="preserve"> </w:t>
      </w:r>
      <w:r>
        <w:t xml:space="preserve">cross-provider model heterogeneity, ensemble agreement, and inference cost. In a</w:t>
      </w:r>
      <w:r>
        <w:t xml:space="preserve"> </w:t>
      </w:r>
      <w:r>
        <w:t xml:space="preserve">54</w:t>
      </w:r>
      <w:r>
        <w:t xml:space="preserve">,</w:t>
      </w:r>
      <w:r>
        <w:t xml:space="preserve">000-call primary experiment, we evaluate three five-agent ensemble</w:t>
      </w:r>
      <w:r>
        <w:t xml:space="preserve"> </w:t>
      </w:r>
      <w:r>
        <w:t xml:space="preserve">configurations with increasing provider diversity on a directional</w:t>
      </w:r>
      <w:r>
        <w:t xml:space="preserve"> </w:t>
      </w:r>
      <w:r>
        <w:t xml:space="preserve">financial-analysis task covering 100 equities across 12 dates. Cross-provider</w:t>
      </w:r>
      <w:r>
        <w:t xml:space="preserve"> </w:t>
      </w:r>
      <w:r>
        <w:t xml:space="preserve">heterogeneity significantly reduces within-ensemble agreement, with a primary</w:t>
      </w:r>
      <w:r>
        <w:t xml:space="preserve"> </w:t>
      </w:r>
      <w:r>
        <w:t xml:space="preserve">reduction of</w:t>
      </w:r>
      <w:r>
        <w:t xml:space="preserve"> </w:t>
      </w:r>
      <m:oMath>
        <m:r>
          <m:rPr>
            <m:sty m:val="p"/>
          </m:rPr>
          <m:t>Δ</m:t>
        </m:r>
        <m:r>
          <m:t>κ</m:t>
        </m:r>
        <m:r>
          <m:rPr>
            <m:sty m:val="p"/>
          </m:rPr>
          <m:t>=</m:t>
        </m:r>
        <m:r>
          <m:t>0.336</m:t>
        </m:r>
      </m:oMath>
      <w:r>
        <w:t xml:space="preserve"> </w:t>
      </w:r>
      <w:r>
        <w:t xml:space="preserve">(95% CI:</w:t>
      </w:r>
      <w:r>
        <w:t xml:space="preserve"> </w:t>
      </w:r>
      <m:oMath>
        <m:r>
          <m:t>0.304</m:t>
        </m:r>
      </m:oMath>
      <w:r>
        <w:t xml:space="preserve">–</w:t>
      </w:r>
      <m:oMath>
        <m:r>
          <m:t>0.369</m:t>
        </m:r>
      </m:oMath>
      <w:r>
        <w:t xml:space="preserve">), but increases</w:t>
      </w:r>
      <w:r>
        <w:t xml:space="preserve"> </w:t>
      </w:r>
      <w:r>
        <w:t xml:space="preserve">inference cost by approximately</w:t>
      </w:r>
      <w:r>
        <w:t xml:space="preserve"> </w:t>
      </w:r>
      <m:oMath>
        <m:r>
          <m:t>4.4</m:t>
        </m:r>
        <m:r>
          <m:rPr>
            <m:sty m:val="p"/>
          </m:rPr>
          <m:t>×</m:t>
        </m:r>
      </m:oMath>
      <w:r>
        <w:t xml:space="preserve">. Because agreement is not by itself a</w:t>
      </w:r>
      <w:r>
        <w:t xml:space="preserve"> </w:t>
      </w:r>
      <w:r>
        <w:t xml:space="preserve">measure of dependence between errors, we also report the correlation between</w:t>
      </w:r>
      <w:r>
        <w:t xml:space="preserve"> </w:t>
      </w:r>
      <w:r>
        <w:t xml:space="preserve">agents’ error indicators, which falls by</w:t>
      </w:r>
      <w:r>
        <w:t xml:space="preserve"> </w:t>
      </w:r>
      <m:oMath>
        <m:r>
          <m:rPr>
            <m:sty m:val="p"/>
          </m:rPr>
          <m:t>Δ</m:t>
        </m:r>
        <m:r>
          <m:t>ϕ</m:t>
        </m:r>
        <m:r>
          <m:rPr>
            <m:sty m:val="p"/>
          </m:rPr>
          <m:t>=</m:t>
        </m:r>
        <m:r>
          <m:t>0.454</m:t>
        </m:r>
      </m:oMath>
      <w:r>
        <w:t xml:space="preserve"> </w:t>
      </w:r>
      <w:r>
        <w:t xml:space="preserve">(95% CI:</w:t>
      </w:r>
      <w:r>
        <w:t xml:space="preserve"> </w:t>
      </w:r>
      <m:oMath>
        <m:r>
          <m:t>0.376</m:t>
        </m:r>
      </m:oMath>
      <w:r>
        <w:t xml:space="preserve">–</w:t>
      </w:r>
      <m:oMath>
        <m:r>
          <m:t>0.534</m:t>
        </m:r>
      </m:oMath>
      <w:r>
        <w:t xml:space="preserve">) while per-agent accuracy is essentially unchanged: the effect is</w:t>
      </w:r>
      <w:r>
        <w:t xml:space="preserve"> </w:t>
      </w:r>
      <w:r>
        <w:t xml:space="preserve">a reduction in error dependence, not a by-product of differing capability. The</w:t>
      </w:r>
      <w:r>
        <w:t xml:space="preserve"> </w:t>
      </w:r>
      <w:r>
        <w:t xml:space="preserve">capability-matched analyses suggest that capability differences alone do not</w:t>
      </w:r>
      <w:r>
        <w:t xml:space="preserve"> </w:t>
      </w:r>
      <w:r>
        <w:t xml:space="preserve">explain the observed contrast, although provider remains confounded with</w:t>
      </w:r>
      <w:r>
        <w:t xml:space="preserve"> </w:t>
      </w:r>
      <w:r>
        <w:t xml:space="preserve">model-specific factors. We also introduce an</w:t>
      </w:r>
      <w:r>
        <w:t xml:space="preserve"> </w:t>
      </w:r>
      <w:r>
        <w:t xml:space="preserve">independent-draw measurement protocol that prevents shared sampling conditions</w:t>
      </w:r>
      <w:r>
        <w:t xml:space="preserve"> </w:t>
      </w:r>
      <w:r>
        <w:t xml:space="preserve">from inflating estimated agreement. A pre-registered replication on a</w:t>
      </w:r>
      <w:r>
        <w:t xml:space="preserve"> </w:t>
      </w:r>
      <w:r>
        <w:t xml:space="preserve">substantially different domain—537 expert clinical-decision items—reproduces</w:t>
      </w:r>
      <w:r>
        <w:t xml:space="preserve"> </w:t>
      </w:r>
      <w:r>
        <w:t xml:space="preserve">the effect in direction: agreement falls by a smaller</w:t>
      </w:r>
      <w:r>
        <w:t xml:space="preserve"> </w:t>
      </w:r>
      <m:oMath>
        <m:r>
          <m:rPr>
            <m:sty m:val="p"/>
          </m:rPr>
          <m:t>Δ</m:t>
        </m:r>
        <m:r>
          <m:t>κ</m:t>
        </m:r>
        <m:r>
          <m:rPr>
            <m:sty m:val="p"/>
          </m:rPr>
          <m:t>=</m:t>
        </m:r>
        <m:r>
          <m:t>0.072</m:t>
        </m:r>
      </m:oMath>
      <w:r>
        <w:t xml:space="preserve"> </w:t>
      </w:r>
      <w:r>
        <w:t xml:space="preserve">(95% CI:</w:t>
      </w:r>
      <w:r>
        <w:t xml:space="preserve"> </w:t>
      </w:r>
      <m:oMath>
        <m:r>
          <m:t>0.040</m:t>
        </m:r>
      </m:oMath>
      <w:r>
        <w:t xml:space="preserve">–</w:t>
      </w:r>
      <m:oMath>
        <m:r>
          <m:t>0.104</m:t>
        </m:r>
      </m:oMath>
      <w:r>
        <w:t xml:space="preserve">), as predicted for a task on which agents are far more</w:t>
      </w:r>
      <w:r>
        <w:t xml:space="preserve"> </w:t>
      </w:r>
      <w:r>
        <w:t xml:space="preserve">accurate, while error correlation falls by</w:t>
      </w:r>
      <w:r>
        <w:t xml:space="preserve"> </w:t>
      </w:r>
      <m:oMath>
        <m:r>
          <m:rPr>
            <m:sty m:val="p"/>
          </m:rPr>
          <m:t>Δ</m:t>
        </m:r>
        <m:r>
          <m:t>ϕ</m:t>
        </m:r>
        <m:r>
          <m:rPr>
            <m:sty m:val="p"/>
          </m:rPr>
          <m:t>=</m:t>
        </m:r>
        <m:r>
          <m:t>0.393</m:t>
        </m:r>
      </m:oMath>
      <w:r>
        <w:t xml:space="preserve"> </w:t>
      </w:r>
      <w:r>
        <w:t xml:space="preserve">(95% CI:</w:t>
      </w:r>
      <w:r>
        <w:t xml:space="preserve"> </w:t>
      </w:r>
      <m:oMath>
        <m:r>
          <m:t>0.325</m:t>
        </m:r>
      </m:oMath>
      <w:r>
        <w:t xml:space="preserve">–</w:t>
      </w:r>
      <m:oMath>
        <m:r>
          <m:t>0.459</m:t>
        </m:r>
      </m:oMath>
      <w:r>
        <w:t xml:space="preserve">), close to the financial estimate. Although heterogeneity does not</w:t>
      </w:r>
      <w:r>
        <w:t xml:space="preserve"> </w:t>
      </w:r>
      <w:r>
        <w:t xml:space="preserve">produce a reliable improvement in average directional accuracy, exploratory</w:t>
      </w:r>
      <w:r>
        <w:t xml:space="preserve"> </w:t>
      </w:r>
      <w:r>
        <w:t xml:space="preserve">results indicate that homogeneous ensembles generate unanimous incorrect decisions</w:t>
      </w:r>
      <w:r>
        <w:t xml:space="preserve"> </w:t>
      </w:r>
      <w:r>
        <w:t xml:space="preserve">at</w:t>
      </w:r>
      <w:r>
        <w:t xml:space="preserve"> </w:t>
      </w:r>
      <m:oMath>
        <m:r>
          <m:t>1.84</m:t>
        </m:r>
      </m:oMath>
      <w:r>
        <w:t xml:space="preserve"> </w:t>
      </w:r>
      <w:r>
        <w:t xml:space="preserve">times the rate of heterogeneous ensembles (95% CI:</w:t>
      </w:r>
      <w:r>
        <w:t xml:space="preserve"> </w:t>
      </w:r>
      <m:oMath>
        <m:r>
          <m:t>1.51</m:t>
        </m:r>
      </m:oMath>
      <w:r>
        <w:t xml:space="preserve">–</w:t>
      </w:r>
      <m:oMath>
        <m:r>
          <m:t>2.35</m:t>
        </m:r>
      </m:oMath>
      <w:r>
        <w:t xml:space="preserve">).</w:t>
      </w:r>
      <w:r>
        <w:t xml:space="preserve"> </w:t>
      </w:r>
      <w:r>
        <w:t xml:space="preserve">These findings show that model diversity provides less-correlated judgments rather</w:t>
      </w:r>
      <w:r>
        <w:t xml:space="preserve"> </w:t>
      </w:r>
      <w:r>
        <w:t xml:space="preserve">than guaranteed correctness, and offer a practical agreement–cost framework for</w:t>
      </w:r>
      <w:r>
        <w:t xml:space="preserve"> </w:t>
      </w:r>
      <w:r>
        <w:t xml:space="preserve">designing LLM ensemble systems.</w:t>
      </w:r>
    </w:p>
    <w:p>
      <w:pPr>
        <w:pStyle w:val="FirstParagraph"/>
      </w:pPr>
      <w:r>
        <w:t xml:space="preserve">Chincholikar : The Price of De-correlation in Heterogeneous LLM Ensembles</w:t>
      </w:r>
      <w:r>
        <w:t xml:space="preserve"> </w:t>
      </w:r>
      <w:r>
        <w:t xml:space="preserve">Chincholikar : The Price of De-correlation in Heterogeneous LLM Ensembles</w:t>
      </w:r>
    </w:p>
    <w:p>
      <w:pPr>
        <w:pStyle w:val="BodyText"/>
      </w:pPr>
      <w:r>
        <w:t xml:space="preserve">Large language models, multi-agent systems, model heterogeneity, inter-rater</w:t>
      </w:r>
      <w:r>
        <w:t xml:space="preserve"> </w:t>
      </w:r>
      <w:r>
        <w:t xml:space="preserve">agreement, algorithmic monoculture.</w:t>
      </w:r>
    </w:p>
    <w:bookmarkStart w:id="10" w:name="sec:introduction"/>
    <w:p>
      <w:pPr>
        <w:pStyle w:val="Heading1"/>
      </w:pPr>
      <w:r>
        <w:t xml:space="preserve">Introduction</w:t>
      </w:r>
    </w:p>
    <w:p>
      <w:pPr>
        <w:pStyle w:val="FirstParagraph"/>
      </w:pPr>
      <w:r>
        <w:t xml:space="preserve">large language model systems increasingly aggregate multiple agents</w:t>
      </w:r>
      <w:r>
        <w:t xml:space="preserve"> </w:t>
      </w:r>
      <w:r>
        <w:t xml:space="preserve">through voting, debate, or other consensus</w:t>
      </w:r>
      <w:r>
        <w:t xml:space="preserve"> </w:t>
      </w:r>
      <w:r>
        <w:t xml:space="preserve">mechanisms </w:t>
      </w:r>
      <w:r>
        <w:t xml:space="preserve">(Du et al. 2023; Wang et al. 2024)</w:t>
      </w:r>
      <w:r>
        <w:t xml:space="preserve">. These approaches are commonly</w:t>
      </w:r>
      <w:r>
        <w:t xml:space="preserve"> </w:t>
      </w:r>
      <w:r>
        <w:t xml:space="preserve">motivated by the wisdom-of-crowds principle, under which combining multiple</w:t>
      </w:r>
      <w:r>
        <w:t xml:space="preserve"> </w:t>
      </w:r>
      <w:r>
        <w:t xml:space="preserve">judgments can reduce individual errors. Their effectiveness, however, depends on</w:t>
      </w:r>
      <w:r>
        <w:t xml:space="preserve"> </w:t>
      </w:r>
      <w:r>
        <w:t xml:space="preserve">the extent to which the participating agents produce independent errors. An</w:t>
      </w:r>
      <w:r>
        <w:t xml:space="preserve"> </w:t>
      </w:r>
      <w:r>
        <w:t xml:space="preserve">ensemble comprising repeated instances of the same model may exhibit substantial</w:t>
      </w:r>
      <w:r>
        <w:t xml:space="preserve"> </w:t>
      </w:r>
      <w:r>
        <w:t xml:space="preserve">output correlation, thereby providing less effective diversity than its number</w:t>
      </w:r>
      <w:r>
        <w:t xml:space="preserve"> </w:t>
      </w:r>
      <w:r>
        <w:t xml:space="preserve">of agents suggests. Cross-provider model heterogeneity offers a potential</w:t>
      </w:r>
      <w:r>
        <w:t xml:space="preserve"> </w:t>
      </w:r>
      <w:r>
        <w:t xml:space="preserve">remedy, but it also introduces additional inference cost, and its ability to</w:t>
      </w:r>
      <w:r>
        <w:t xml:space="preserve"> </w:t>
      </w:r>
      <w:r>
        <w:t xml:space="preserve">reduce correlated behavior has not been established quantitatively. Recent</w:t>
      </w:r>
      <w:r>
        <w:t xml:space="preserve"> </w:t>
      </w:r>
      <w:r>
        <w:t xml:space="preserve">evidence that LLMs may exhibit correlated errors even across providers and</w:t>
      </w:r>
      <w:r>
        <w:t xml:space="preserve"> </w:t>
      </w:r>
      <w:r>
        <w:t xml:space="preserve">architectures further raises concerns about algorithmic</w:t>
      </w:r>
      <w:r>
        <w:t xml:space="preserve"> </w:t>
      </w:r>
      <w:r>
        <w:t xml:space="preserve">monoculture </w:t>
      </w:r>
      <w:r>
        <w:t xml:space="preserve">(Kim et al. 2025)</w:t>
      </w:r>
      <w:r>
        <w:t xml:space="preserve">.</w:t>
      </w:r>
    </w:p>
    <w:p>
      <w:pPr>
        <w:pStyle w:val="BodyText"/>
      </w:pPr>
      <w:r>
        <w:t xml:space="preserve">Existing research supports two competing expectations regarding cross-provider</w:t>
      </w:r>
      <w:r>
        <w:t xml:space="preserve"> </w:t>
      </w:r>
      <w:r>
        <w:t xml:space="preserve">heterogeneity. Under the diversity hypothesis, models developed by different</w:t>
      </w:r>
      <w:r>
        <w:t xml:space="preserve"> </w:t>
      </w:r>
      <w:r>
        <w:t xml:space="preserve">providers, using distinct training procedures, datasets, and architectures,</w:t>
      </w:r>
      <w:r>
        <w:t xml:space="preserve"> </w:t>
      </w:r>
      <w:r>
        <w:t xml:space="preserve">should generate less-correlated outputs and therefore contribute more diverse</w:t>
      </w:r>
      <w:r>
        <w:t xml:space="preserve"> </w:t>
      </w:r>
      <w:r>
        <w:t xml:space="preserve">judgments. In contrast, the algorithmic-monoculture</w:t>
      </w:r>
      <w:r>
        <w:t xml:space="preserve"> </w:t>
      </w:r>
      <w:r>
        <w:t xml:space="preserve">hypothesis </w:t>
      </w:r>
      <w:r>
        <w:t xml:space="preserve">(Kim et al. 2025)</w:t>
      </w:r>
      <w:r>
        <w:t xml:space="preserve"> </w:t>
      </w:r>
      <w:r>
        <w:t xml:space="preserve">suggests that common training data,</w:t>
      </w:r>
      <w:r>
        <w:t xml:space="preserve"> </w:t>
      </w:r>
      <w:r>
        <w:t xml:space="preserve">objectives, and evaluation practices may cause substantial behavioral similarity</w:t>
      </w:r>
      <w:r>
        <w:t xml:space="preserve"> </w:t>
      </w:r>
      <w:r>
        <w:t xml:space="preserve">even across model families. These perspectives imply materially different</w:t>
      </w:r>
      <w:r>
        <w:t xml:space="preserve"> </w:t>
      </w:r>
      <w:r>
        <w:t xml:space="preserve">agreement–cost relationships. If provider identity contributes little</w:t>
      </w:r>
      <w:r>
        <w:t xml:space="preserve"> </w:t>
      </w:r>
      <w:r>
        <w:t xml:space="preserve">additional diversity, increasing heterogeneity will raise inference cost without</w:t>
      </w:r>
      <w:r>
        <w:t xml:space="preserve"> </w:t>
      </w:r>
      <w:r>
        <w:t xml:space="preserve">meaningfully reducing agreement. Conversely, a substantial reduction in</w:t>
      </w:r>
      <w:r>
        <w:t xml:space="preserve"> </w:t>
      </w:r>
      <w:r>
        <w:t xml:space="preserve">agreement would indicate that cross-provider diversity is measurable and can be</w:t>
      </w:r>
      <w:r>
        <w:t xml:space="preserve"> </w:t>
      </w:r>
      <w:r>
        <w:t xml:space="preserve">evaluated against its associated cost. This study tests these alternatives</w:t>
      </w:r>
      <w:r>
        <w:t xml:space="preserve"> </w:t>
      </w:r>
      <w:r>
        <w:t xml:space="preserve">empirically.</w:t>
      </w:r>
    </w:p>
    <w:p>
      <w:pPr>
        <w:pStyle w:val="BodyText"/>
      </w:pPr>
      <w:r>
        <w:t xml:space="preserve">Despite the growing use of heterogeneous LLM ensembles, three related issues</w:t>
      </w:r>
      <w:r>
        <w:t xml:space="preserve"> </w:t>
      </w:r>
      <w:r>
        <w:t xml:space="preserve">remain insufficiently examined. First, few studies directly quantify the extent</w:t>
      </w:r>
      <w:r>
        <w:t xml:space="preserve"> </w:t>
      </w:r>
      <w:r>
        <w:t xml:space="preserve">to which cross-provider heterogeneity reduces within-ensemble agreement. Second,</w:t>
      </w:r>
      <w:r>
        <w:t xml:space="preserve"> </w:t>
      </w:r>
      <w:r>
        <w:t xml:space="preserve">the corresponding inference-cost premium is rarely incorporated into evaluations</w:t>
      </w:r>
      <w:r>
        <w:t xml:space="preserve"> </w:t>
      </w:r>
      <w:r>
        <w:t xml:space="preserve">of ensemble design. Third, agreement estimates may be distorted when supposedly</w:t>
      </w:r>
      <w:r>
        <w:t xml:space="preserve"> </w:t>
      </w:r>
      <w:r>
        <w:t xml:space="preserve">independent agents share random seeds, sampling trajectories, cached outputs, or</w:t>
      </w:r>
      <w:r>
        <w:t xml:space="preserve"> </w:t>
      </w:r>
      <w:r>
        <w:t xml:space="preserve">other elements of the generation context. Consequently, existing evaluations may</w:t>
      </w:r>
      <w:r>
        <w:t xml:space="preserve"> </w:t>
      </w:r>
      <w:r>
        <w:t xml:space="preserve">conflate genuine model similarity with artifacts of the measurement procedure.</w:t>
      </w:r>
      <w:r>
        <w:t xml:space="preserve"> </w:t>
      </w:r>
      <w:r>
        <w:t xml:space="preserve">We address these limitations by jointly estimating the magnitude of ensemble</w:t>
      </w:r>
      <w:r>
        <w:t xml:space="preserve"> </w:t>
      </w:r>
      <w:r>
        <w:t xml:space="preserve">de-correlation, the associated inference cost, and the effect of</w:t>
      </w:r>
      <w:r>
        <w:t xml:space="preserve"> </w:t>
      </w:r>
      <w:r>
        <w:t xml:space="preserve">independent-draw measurement controls.</w:t>
      </w:r>
    </w:p>
    <w:p>
      <w:pPr>
        <w:pStyle w:val="BodyText"/>
      </w:pPr>
      <w:r>
        <w:t xml:space="preserve">This distinction is practically important because LLM ensembles are increasingly</w:t>
      </w:r>
      <w:r>
        <w:t xml:space="preserve"> </w:t>
      </w:r>
      <w:r>
        <w:t xml:space="preserve">considered for financial analysis and other consequential decision-support</w:t>
      </w:r>
      <w:r>
        <w:t xml:space="preserve"> </w:t>
      </w:r>
      <w:r>
        <w:t xml:space="preserve">applications in which multiple agents are expected to provide independent second</w:t>
      </w:r>
      <w:r>
        <w:t xml:space="preserve"> </w:t>
      </w:r>
      <w:r>
        <w:t xml:space="preserve">opinions. When agents exhibit highly correlated behavior, repeated calls may</w:t>
      </w:r>
      <w:r>
        <w:t xml:space="preserve"> </w:t>
      </w:r>
      <w:r>
        <w:t xml:space="preserve">increase computational expenditure while producing an overstated impression of</w:t>
      </w:r>
      <w:r>
        <w:t xml:space="preserve"> </w:t>
      </w:r>
      <w:r>
        <w:t xml:space="preserve">evidential consensus. Practitioners therefore require evidence on both the</w:t>
      </w:r>
      <w:r>
        <w:t xml:space="preserve"> </w:t>
      </w:r>
      <w:r>
        <w:t xml:space="preserve">degree of independence obtained through model heterogeneity and the cost</w:t>
      </w:r>
      <w:r>
        <w:t xml:space="preserve"> </w:t>
      </w:r>
      <w:r>
        <w:t xml:space="preserve">required to obtain it. By estimating these quantities jointly, this study</w:t>
      </w:r>
      <w:r>
        <w:t xml:space="preserve"> </w:t>
      </w:r>
      <w:r>
        <w:t xml:space="preserve">provides an empirical basis for selecting ensemble configurations according to</w:t>
      </w:r>
      <w:r>
        <w:t xml:space="preserve"> </w:t>
      </w:r>
      <w:r>
        <w:t xml:space="preserve">the reliability and cost requirements of a given application.</w:t>
      </w:r>
    </w:p>
    <w:bookmarkStart w:id="9" w:name="contributions"/>
    <w:p>
      <w:pPr>
        <w:pStyle w:val="Heading4"/>
      </w:pPr>
      <w:r>
        <w:t xml:space="preserve">Contributions</w:t>
      </w:r>
    </w:p>
    <w:p>
      <w:pPr>
        <w:pStyle w:val="FirstParagraph"/>
      </w:pPr>
      <w:r>
        <w:t xml:space="preserve">This paper makes the following contributions.</w:t>
      </w:r>
    </w:p>
    <w:p>
      <w:pPr>
        <w:numPr>
          <w:ilvl w:val="0"/>
          <w:numId w:val="1001"/>
        </w:numPr>
      </w:pPr>
      <w:r>
        <w:rPr>
          <w:i/>
          <w:iCs/>
        </w:rPr>
        <w:t xml:space="preserve">Pre-registered empirical measurement.</w:t>
      </w:r>
      <w:r>
        <w:t xml:space="preserve"> </w:t>
      </w:r>
      <w:r>
        <w:t xml:space="preserve">We conduct a pre-registered</w:t>
      </w:r>
      <w:r>
        <w:t xml:space="preserve"> </w:t>
      </w:r>
      <w:r>
        <w:t xml:space="preserve">empirical study comprising 54</w:t>
      </w:r>
      <w:r>
        <w:t xml:space="preserve">,</w:t>
      </w:r>
      <w:r>
        <w:t xml:space="preserve">000 model calls to quantify the effect of</w:t>
      </w:r>
      <w:r>
        <w:t xml:space="preserve"> </w:t>
      </w:r>
      <w:r>
        <w:t xml:space="preserve">cross-provider heterogeneity on within-ensemble agreement. Agreement decreases</w:t>
      </w:r>
      <w:r>
        <w:t xml:space="preserve"> </w:t>
      </w:r>
      <w:r>
        <w:t xml:space="preserve">substantially and monotonically as provider diversity increases, with a primary</w:t>
      </w:r>
      <w:r>
        <w:t xml:space="preserve"> </w:t>
      </w:r>
      <w:r>
        <w:t xml:space="preserve">contrast of</w:t>
      </w:r>
      <w:r>
        <w:t xml:space="preserve"> </w:t>
      </w:r>
      <m:oMath>
        <m:r>
          <m:rPr>
            <m:sty m:val="p"/>
          </m:rPr>
          <m:t>Δ</m:t>
        </m:r>
        <m:r>
          <m:t>κ</m:t>
        </m:r>
        <m:r>
          <m:rPr>
            <m:sty m:val="p"/>
          </m:rPr>
          <m:t>=</m:t>
        </m:r>
        <m:r>
          <m:t>0.336</m:t>
        </m:r>
      </m:oMath>
      <w:r>
        <w:t xml:space="preserve"> </w:t>
      </w:r>
      <w:r>
        <w:t xml:space="preserve">and a 95% confidence interval of</w:t>
      </w:r>
      <w:r>
        <w:t xml:space="preserve"> </w:t>
      </w:r>
      <m:oMath>
        <m:r>
          <m:rPr>
            <m:sty m:val="p"/>
          </m:rPr>
          <m:t>[</m:t>
        </m:r>
        <m:r>
          <m:t>0.304</m:t>
        </m:r>
        <m:r>
          <m:rPr>
            <m:sty m:val="p"/>
          </m:rPr>
          <m:t>,</m:t>
        </m:r>
        <m:r>
          <m:t>0.369</m:t>
        </m:r>
        <m:r>
          <m:rPr>
            <m:sty m:val="p"/>
          </m:rPr>
          <m:t>]</m:t>
        </m:r>
      </m:oMath>
      <w:r>
        <w:t xml:space="preserve">.</w:t>
      </w:r>
    </w:p>
    <w:p>
      <w:pPr>
        <w:numPr>
          <w:ilvl w:val="0"/>
          <w:numId w:val="1001"/>
        </w:numPr>
      </w:pPr>
      <w:r>
        <w:rPr>
          <w:i/>
          <w:iCs/>
        </w:rPr>
        <w:t xml:space="preserve">An empirical agreement–cost frontier.</w:t>
      </w:r>
      <w:r>
        <w:t xml:space="preserve"> </w:t>
      </w:r>
      <w:r>
        <w:t xml:space="preserve">We quantify the</w:t>
      </w:r>
      <w:r>
        <w:t xml:space="preserve"> </w:t>
      </w:r>
      <w:r>
        <w:t xml:space="preserve">inference-cost premium associated with cross-provider diversity. Moving from the</w:t>
      </w:r>
      <w:r>
        <w:t xml:space="preserve"> </w:t>
      </w:r>
      <w:r>
        <w:t xml:space="preserve">homogeneous to the fully heterogeneous configuration reduces agreement at an</w:t>
      </w:r>
      <w:r>
        <w:t xml:space="preserve"> </w:t>
      </w:r>
      <w:r>
        <w:t xml:space="preserve">approximately</w:t>
      </w:r>
      <w:r>
        <w:t xml:space="preserve"> </w:t>
      </w:r>
      <m:oMath>
        <m:r>
          <m:t>4.4</m:t>
        </m:r>
        <m:r>
          <m:rPr>
            <m:sty m:val="p"/>
          </m:rPr>
          <m:t>×</m:t>
        </m:r>
      </m:oMath>
      <w:r>
        <w:t xml:space="preserve"> </w:t>
      </w:r>
      <w:r>
        <w:t xml:space="preserve">increase in inference cost.</w:t>
      </w:r>
    </w:p>
    <w:p>
      <w:pPr>
        <w:numPr>
          <w:ilvl w:val="0"/>
          <w:numId w:val="1001"/>
        </w:numPr>
      </w:pPr>
      <w:r>
        <w:rPr>
          <w:i/>
          <w:iCs/>
        </w:rPr>
        <w:t xml:space="preserve">A reproducible independent-draw measurement protocol.</w:t>
      </w:r>
      <w:r>
        <w:t xml:space="preserve"> </w:t>
      </w:r>
      <w:r>
        <w:t xml:space="preserve">We separate</w:t>
      </w:r>
      <w:r>
        <w:t xml:space="preserve"> </w:t>
      </w:r>
      <w:r>
        <w:t xml:space="preserve">genuine model agreement from agreement induced by shared sampling conditions. In</w:t>
      </w:r>
      <w:r>
        <w:t xml:space="preserve"> </w:t>
      </w:r>
      <w:r>
        <w:t xml:space="preserve">a controlled pilot, shared per-run seeding inflated the estimated de-correlation</w:t>
      </w:r>
      <w:r>
        <w:t xml:space="preserve"> </w:t>
      </w:r>
      <w:r>
        <w:t xml:space="preserve">effect by approximately fourfold, whereas unique per-agent seeds removed the</w:t>
      </w:r>
      <w:r>
        <w:t xml:space="preserve"> </w:t>
      </w:r>
      <w:r>
        <w:t xml:space="preserve">artifact. To support replication, we provide a frozen, hash-verified dataset,</w:t>
      </w:r>
      <w:r>
        <w:t xml:space="preserve"> </w:t>
      </w:r>
      <w:r>
        <w:t xml:space="preserve">fixed experimental configurations, and a deterministic seeded analysis pipeline</w:t>
      </w:r>
      <w:r>
        <w:t xml:space="preserve"> </w:t>
      </w:r>
      <w:r>
        <w:t xml:space="preserve">that regenerates the reported figures and tables.</w:t>
      </w:r>
    </w:p>
    <w:p>
      <w:pPr>
        <w:numPr>
          <w:ilvl w:val="0"/>
          <w:numId w:val="1001"/>
        </w:numPr>
      </w:pPr>
      <w:r>
        <w:rPr>
          <w:i/>
          <w:iCs/>
        </w:rPr>
        <w:t xml:space="preserve">An exploratory analysis of consensus structure.</w:t>
      </w:r>
      <w:r>
        <w:t xml:space="preserve"> </w:t>
      </w:r>
      <w:r>
        <w:t xml:space="preserve">Although</w:t>
      </w:r>
      <w:r>
        <w:t xml:space="preserve"> </w:t>
      </w:r>
      <w:r>
        <w:t xml:space="preserve">heterogeneity does not produce a statistically reliable improvement in average</w:t>
      </w:r>
      <w:r>
        <w:t xml:space="preserve"> </w:t>
      </w:r>
      <w:r>
        <w:t xml:space="preserve">directional accuracy, homogeneous ensembles generate unanimous incorrect</w:t>
      </w:r>
      <w:r>
        <w:t xml:space="preserve"> </w:t>
      </w:r>
      <w:r>
        <w:t xml:space="preserve">directional decisions at</w:t>
      </w:r>
      <w:r>
        <w:t xml:space="preserve"> </w:t>
      </w:r>
      <m:oMath>
        <m:r>
          <m:t>1.84</m:t>
        </m:r>
        <m:r>
          <m:rPr>
            <m:sty m:val="p"/>
          </m:rPr>
          <m:t>×</m:t>
        </m:r>
      </m:oMath>
      <w:r>
        <w:t xml:space="preserve"> </w:t>
      </w:r>
      <w:r>
        <w:t xml:space="preserve">the rate of fully heterogeneous ensembles,</w:t>
      </w:r>
      <w:r>
        <w:t xml:space="preserve"> </w:t>
      </w:r>
      <w:r>
        <w:t xml:space="preserve">motivating confirmatory evaluation of collective-error risk.</w:t>
      </w:r>
    </w:p>
    <w:p>
      <w:pPr>
        <w:pStyle w:val="FirstParagraph"/>
      </w:pPr>
      <w:r>
        <w:t xml:space="preserve">We distinguish reduction in ensemble agreement from improvement in predictive</w:t>
      </w:r>
      <w:r>
        <w:t xml:space="preserve"> </w:t>
      </w:r>
      <w:r>
        <w:t xml:space="preserve">accuracy. Cross-provider heterogeneity substantially increases observed</w:t>
      </w:r>
      <w:r>
        <w:t xml:space="preserve"> </w:t>
      </w:r>
      <w:r>
        <w:t xml:space="preserve">behavioral diversity, but it does not reliably improve average correctness in</w:t>
      </w:r>
      <w:r>
        <w:t xml:space="preserve"> </w:t>
      </w:r>
      <w:r>
        <w:t xml:space="preserve">the evaluated directional-finance task. Thus, model diversity should be</w:t>
      </w:r>
      <w:r>
        <w:t xml:space="preserve"> </w:t>
      </w:r>
      <w:r>
        <w:t xml:space="preserve">evaluated according to whether the additional diversity improves the downstream</w:t>
      </w:r>
      <w:r>
        <w:t xml:space="preserve"> </w:t>
      </w:r>
      <w:r>
        <w:t xml:space="preserve">objective rather than being treated as beneficial by default.</w:t>
      </w:r>
    </w:p>
    <w:bookmarkEnd w:id="9"/>
    <w:bookmarkEnd w:id="10"/>
    <w:bookmarkStart w:id="15" w:name="related-work"/>
    <w:p>
      <w:pPr>
        <w:pStyle w:val="Heading1"/>
      </w:pPr>
      <w:r>
        <w:t xml:space="preserve">Related Work</w:t>
      </w:r>
    </w:p>
    <w:bookmarkStart w:id="11" w:name="llm-ensembles-and-mixture-of-agents"/>
    <w:p>
      <w:pPr>
        <w:pStyle w:val="Heading2"/>
      </w:pPr>
      <w:r>
        <w:t xml:space="preserve">LLM ensembles and mixture-of-agents</w:t>
      </w:r>
    </w:p>
    <w:p>
      <w:pPr>
        <w:pStyle w:val="FirstParagraph"/>
      </w:pPr>
      <w:r>
        <w:t xml:space="preserve">Aggregating multiple LLM outputs through voting, debate, or layered</w:t>
      </w:r>
      <w:r>
        <w:t xml:space="preserve"> </w:t>
      </w:r>
      <w:r>
        <w:t xml:space="preserve">mixture-of-agents architectures has been investigated as a means of improving</w:t>
      </w:r>
      <w:r>
        <w:t xml:space="preserve"> </w:t>
      </w:r>
      <w:r>
        <w:t xml:space="preserve">response quality and reliability </w:t>
      </w:r>
      <w:r>
        <w:t xml:space="preserve">(Du et al. 2023; Wang et al. 2024; Chen et al. 2025)</w:t>
      </w:r>
      <w:r>
        <w:t xml:space="preserve">.</w:t>
      </w:r>
      <w:r>
        <w:t xml:space="preserve"> </w:t>
      </w:r>
      <w:r>
        <w:t xml:space="preserve">However, prior studies indicate that naive aggregation may provide only limited</w:t>
      </w:r>
      <w:r>
        <w:t xml:space="preserve"> </w:t>
      </w:r>
      <w:r>
        <w:t xml:space="preserve">gains over the strongest individual model and may amplify systematic errors when</w:t>
      </w:r>
      <w:r>
        <w:t xml:space="preserve"> </w:t>
      </w:r>
      <w:r>
        <w:t xml:space="preserve">correlated weaker models outvote a stronger model </w:t>
      </w:r>
      <w:r>
        <w:t xml:space="preserve">(Kim et al. 2025)</w:t>
      </w:r>
      <w:r>
        <w:t xml:space="preserve">.</w:t>
      </w:r>
      <w:r>
        <w:t xml:space="preserve"> </w:t>
      </w:r>
      <w:r>
        <w:t xml:space="preserve">Related scaling studies also report diminishing or negative returns from</w:t>
      </w:r>
      <w:r>
        <w:t xml:space="preserve"> </w:t>
      </w:r>
      <w:r>
        <w:t xml:space="preserve">repeatedly adding homogeneous agents, whereas more diverse ensembles can provide</w:t>
      </w:r>
      <w:r>
        <w:t xml:space="preserve"> </w:t>
      </w:r>
      <w:r>
        <w:t xml:space="preserve">more sustained improvements </w:t>
      </w:r>
      <w:r>
        <w:t xml:space="preserve">(Li et al. 2024)</w:t>
      </w:r>
      <w:r>
        <w:t xml:space="preserve">.</w:t>
      </w:r>
    </w:p>
    <w:p>
      <w:pPr>
        <w:pStyle w:val="BodyText"/>
      </w:pPr>
      <w:r>
        <w:t xml:space="preserve">These findings have motivated diversity-aware methods such as the</w:t>
      </w:r>
      <w:r>
        <w:t xml:space="preserve"> </w:t>
      </w:r>
      <w:r>
        <w:t xml:space="preserve">focal-diversity pruning strategy used in LLM-TOPLA </w:t>
      </w:r>
      <w:r>
        <w:t xml:space="preserve">(Tekin et al. 2024)</w:t>
      </w:r>
      <w:r>
        <w:t xml:space="preserve">, the</w:t>
      </w:r>
      <w:r>
        <w:t xml:space="preserve"> </w:t>
      </w:r>
      <w:r>
        <w:t xml:space="preserve">fingerprint-based ensemble selection of DFPE </w:t>
      </w:r>
      <w:r>
        <w:t xml:space="preserve">(Cohen et al. 2025)</w:t>
      </w:r>
      <w:r>
        <w:t xml:space="preserve">, and heterogeneous</w:t>
      </w:r>
      <w:r>
        <w:t xml:space="preserve"> </w:t>
      </w:r>
      <w:r>
        <w:t xml:space="preserve">consensus frameworks such as Council Mode </w:t>
      </w:r>
      <w:r>
        <w:t xml:space="preserve">(Wu et al. 2026)</w:t>
      </w:r>
      <w:r>
        <w:t xml:space="preserve">. Such approaches</w:t>
      </w:r>
      <w:r>
        <w:t xml:space="preserve"> </w:t>
      </w:r>
      <w:r>
        <w:t xml:space="preserve">generally evaluate diversity through downstream performance. In contrast, the</w:t>
      </w:r>
      <w:r>
        <w:t xml:space="preserve"> </w:t>
      </w:r>
      <w:r>
        <w:t xml:space="preserve">present study treats within-ensemble agreement as the primary quantity of</w:t>
      </w:r>
      <w:r>
        <w:t xml:space="preserve"> </w:t>
      </w:r>
      <w:r>
        <w:t xml:space="preserve">interest and directly measures how cross-provider heterogeneity affects</w:t>
      </w:r>
      <w:r>
        <w:t xml:space="preserve"> </w:t>
      </w:r>
      <w:r>
        <w:t xml:space="preserve">agreement, statistical uncertainty, and inference cost.</w:t>
      </w:r>
    </w:p>
    <w:bookmarkEnd w:id="11"/>
    <w:bookmarkStart w:id="12" w:name="X364ca8ac753c97321324239b8298a79261c7758"/>
    <w:p>
      <w:pPr>
        <w:pStyle w:val="Heading2"/>
      </w:pPr>
      <w:r>
        <w:t xml:space="preserve">Correlated errors and algorithmic monoculture</w:t>
      </w:r>
    </w:p>
    <w:p>
      <w:pPr>
        <w:pStyle w:val="FirstParagraph"/>
      </w:pPr>
      <w:r>
        <w:t xml:space="preserve">Kim</w:t>
      </w:r>
      <w:r>
        <w:t xml:space="preserve"> </w:t>
      </w:r>
      <w:r>
        <w:rPr>
          <w:i/>
          <w:iCs/>
        </w:rPr>
        <w:t xml:space="preserve">et al.</w:t>
      </w:r>
      <w:r>
        <w:t xml:space="preserve"> </w:t>
      </w:r>
      <w:r>
        <w:t xml:space="preserve">(Kim et al. 2025)</w:t>
      </w:r>
      <w:r>
        <w:t xml:space="preserve"> </w:t>
      </w:r>
      <w:r>
        <w:t xml:space="preserve">document substantial error</w:t>
      </w:r>
      <w:r>
        <w:t xml:space="preserve"> </w:t>
      </w:r>
      <w:r>
        <w:t xml:space="preserve">correlation across a large set of LLMs, including models developed by different</w:t>
      </w:r>
      <w:r>
        <w:t xml:space="preserve"> </w:t>
      </w:r>
      <w:r>
        <w:t xml:space="preserve">providers, and relate this dependence to the systemic risk of algorithmic</w:t>
      </w:r>
      <w:r>
        <w:t xml:space="preserve"> </w:t>
      </w:r>
      <w:r>
        <w:t xml:space="preserve">monoculture. Their analysis concerns error correlation—that is, the tendency</w:t>
      </w:r>
      <w:r>
        <w:t xml:space="preserve"> </w:t>
      </w:r>
      <w:r>
        <w:t xml:space="preserve">of models to fail on the same instances—whereas the present study examines</w:t>
      </w:r>
      <w:r>
        <w:t xml:space="preserve"> </w:t>
      </w:r>
      <w:r>
        <w:t xml:space="preserve">output agreement across all decisions, regardless of whether those decisions are</w:t>
      </w:r>
      <w:r>
        <w:t xml:space="preserve"> </w:t>
      </w:r>
      <w:r>
        <w:t xml:space="preserve">correct.</w:t>
      </w:r>
    </w:p>
    <w:p>
      <w:pPr>
        <w:pStyle w:val="BodyText"/>
      </w:pPr>
      <w:r>
        <w:t xml:space="preserve">These quantities are related but not equivalent. Lower output agreement may</w:t>
      </w:r>
      <w:r>
        <w:t xml:space="preserve"> </w:t>
      </w:r>
      <w:r>
        <w:t xml:space="preserve">indicate greater behavioral diversity, but it does not necessarily imply</w:t>
      </w:r>
      <w:r>
        <w:t xml:space="preserve"> </w:t>
      </w:r>
      <w:r>
        <w:t xml:space="preserve">less-correlated errors or improved predictive performance. In the</w:t>
      </w:r>
      <w:r>
        <w:t xml:space="preserve"> </w:t>
      </w:r>
      <w:r>
        <w:t xml:space="preserve">vision-language setting, Bugaud </w:t>
      </w:r>
      <w:r>
        <w:t xml:space="preserve">(Bugaud 2026)</w:t>
      </w:r>
      <w:r>
        <w:t xml:space="preserve"> </w:t>
      </w:r>
      <w:r>
        <w:t xml:space="preserve">similarly reports that models</w:t>
      </w:r>
      <w:r>
        <w:t xml:space="preserve"> </w:t>
      </w:r>
      <w:r>
        <w:t xml:space="preserve">from the same architectural family exhibit correlated errors that reduce the</w:t>
      </w:r>
      <w:r>
        <w:t xml:space="preserve"> </w:t>
      </w:r>
      <w:r>
        <w:t xml:space="preserve">effective number of independent voters and shows that family-aware aggregation</w:t>
      </w:r>
      <w:r>
        <w:t xml:space="preserve"> </w:t>
      </w:r>
      <w:r>
        <w:t xml:space="preserve">can improve ensemble performance.</w:t>
      </w:r>
    </w:p>
    <w:p>
      <w:pPr>
        <w:pStyle w:val="BodyText"/>
      </w:pPr>
      <w:r>
        <w:t xml:space="preserve">The present work extends this line of inquiry to text-based LLM committees by</w:t>
      </w:r>
      <w:r>
        <w:t xml:space="preserve"> </w:t>
      </w:r>
      <w:r>
        <w:t xml:space="preserve">measuring provider-level agreement, comparing same-provider and cross-provider</w:t>
      </w:r>
      <w:r>
        <w:t xml:space="preserve"> </w:t>
      </w:r>
      <w:r>
        <w:t xml:space="preserve">agent pairs, and incorporating the inference-cost trade-off associated with</w:t>
      </w:r>
      <w:r>
        <w:t xml:space="preserve"> </w:t>
      </w:r>
      <w:r>
        <w:t xml:space="preserve">model heterogeneity.</w:t>
      </w:r>
    </w:p>
    <w:bookmarkEnd w:id="12"/>
    <w:bookmarkStart w:id="13" w:name="Xbb85b8ce7f9ae6c4a372caf0c9db37fce9322f2"/>
    <w:p>
      <w:pPr>
        <w:pStyle w:val="Heading2"/>
      </w:pPr>
      <w:r>
        <w:t xml:space="preserve">Inter-rater agreement and diversity metrics</w:t>
      </w:r>
    </w:p>
    <w:p>
      <w:pPr>
        <w:pStyle w:val="FirstParagraph"/>
      </w:pPr>
      <w:r>
        <w:t xml:space="preserve">Fleiss’</w:t>
      </w:r>
      <w:r>
        <w:t xml:space="preserve"> </w:t>
      </w:r>
      <m:oMath>
        <m:r>
          <m:t>κ</m:t>
        </m:r>
      </m:oMath>
      <w:r>
        <w:t xml:space="preserve"> </w:t>
      </w:r>
      <w:r>
        <w:t xml:space="preserve">(Fleiss 1971)</w:t>
      </w:r>
      <w:r>
        <w:t xml:space="preserve"> </w:t>
      </w:r>
      <w:r>
        <w:t xml:space="preserve">is a chance-corrected agreement statistic</w:t>
      </w:r>
      <w:r>
        <w:t xml:space="preserve"> </w:t>
      </w:r>
      <w:r>
        <w:t xml:space="preserve">designed for categorical ratings produced by multiple raters. We apply it by</w:t>
      </w:r>
      <w:r>
        <w:t xml:space="preserve"> </w:t>
      </w:r>
      <w:r>
        <w:t xml:space="preserve">treating the five LLM agents as interchangeable raters, each</w:t>
      </w:r>
      <w:r>
        <w:t xml:space="preserve"> </w:t>
      </w:r>
      <m:oMath>
        <m:r>
          <m:rPr>
            <m:sty m:val="p"/>
          </m:rPr>
          <m:t>(</m:t>
        </m:r>
        <m:r>
          <m:rPr>
            <m:sty m:val="p"/>
          </m:rPr>
          <m:t>t</m:t>
        </m:r>
        <m:r>
          <m:rPr>
            <m:sty m:val="p"/>
          </m:rPr>
          <m:t>i</m:t>
        </m:r>
        <m:r>
          <m:rPr>
            <m:sty m:val="p"/>
          </m:rPr>
          <m:t>c</m:t>
        </m:r>
        <m:r>
          <m:rPr>
            <m:sty m:val="p"/>
          </m:rPr>
          <m:t>k</m:t>
        </m:r>
        <m:r>
          <m:rPr>
            <m:sty m:val="p"/>
          </m:rPr>
          <m:t>e</m:t>
        </m:r>
        <m:r>
          <m:rPr>
            <m:sty m:val="p"/>
          </m:rPr>
          <m:t>r</m:t>
        </m:r>
        <m:r>
          <m:rPr>
            <m:sty m:val="p"/>
          </m:rPr>
          <m:t>,</m:t>
        </m:r>
        <m:r>
          <m:rPr>
            <m:sty m:val="p"/>
          </m:rPr>
          <m:t>d</m:t>
        </m:r>
        <m:r>
          <m:rPr>
            <m:sty m:val="p"/>
          </m:rPr>
          <m:t>a</m:t>
        </m:r>
        <m:r>
          <m:rPr>
            <m:sty m:val="p"/>
          </m:rPr>
          <m:t>t</m:t>
        </m:r>
        <m:r>
          <m:rPr>
            <m:sty m:val="p"/>
          </m:rPr>
          <m:t>e</m:t>
        </m:r>
        <m:r>
          <m:rPr>
            <m:sty m:val="p"/>
          </m:rPr>
          <m:t>)</m:t>
        </m:r>
      </m:oMath>
      <w:r>
        <w:t xml:space="preserve"> </w:t>
      </w:r>
      <w:r>
        <w:t xml:space="preserve">pair as a rated subject, and BUY, HOLD, and</w:t>
      </w:r>
      <w:r>
        <w:t xml:space="preserve"> </w:t>
      </w:r>
      <w:r>
        <w:t xml:space="preserve">SELL as nominal categories.</w:t>
      </w:r>
    </w:p>
    <w:p>
      <w:pPr>
        <w:pStyle w:val="BodyText"/>
      </w:pPr>
      <w:r>
        <w:t xml:space="preserve">Unlike diversity measures used primarily to select, weight, or prune ensemble</w:t>
      </w:r>
      <w:r>
        <w:t xml:space="preserve"> </w:t>
      </w:r>
      <w:r>
        <w:t xml:space="preserve">members </w:t>
      </w:r>
      <w:r>
        <w:t xml:space="preserve">(Tekin et al. 2024)</w:t>
      </w:r>
      <w:r>
        <w:t xml:space="preserve">, our objective is to estimate agreement itself and</w:t>
      </w:r>
      <w:r>
        <w:t xml:space="preserve"> </w:t>
      </w:r>
      <w:r>
        <w:t xml:space="preserve">determine how it varies with provider heterogeneity and inference cost. Because</w:t>
      </w:r>
      <w:r>
        <w:t xml:space="preserve"> </w:t>
      </w:r>
      <w:r>
        <w:t xml:space="preserve">Fleiss’</w:t>
      </w:r>
      <w:r>
        <w:t xml:space="preserve"> </w:t>
      </w:r>
      <m:oMath>
        <m:r>
          <m:t>κ</m:t>
        </m:r>
      </m:oMath>
      <w:r>
        <w:t xml:space="preserve"> </w:t>
      </w:r>
      <w:r>
        <w:t xml:space="preserve">can be sensitive to category prevalence, we additionally assess</w:t>
      </w:r>
      <w:r>
        <w:t xml:space="preserve"> </w:t>
      </w:r>
      <w:r>
        <w:t xml:space="preserve">the robustness of the observed configuration ordering using Krippendorff’s</w:t>
      </w:r>
      <w:r>
        <w:t xml:space="preserve"> </w:t>
      </w:r>
      <m:oMath>
        <m:r>
          <m:t>α</m:t>
        </m:r>
      </m:oMath>
      <w:r>
        <w:t xml:space="preserve"> </w:t>
      </w:r>
      <w:r>
        <w:t xml:space="preserve">(Krippendorff 2019)</w:t>
      </w:r>
      <w:r>
        <w:t xml:space="preserve"> </w:t>
      </w:r>
      <w:r>
        <w:t xml:space="preserve">and Gwet’s AC1 </w:t>
      </w:r>
      <w:r>
        <w:t xml:space="preserve">(Gwet 2008)</w:t>
      </w:r>
      <w:r>
        <w:t xml:space="preserve">. Statistical</w:t>
      </w:r>
      <w:r>
        <w:t xml:space="preserve"> </w:t>
      </w:r>
      <w:r>
        <w:t xml:space="preserve">uncertainty is estimated through cluster-bootstrap resampling at the equity</w:t>
      </w:r>
      <w:r>
        <w:t xml:space="preserve"> </w:t>
      </w:r>
      <w:r>
        <w:t xml:space="preserve">level </w:t>
      </w:r>
      <w:r>
        <w:t xml:space="preserve">(Efron and Tibshirani 1993)</w:t>
      </w:r>
      <w:r>
        <w:t xml:space="preserve">.</w:t>
      </w:r>
    </w:p>
    <w:bookmarkEnd w:id="13"/>
    <w:bookmarkStart w:id="14" w:name="reproducibility-and-pre-registration"/>
    <w:p>
      <w:pPr>
        <w:pStyle w:val="Heading2"/>
      </w:pPr>
      <w:r>
        <w:t xml:space="preserve">Reproducibility and pre-registration</w:t>
      </w:r>
    </w:p>
    <w:p>
      <w:pPr>
        <w:pStyle w:val="FirstParagraph"/>
      </w:pPr>
      <w:r>
        <w:t xml:space="preserve">Pre-registration and frozen, hash-verified datasets remain uncommon in empirical</w:t>
      </w:r>
      <w:r>
        <w:t xml:space="preserve"> </w:t>
      </w:r>
      <w:r>
        <w:t xml:space="preserve">LLM research. We adopt a confirmatory design—specifying the analysis plan in</w:t>
      </w:r>
      <w:r>
        <w:t xml:space="preserve"> </w:t>
      </w:r>
      <w:r>
        <w:t xml:space="preserve">advance, collecting data once, and re-analyzing deterministically—to limit</w:t>
      </w:r>
      <w:r>
        <w:t xml:space="preserve"> </w:t>
      </w:r>
      <w:r>
        <w:t xml:space="preserve">researcher degrees of freedom, and we release the resulting artifacts. The</w:t>
      </w:r>
      <w:r>
        <w:t xml:space="preserve"> </w:t>
      </w:r>
      <w:r>
        <w:t xml:space="preserve">freezing, seeding, and reproducibility procedures are described in detail in</w:t>
      </w:r>
      <w:r>
        <w:t xml:space="preserve"> </w:t>
      </w:r>
      <w:r>
        <w:t xml:space="preserve">Section </w:t>
      </w:r>
      <w:hyperlink w:anchor="sec:prereg">
        <w:r>
          <w:rPr>
            <w:rStyle w:val="Hyperlink"/>
          </w:rPr>
          <w:t xml:space="preserve">4.4</w:t>
        </w:r>
      </w:hyperlink>
      <w:r>
        <w:t xml:space="preserve">.</w:t>
      </w:r>
    </w:p>
    <w:bookmarkEnd w:id="14"/>
    <w:bookmarkEnd w:id="15"/>
    <w:bookmarkStart w:id="22" w:name="problem-formulation-and-metrics"/>
    <w:p>
      <w:pPr>
        <w:pStyle w:val="Heading1"/>
      </w:pPr>
      <w:r>
        <w:t xml:space="preserve">Problem Formulation and Metrics</w:t>
      </w:r>
    </w:p>
    <w:bookmarkStart w:id="17" w:name="ensemble-configurations"/>
    <w:p>
      <w:pPr>
        <w:pStyle w:val="Heading2"/>
      </w:pPr>
      <w:r>
        <w:t xml:space="preserve">Ensemble configurations</w:t>
      </w:r>
    </w:p>
    <w:p>
      <w:pPr>
        <w:pStyle w:val="FirstParagraph"/>
      </w:pPr>
      <w:r>
        <w:t xml:space="preserve">Each ensemble contains five agents that independently respond to the same prompt</w:t>
      </w:r>
      <w:r>
        <w:t xml:space="preserve"> </w:t>
      </w:r>
      <w:r>
        <w:t xml:space="preserve">through separate application programming interface (API) calls. We designate OpenAI as the primary provider and</w:t>
      </w:r>
      <w:r>
        <w:t xml:space="preserve"> </w:t>
      </w:r>
      <w:r>
        <w:t xml:space="preserve">define the heterogeneity level of configuration</w:t>
      </w:r>
      <w:r>
        <w:t xml:space="preserve"> </w:t>
      </w:r>
      <m:oMath>
        <m:r>
          <m:t>c</m:t>
        </m:r>
      </m:oMath>
      <w:r>
        <w:t xml:space="preserve"> </w:t>
      </w:r>
      <w:r>
        <w:t xml:space="preserve">as the number of agents</w:t>
      </w:r>
      <w:r>
        <w:t xml:space="preserve"> </w:t>
      </w:r>
      <w:r>
        <w:t xml:space="preserve">drawn from a non-primary provider:</w:t>
      </w:r>
    </w:p>
    <w:p>
      <w:pPr>
        <w:pStyle w:val="BodyText"/>
      </w:pPr>
      <m:oMathPara>
        <m:oMathParaPr>
          <m:jc m:val="center"/>
        </m:oMathParaPr>
        <m:oMath>
          <m:sSub>
            <m:e>
              <m:r>
                <m:t>h</m:t>
              </m:r>
            </m:e>
            <m:sub>
              <m:r>
                <m:t>c</m:t>
              </m:r>
            </m:sub>
          </m:sSub>
          <m:r>
            <m:rPr>
              <m:sty m:val="p"/>
            </m:rPr>
            <m:t>=</m:t>
          </m:r>
          <m:nary>
            <m:naryPr>
              <m:chr m:val="∑"/>
              <m:limLoc m:val="undOvr"/>
              <m:subHide m:val="off"/>
              <m:supHide m:val="off"/>
            </m:naryPr>
            <m:sub>
              <m:r>
                <m:t>i</m:t>
              </m:r>
              <m:r>
                <m:rPr>
                  <m:sty m:val="p"/>
                </m:rPr>
                <m:t>=</m:t>
              </m:r>
              <m:r>
                <m:t>1</m:t>
              </m:r>
            </m:sub>
            <m:sup>
              <m:r>
                <m:t>5</m:t>
              </m:r>
            </m:sup>
            <m:e>
              <m:r>
                <m:rPr>
                  <m:scr m:val="double-struck"/>
                  <m:sty m:val="p"/>
                </m:rPr>
                <m:t>I</m:t>
              </m:r>
            </m:e>
          </m:nary>
          <m:d>
            <m:dPr>
              <m:begChr m:val="("/>
              <m:sepChr m:val=""/>
              <m:endChr m:val=")"/>
              <m:grow/>
            </m:dPr>
            <m:e>
              <m:sSub>
                <m:e>
                  <m:r>
                    <m:t>p</m:t>
                  </m:r>
                </m:e>
                <m:sub>
                  <m:r>
                    <m:t>i</m:t>
                  </m:r>
                </m:sub>
              </m:sSub>
              <m:r>
                <m:rPr>
                  <m:sty m:val="p"/>
                </m:rPr>
                <m:t>≠</m:t>
              </m:r>
              <m:sSub>
                <m:e>
                  <m:r>
                    <m:t>p</m:t>
                  </m:r>
                </m:e>
                <m:sub>
                  <m:r>
                    <m:rPr>
                      <m:sty m:val="p"/>
                    </m:rPr>
                    <m:t>p</m:t>
                  </m:r>
                  <m:r>
                    <m:rPr>
                      <m:sty m:val="p"/>
                    </m:rPr>
                    <m:t>r</m:t>
                  </m:r>
                  <m:r>
                    <m:rPr>
                      <m:sty m:val="p"/>
                    </m:rPr>
                    <m:t>i</m:t>
                  </m:r>
                  <m:r>
                    <m:rPr>
                      <m:sty m:val="p"/>
                    </m:rPr>
                    <m:t>m</m:t>
                  </m:r>
                  <m:r>
                    <m:rPr>
                      <m:sty m:val="p"/>
                    </m:rPr>
                    <m:t>a</m:t>
                  </m:r>
                  <m:r>
                    <m:rPr>
                      <m:sty m:val="p"/>
                    </m:rPr>
                    <m:t>r</m:t>
                  </m:r>
                  <m:r>
                    <m:rPr>
                      <m:sty m:val="p"/>
                    </m:rPr>
                    <m:t>y</m:t>
                  </m:r>
                </m:sub>
              </m:sSub>
            </m:e>
          </m:d>
          <m:r>
            <m:rPr>
              <m:sty m:val="p"/>
            </m:rPr>
            <m:t>,</m:t>
          </m:r>
        </m:oMath>
      </m:oMathPara>
    </w:p>
    <w:p>
      <w:pPr>
        <w:pStyle w:val="FirstParagraph"/>
      </w:pPr>
      <w:r>
        <w:t xml:space="preserve">where</w:t>
      </w:r>
      <w:r>
        <w:t xml:space="preserve"> </w:t>
      </w:r>
      <m:oMath>
        <m:sSub>
          <m:e>
            <m:r>
              <m:t>p</m:t>
            </m:r>
          </m:e>
          <m:sub>
            <m:r>
              <m:t>i</m:t>
            </m:r>
          </m:sub>
        </m:sSub>
      </m:oMath>
      <w:r>
        <w:t xml:space="preserve"> </w:t>
      </w:r>
      <w:r>
        <w:t xml:space="preserve">denotes the provider of agent</w:t>
      </w:r>
      <w:r>
        <w:t xml:space="preserve"> </w:t>
      </w:r>
      <m:oMath>
        <m:r>
          <m:t>i</m:t>
        </m:r>
      </m:oMath>
      <w:r>
        <w:t xml:space="preserve">. We evaluate three</w:t>
      </w:r>
      <w:r>
        <w:t xml:space="preserve"> </w:t>
      </w:r>
      <w:r>
        <w:t xml:space="preserve">configurations:</w:t>
      </w:r>
    </w:p>
    <w:p>
      <w:pPr>
        <w:numPr>
          <w:ilvl w:val="0"/>
          <w:numId w:val="1002"/>
        </w:numPr>
      </w:pPr>
      <w:r>
        <w:rPr>
          <w:b/>
          <w:bCs/>
        </w:rPr>
        <w:t xml:space="preserve">HOM</w:t>
      </w:r>
      <w:r>
        <w:t xml:space="preserve"> </w:t>
      </w:r>
      <w:r>
        <w:t xml:space="preserve">(</w:t>
      </w:r>
      <m:oMath>
        <m:r>
          <m:t>h</m:t>
        </m:r>
        <m:r>
          <m:rPr>
            <m:sty m:val="p"/>
          </m:rPr>
          <m:t>=</m:t>
        </m:r>
        <m:r>
          <m:t>0</m:t>
        </m:r>
      </m:oMath>
      <w:r>
        <w:t xml:space="preserve">): five agents using the primary-provider model;</w:t>
      </w:r>
    </w:p>
    <w:p>
      <w:pPr>
        <w:numPr>
          <w:ilvl w:val="0"/>
          <w:numId w:val="1002"/>
        </w:numPr>
      </w:pPr>
      <w:r>
        <w:rPr>
          <w:b/>
          <w:bCs/>
        </w:rPr>
        <w:t xml:space="preserve">HET-LITE</w:t>
      </w:r>
      <w:r>
        <w:t xml:space="preserve"> </w:t>
      </w:r>
      <w:r>
        <w:t xml:space="preserve">(</w:t>
      </w:r>
      <m:oMath>
        <m:r>
          <m:t>h</m:t>
        </m:r>
        <m:r>
          <m:rPr>
            <m:sty m:val="p"/>
          </m:rPr>
          <m:t>=</m:t>
        </m:r>
        <m:r>
          <m:t>1</m:t>
        </m:r>
      </m:oMath>
      <w:r>
        <w:t xml:space="preserve">): four primary-provider agents and one Google</w:t>
      </w:r>
      <w:r>
        <w:t xml:space="preserve"> </w:t>
      </w:r>
      <w:r>
        <w:t xml:space="preserve">agent;</w:t>
      </w:r>
    </w:p>
    <w:p>
      <w:pPr>
        <w:numPr>
          <w:ilvl w:val="0"/>
          <w:numId w:val="1002"/>
        </w:numPr>
      </w:pPr>
      <w:r>
        <w:rPr>
          <w:b/>
          <w:bCs/>
        </w:rPr>
        <w:t xml:space="preserve">HET</w:t>
      </w:r>
      <w:r>
        <w:t xml:space="preserve"> </w:t>
      </w:r>
      <w:r>
        <w:t xml:space="preserve">(</w:t>
      </w:r>
      <m:oMath>
        <m:r>
          <m:t>h</m:t>
        </m:r>
        <m:r>
          <m:rPr>
            <m:sty m:val="p"/>
          </m:rPr>
          <m:t>=</m:t>
        </m:r>
        <m:r>
          <m:t>3</m:t>
        </m:r>
      </m:oMath>
      <w:r>
        <w:t xml:space="preserve">): two primary-provider agents, two Google agents,</w:t>
      </w:r>
      <w:r>
        <w:t xml:space="preserve"> </w:t>
      </w:r>
      <w:r>
        <w:t xml:space="preserve">and one xAI agent.</w:t>
      </w:r>
    </w:p>
    <w:p>
      <w:pPr>
        <w:pStyle w:val="FirstParagraph"/>
      </w:pPr>
      <w:r>
        <w:t xml:space="preserve">The exact model identifiers, provider roles, and token prices used during data</w:t>
      </w:r>
      <w:r>
        <w:t xml:space="preserve"> </w:t>
      </w:r>
      <w:r>
        <w:t xml:space="preserve">collection are reported in Table </w:t>
      </w:r>
      <w:hyperlink w:anchor="tab:models">
        <w:r>
          <w:rPr>
            <w:rStyle w:val="Hyperlink"/>
          </w:rPr>
          <w:t xml:space="preserve">1</w:t>
        </w:r>
      </w:hyperlink>
      <w:r>
        <w:t xml:space="preserve">.</w:t>
      </w:r>
    </w:p>
    <w:bookmarkStart w:id="16" w:name="tab:models"/>
    <w:p>
      <w:pPr>
        <w:pStyle w:val="TableCaption"/>
      </w:pPr>
      <w:r>
        <w:t xml:space="preserve">Model registry (verified via a live probe). Prices are USD per</w:t>
      </w:r>
      <w:r>
        <w:t xml:space="preserve"> </w:t>
      </w:r>
      <m:oMath>
        <m:sSup>
          <m:e>
            <m:r>
              <m:t>10</m:t>
            </m:r>
          </m:e>
          <m:sup>
            <m:r>
              <m:t>6</m:t>
            </m:r>
          </m:sup>
        </m:sSup>
      </m:oMath>
      <w:r>
        <w:t xml:space="preserve"> </w:t>
      </w:r>
      <w:r>
        <w:t xml:space="preserve">tokens at time of experiment.</w:t>
      </w:r>
    </w:p>
    <w:tbl>
      <w:tblPr>
        <w:tblStyle w:val="Table"/>
        <w:tblW w:type="auto" w:w="0"/>
        <w:tblLook w:firstRow="1" w:lastRow="0" w:firstColumn="0" w:lastColumn="0" w:noHBand="0" w:noVBand="0" w:val="0020"/>
        <w:tblCaption w:val="Model registry (verified via a live probe). Prices are USD per 10^6 tokens at time of experiment."/>
      </w:tblPr>
      <w:tblGrid>
        <w:gridCol w:w="1980"/>
        <w:gridCol w:w="1980"/>
        <w:gridCol w:w="1980"/>
        <w:gridCol w:w="1980"/>
      </w:tblGrid>
      <w:tr>
        <w:trPr>
          <w:tblHeader w:val="on"/>
        </w:trPr>
        <w:tc>
          <w:tcPr/>
          <w:p>
            <w:pPr>
              <w:pStyle w:val="Compact"/>
              <w:jc w:val="left"/>
            </w:pPr>
            <w:r>
              <w:t xml:space="preserve">Provider (role)</w:t>
            </w:r>
          </w:p>
        </w:tc>
        <w:tc>
          <w:tcPr/>
          <w:p>
            <w:pPr>
              <w:pStyle w:val="Compact"/>
              <w:jc w:val="left"/>
            </w:pPr>
            <w:r>
              <w:t xml:space="preserve">Model string</w:t>
            </w:r>
          </w:p>
        </w:tc>
        <w:tc>
          <w:tcPr/>
          <w:p>
            <w:pPr>
              <w:pStyle w:val="Compact"/>
              <w:jc w:val="left"/>
            </w:pPr>
            <w:r>
              <w:t xml:space="preserve">In</w:t>
            </w:r>
          </w:p>
        </w:tc>
        <w:tc>
          <w:tcPr/>
          <w:p>
            <w:pPr>
              <w:pStyle w:val="Compact"/>
              <w:jc w:val="left"/>
            </w:pPr>
            <w:r>
              <w:t xml:space="preserve">Out</w:t>
            </w:r>
          </w:p>
        </w:tc>
      </w:tr>
      <w:tr>
        <w:tc>
          <w:tcPr/>
          <w:p>
            <w:pPr>
              <w:pStyle w:val="Compact"/>
              <w:jc w:val="left"/>
            </w:pPr>
            <w:r>
              <w:t xml:space="preserve">OpenAI (primary)</w:t>
            </w:r>
          </w:p>
        </w:tc>
        <w:tc>
          <w:tcPr/>
          <w:p>
            <w:pPr>
              <w:pStyle w:val="Compact"/>
              <w:jc w:val="left"/>
            </w:pPr>
            <w:r>
              <w:t xml:space="preserve">gpt-5.4-nano</w:t>
            </w:r>
          </w:p>
        </w:tc>
        <w:tc>
          <w:tcPr/>
          <w:p>
            <w:pPr>
              <w:pStyle w:val="Compact"/>
              <w:jc w:val="left"/>
            </w:pPr>
            <w:r>
              <w:t xml:space="preserve">0.20</w:t>
            </w:r>
          </w:p>
        </w:tc>
        <w:tc>
          <w:tcPr/>
          <w:p>
            <w:pPr>
              <w:pStyle w:val="Compact"/>
              <w:jc w:val="left"/>
            </w:pPr>
            <w:r>
              <w:t xml:space="preserve">1.25</w:t>
            </w:r>
          </w:p>
        </w:tc>
      </w:tr>
      <w:tr>
        <w:tc>
          <w:tcPr/>
          <w:p>
            <w:pPr>
              <w:pStyle w:val="Compact"/>
              <w:jc w:val="left"/>
            </w:pPr>
            <w:r>
              <w:t xml:space="preserve">Google (het.)</w:t>
            </w:r>
          </w:p>
        </w:tc>
        <w:tc>
          <w:tcPr/>
          <w:p>
            <w:pPr>
              <w:pStyle w:val="Compact"/>
              <w:jc w:val="left"/>
            </w:pPr>
            <w:r>
              <w:t xml:space="preserve">gemini-3.5-flash</w:t>
            </w:r>
          </w:p>
        </w:tc>
        <w:tc>
          <w:tcPr/>
          <w:p>
            <w:pPr>
              <w:pStyle w:val="Compact"/>
              <w:jc w:val="left"/>
            </w:pPr>
            <w:r>
              <w:t xml:space="preserve">1.50</w:t>
            </w:r>
          </w:p>
        </w:tc>
        <w:tc>
          <w:tcPr/>
          <w:p>
            <w:pPr>
              <w:pStyle w:val="Compact"/>
              <w:jc w:val="left"/>
            </w:pPr>
            <w:r>
              <w:t xml:space="preserve">9.00</w:t>
            </w:r>
          </w:p>
        </w:tc>
      </w:tr>
      <w:tr>
        <w:tc>
          <w:tcPr/>
          <w:p>
            <w:pPr>
              <w:pStyle w:val="Compact"/>
              <w:jc w:val="left"/>
            </w:pPr>
            <w:r>
              <w:t xml:space="preserve">xAI (het.)</w:t>
            </w:r>
          </w:p>
        </w:tc>
        <w:tc>
          <w:tcPr/>
          <w:p>
            <w:pPr>
              <w:pStyle w:val="Compact"/>
              <w:jc w:val="left"/>
            </w:pPr>
            <w:r>
              <w:t xml:space="preserve">grok-4.3</w:t>
            </w:r>
          </w:p>
        </w:tc>
        <w:tc>
          <w:tcPr/>
          <w:p>
            <w:pPr>
              <w:pStyle w:val="Compact"/>
              <w:jc w:val="left"/>
            </w:pPr>
            <w:r>
              <w:t xml:space="preserve">1.25</w:t>
            </w:r>
          </w:p>
        </w:tc>
        <w:tc>
          <w:tcPr/>
          <w:p>
            <w:pPr>
              <w:pStyle w:val="Compact"/>
              <w:jc w:val="left"/>
            </w:pPr>
            <w:r>
              <w:t xml:space="preserve">2.50</w:t>
            </w:r>
          </w:p>
        </w:tc>
      </w:tr>
    </w:tbl>
    <w:bookmarkEnd w:id="16"/>
    <w:bookmarkEnd w:id="17"/>
    <w:bookmarkStart w:id="18" w:name="agreement-statistic"/>
    <w:p>
      <w:pPr>
        <w:pStyle w:val="Heading2"/>
      </w:pPr>
      <w:r>
        <w:t xml:space="preserve">Agreement statistic</w:t>
      </w:r>
    </w:p>
    <w:p>
      <w:pPr>
        <w:pStyle w:val="FirstParagraph"/>
      </w:pPr>
      <w:r>
        <w:t xml:space="preserve">For each configuration</w:t>
      </w:r>
      <w:r>
        <w:t xml:space="preserve"> </w:t>
      </w:r>
      <m:oMath>
        <m:r>
          <m:t>c</m:t>
        </m:r>
      </m:oMath>
      <w:r>
        <w:t xml:space="preserve">, experimental run</w:t>
      </w:r>
      <w:r>
        <w:t xml:space="preserve"> </w:t>
      </w:r>
      <m:oMath>
        <m:r>
          <m:t>r</m:t>
        </m:r>
      </m:oMath>
      <w:r>
        <w:t xml:space="preserve">, and evaluation cell</w:t>
      </w:r>
      <w:r>
        <w:t xml:space="preserve"> </w:t>
      </w:r>
      <m:oMath>
        <m:r>
          <m:t>s</m:t>
        </m:r>
        <m:r>
          <m:rPr>
            <m:sty m:val="p"/>
          </m:rPr>
          <m:t>=</m:t>
        </m:r>
        <m:r>
          <m:rPr>
            <m:sty m:val="p"/>
          </m:rPr>
          <m:t>(</m:t>
        </m:r>
        <m:r>
          <m:rPr>
            <m:sty m:val="p"/>
          </m:rPr>
          <m:t>t</m:t>
        </m:r>
        <m:r>
          <m:rPr>
            <m:sty m:val="p"/>
          </m:rPr>
          <m:t>i</m:t>
        </m:r>
        <m:r>
          <m:rPr>
            <m:sty m:val="p"/>
          </m:rPr>
          <m:t>c</m:t>
        </m:r>
        <m:r>
          <m:rPr>
            <m:sty m:val="p"/>
          </m:rPr>
          <m:t>k</m:t>
        </m:r>
        <m:r>
          <m:rPr>
            <m:sty m:val="p"/>
          </m:rPr>
          <m:t>e</m:t>
        </m:r>
        <m:r>
          <m:rPr>
            <m:sty m:val="p"/>
          </m:rPr>
          <m:t>r</m:t>
        </m:r>
        <m:r>
          <m:rPr>
            <m:sty m:val="p"/>
          </m:rPr>
          <m:t>,</m:t>
        </m:r>
        <m:r>
          <m:rPr>
            <m:sty m:val="p"/>
          </m:rPr>
          <m:t>d</m:t>
        </m:r>
        <m:r>
          <m:rPr>
            <m:sty m:val="p"/>
          </m:rPr>
          <m:t>a</m:t>
        </m:r>
        <m:r>
          <m:rPr>
            <m:sty m:val="p"/>
          </m:rPr>
          <m:t>t</m:t>
        </m:r>
        <m:r>
          <m:rPr>
            <m:sty m:val="p"/>
          </m:rPr>
          <m:t>e</m:t>
        </m:r>
        <m:r>
          <m:rPr>
            <m:sty m:val="p"/>
          </m:rPr>
          <m:t>)</m:t>
        </m:r>
      </m:oMath>
      <w:r>
        <w:t xml:space="preserve">, the five agents return one categorical</w:t>
      </w:r>
      <w:r>
        <w:t xml:space="preserve"> </w:t>
      </w:r>
      <w:r>
        <w:t xml:space="preserve">direction from</w:t>
      </w:r>
      <w:r>
        <w:t xml:space="preserve"> </w:t>
      </w:r>
      <m:oMath>
        <m:r>
          <m:rPr>
            <m:scr m:val="script"/>
            <m:sty m:val="p"/>
          </m:rPr>
          <m:t>Y</m:t>
        </m:r>
        <m:r>
          <m:rPr>
            <m:sty m:val="p"/>
          </m:rPr>
          <m:t>=</m:t>
        </m:r>
        <m:r>
          <m:rPr>
            <m:sty m:val="p"/>
          </m:rPr>
          <m:t>{</m:t>
        </m:r>
        <m:r>
          <m:rPr>
            <m:sty m:val="p"/>
          </m:rPr>
          <m:t>B</m:t>
        </m:r>
        <m:r>
          <m:rPr>
            <m:sty m:val="p"/>
          </m:rPr>
          <m:t>U</m:t>
        </m:r>
        <m:r>
          <m:rPr>
            <m:sty m:val="p"/>
          </m:rPr>
          <m:t>Y</m:t>
        </m:r>
        <m:r>
          <m:rPr>
            <m:sty m:val="p"/>
          </m:rPr>
          <m:t>,</m:t>
        </m:r>
        <m:r>
          <m:rPr>
            <m:sty m:val="p"/>
          </m:rPr>
          <m:t>H</m:t>
        </m:r>
        <m:r>
          <m:rPr>
            <m:sty m:val="p"/>
          </m:rPr>
          <m:t>O</m:t>
        </m:r>
        <m:r>
          <m:rPr>
            <m:sty m:val="p"/>
          </m:rPr>
          <m:t>L</m:t>
        </m:r>
        <m:r>
          <m:rPr>
            <m:sty m:val="p"/>
          </m:rPr>
          <m:t>D</m:t>
        </m:r>
        <m:r>
          <m:rPr>
            <m:sty m:val="p"/>
          </m:rPr>
          <m:t>,</m:t>
        </m:r>
        <m:r>
          <m:rPr>
            <m:sty m:val="p"/>
          </m:rPr>
          <m:t>S</m:t>
        </m:r>
        <m:r>
          <m:rPr>
            <m:sty m:val="p"/>
          </m:rPr>
          <m:t>E</m:t>
        </m:r>
        <m:r>
          <m:rPr>
            <m:sty m:val="p"/>
          </m:rPr>
          <m:t>L</m:t>
        </m:r>
        <m:r>
          <m:rPr>
            <m:sty m:val="p"/>
          </m:rPr>
          <m:t>L</m:t>
        </m:r>
        <m:r>
          <m:rPr>
            <m:sty m:val="p"/>
          </m:rPr>
          <m:t>}</m:t>
        </m:r>
      </m:oMath>
      <w:r>
        <w:t xml:space="preserve">. We</w:t>
      </w:r>
      <w:r>
        <w:t xml:space="preserve"> </w:t>
      </w:r>
      <w:r>
        <w:t xml:space="preserve">treat agents as raters and evaluation cells as rated subjects. Fleiss’</w:t>
      </w:r>
      <w:r>
        <w:t xml:space="preserve"> </w:t>
      </w:r>
      <m:oMath>
        <m:r>
          <m:t>κ</m:t>
        </m:r>
      </m:oMath>
      <w:r>
        <w:t xml:space="preserve"> </w:t>
      </w:r>
      <w:r>
        <w:t xml:space="preserve">is computed separately within each run, producing the run-level agreement</w:t>
      </w:r>
      <w:r>
        <w:t xml:space="preserve"> </w:t>
      </w:r>
      <w:r>
        <w:t xml:space="preserve">statistic</w:t>
      </w:r>
      <w:r>
        <w:t xml:space="preserve"> </w:t>
      </w:r>
      <m:oMath>
        <m:sSub>
          <m:e>
            <m:r>
              <m:t>κ</m:t>
            </m:r>
          </m:e>
          <m:sub>
            <m:r>
              <m:t>c</m:t>
            </m:r>
            <m:r>
              <m:rPr>
                <m:sty m:val="p"/>
              </m:rPr>
              <m:t>,</m:t>
            </m:r>
            <m:r>
              <m:t>r</m:t>
            </m:r>
          </m:sub>
        </m:sSub>
      </m:oMath>
      <w:r>
        <w:t xml:space="preserve">. Configuration-level agreement is then defined as the</w:t>
      </w:r>
      <w:r>
        <w:t xml:space="preserve"> </w:t>
      </w:r>
      <w:r>
        <w:t xml:space="preserve">mean across the</w:t>
      </w:r>
      <w:r>
        <w:t xml:space="preserve"> </w:t>
      </w:r>
      <m:oMath>
        <m:r>
          <m:t>R</m:t>
        </m:r>
        <m:r>
          <m:rPr>
            <m:sty m:val="p"/>
          </m:rPr>
          <m:t>=</m:t>
        </m:r>
        <m:r>
          <m:t>3</m:t>
        </m:r>
      </m:oMath>
      <w:r>
        <w:t xml:space="preserve"> </w:t>
      </w:r>
      <w:r>
        <w:t xml:space="preserve">runs:</w:t>
      </w:r>
    </w:p>
    <w:p>
      <w:pPr>
        <w:pStyle w:val="BodyText"/>
      </w:pPr>
      <m:oMathPara>
        <m:oMathParaPr>
          <m:jc m:val="center"/>
        </m:oMathParaPr>
        <m:oMath>
          <m:sSub>
            <m:e>
              <m:r>
                <m:t>κ</m:t>
              </m:r>
            </m:e>
            <m:sub>
              <m:r>
                <m:t>c</m:t>
              </m:r>
            </m:sub>
          </m:sSub>
          <m:r>
            <m:rPr>
              <m:sty m:val="p"/>
            </m:rPr>
            <m:t>=</m:t>
          </m:r>
          <m:f>
            <m:fPr>
              <m:type m:val="bar"/>
            </m:fPr>
            <m:num>
              <m:r>
                <m:t>1</m:t>
              </m:r>
            </m:num>
            <m:den>
              <m:r>
                <m:t>R</m:t>
              </m:r>
            </m:den>
          </m:f>
          <m:nary>
            <m:naryPr>
              <m:chr m:val="∑"/>
              <m:limLoc m:val="undOvr"/>
              <m:subHide m:val="off"/>
              <m:supHide m:val="off"/>
            </m:naryPr>
            <m:sub>
              <m:r>
                <m:t>r</m:t>
              </m:r>
              <m:r>
                <m:rPr>
                  <m:sty m:val="p"/>
                </m:rPr>
                <m:t>=</m:t>
              </m:r>
              <m:r>
                <m:t>1</m:t>
              </m:r>
            </m:sub>
            <m:sup>
              <m:r>
                <m:t>R</m:t>
              </m:r>
            </m:sup>
            <m:e>
              <m:sSub>
                <m:e>
                  <m:r>
                    <m:t>κ</m:t>
                  </m:r>
                </m:e>
                <m:sub>
                  <m:r>
                    <m:t>c</m:t>
                  </m:r>
                  <m:r>
                    <m:rPr>
                      <m:sty m:val="p"/>
                    </m:rPr>
                    <m:t>,</m:t>
                  </m:r>
                  <m:r>
                    <m:t>r</m:t>
                  </m:r>
                </m:sub>
              </m:sSub>
            </m:e>
          </m:nary>
          <m:r>
            <m:rPr>
              <m:sty m:val="p"/>
            </m:rPr>
            <m:t>.</m:t>
          </m:r>
        </m:oMath>
      </m:oMathPara>
    </w:p>
    <w:p>
      <w:pPr>
        <w:pStyle w:val="FirstParagraph"/>
      </w:pPr>
      <w:r>
        <w:t xml:space="preserve">The pre-registered primary endpoint is the reduction in agreement between the</w:t>
      </w:r>
      <w:r>
        <w:t xml:space="preserve"> </w:t>
      </w:r>
      <w:r>
        <w:t xml:space="preserve">homogeneous and fully heterogeneous configurations:</w:t>
      </w:r>
    </w:p>
    <w:p>
      <w:pPr>
        <w:pStyle w:val="BodyText"/>
      </w:pPr>
      <m:oMathPara>
        <m:oMathParaPr>
          <m:jc m:val="center"/>
        </m:oMathParaPr>
        <m:oMath>
          <m:r>
            <m:rPr>
              <m:sty m:val="p"/>
            </m:rPr>
            <m:t>Δ</m:t>
          </m:r>
          <m:sSub>
            <m:e>
              <m:r>
                <m:t>κ</m:t>
              </m:r>
            </m:e>
            <m:sub>
              <m:r>
                <m:rPr>
                  <m:sty m:val="p"/>
                </m:rPr>
                <m:t>H</m:t>
              </m:r>
              <m:r>
                <m:rPr>
                  <m:sty m:val="p"/>
                </m:rPr>
                <m:t>O</m:t>
              </m:r>
              <m:r>
                <m:rPr>
                  <m:sty m:val="p"/>
                </m:rPr>
                <m:t>M</m:t>
              </m:r>
              <m:r>
                <m:rPr>
                  <m:sty m:val="p"/>
                </m:rPr>
                <m:t>−</m:t>
              </m:r>
              <m:r>
                <m:rPr>
                  <m:sty m:val="p"/>
                </m:rPr>
                <m:t>H</m:t>
              </m:r>
              <m:r>
                <m:rPr>
                  <m:sty m:val="p"/>
                </m:rPr>
                <m:t>E</m:t>
              </m:r>
              <m:r>
                <m:rPr>
                  <m:sty m:val="p"/>
                </m:rPr>
                <m:t>T</m:t>
              </m:r>
            </m:sub>
          </m:sSub>
          <m:r>
            <m:rPr>
              <m:sty m:val="p"/>
            </m:rPr>
            <m:t>=</m:t>
          </m:r>
          <m:sSub>
            <m:e>
              <m:r>
                <m:t>κ</m:t>
              </m:r>
            </m:e>
            <m:sub>
              <m:r>
                <m:rPr>
                  <m:sty m:val="p"/>
                </m:rPr>
                <m:t>H</m:t>
              </m:r>
              <m:r>
                <m:rPr>
                  <m:sty m:val="p"/>
                </m:rPr>
                <m:t>O</m:t>
              </m:r>
              <m:r>
                <m:rPr>
                  <m:sty m:val="p"/>
                </m:rPr>
                <m:t>M</m:t>
              </m:r>
            </m:sub>
          </m:sSub>
          <m:r>
            <m:rPr>
              <m:sty m:val="p"/>
            </m:rPr>
            <m:t>−</m:t>
          </m:r>
          <m:sSub>
            <m:e>
              <m:r>
                <m:t>κ</m:t>
              </m:r>
            </m:e>
            <m:sub>
              <m:r>
                <m:rPr>
                  <m:sty m:val="p"/>
                </m:rPr>
                <m:t>H</m:t>
              </m:r>
              <m:r>
                <m:rPr>
                  <m:sty m:val="p"/>
                </m:rPr>
                <m:t>E</m:t>
              </m:r>
              <m:r>
                <m:rPr>
                  <m:sty m:val="p"/>
                </m:rPr>
                <m:t>T</m:t>
              </m:r>
            </m:sub>
          </m:sSub>
          <m:r>
            <m:rPr>
              <m:sty m:val="p"/>
            </m:rPr>
            <m:t>.</m:t>
          </m:r>
        </m:oMath>
      </m:oMathPara>
    </w:p>
    <w:p>
      <w:pPr>
        <w:pStyle w:val="FirstParagraph"/>
      </w:pPr>
      <w:r>
        <w:t xml:space="preserve">The pre-registered secondary contrasts are</w:t>
      </w:r>
      <w:r>
        <w:t xml:space="preserve"> </w:t>
      </w:r>
      <m:oMath>
        <m:r>
          <m:rPr>
            <m:sty m:val="p"/>
          </m:rPr>
          <m:t>Δ</m:t>
        </m:r>
        <m:sSub>
          <m:e>
            <m:r>
              <m:t>κ</m:t>
            </m:r>
          </m:e>
          <m:sub>
            <m:r>
              <m:rPr>
                <m:sty m:val="p"/>
              </m:rPr>
              <m:t>H</m:t>
            </m:r>
            <m:r>
              <m:rPr>
                <m:sty m:val="p"/>
              </m:rPr>
              <m:t>O</m:t>
            </m:r>
            <m:r>
              <m:rPr>
                <m:sty m:val="p"/>
              </m:rPr>
              <m:t>M</m:t>
            </m:r>
            <m:r>
              <m:rPr>
                <m:sty m:val="p"/>
              </m:rPr>
              <m:t>−</m:t>
            </m:r>
            <m:r>
              <m:rPr>
                <m:sty m:val="p"/>
              </m:rPr>
              <m:t>H</m:t>
            </m:r>
            <m:r>
              <m:rPr>
                <m:sty m:val="p"/>
              </m:rPr>
              <m:t>E</m:t>
            </m:r>
            <m:r>
              <m:rPr>
                <m:sty m:val="p"/>
              </m:rPr>
              <m:t>T</m:t>
            </m:r>
            <m:r>
              <m:rPr>
                <m:nor/>
                <m:sty m:val="p"/>
              </m:rPr>
              <m:t>-</m:t>
            </m:r>
            <m:r>
              <m:rPr>
                <m:sty m:val="p"/>
              </m:rPr>
              <m:t>L</m:t>
            </m:r>
            <m:r>
              <m:rPr>
                <m:sty m:val="p"/>
              </m:rPr>
              <m:t>I</m:t>
            </m:r>
            <m:r>
              <m:rPr>
                <m:sty m:val="p"/>
              </m:rPr>
              <m:t>T</m:t>
            </m:r>
            <m:r>
              <m:rPr>
                <m:sty m:val="p"/>
              </m:rPr>
              <m:t>E</m:t>
            </m:r>
          </m:sub>
        </m:sSub>
        <m:r>
          <m:rPr>
            <m:sty m:val="p"/>
          </m:rPr>
          <m:t>=</m:t>
        </m:r>
        <m:sSub>
          <m:e>
            <m:r>
              <m:t>κ</m:t>
            </m:r>
          </m:e>
          <m:sub>
            <m:r>
              <m:rPr>
                <m:sty m:val="p"/>
              </m:rPr>
              <m:t>H</m:t>
            </m:r>
            <m:r>
              <m:rPr>
                <m:sty m:val="p"/>
              </m:rPr>
              <m:t>O</m:t>
            </m:r>
            <m:r>
              <m:rPr>
                <m:sty m:val="p"/>
              </m:rPr>
              <m:t>M</m:t>
            </m:r>
          </m:sub>
        </m:sSub>
        <m:r>
          <m:rPr>
            <m:sty m:val="p"/>
          </m:rPr>
          <m:t>−</m:t>
        </m:r>
        <m:sSub>
          <m:e>
            <m:r>
              <m:t>κ</m:t>
            </m:r>
          </m:e>
          <m:sub>
            <m:r>
              <m:rPr>
                <m:sty m:val="p"/>
              </m:rPr>
              <m:t>H</m:t>
            </m:r>
            <m:r>
              <m:rPr>
                <m:sty m:val="p"/>
              </m:rPr>
              <m:t>E</m:t>
            </m:r>
            <m:r>
              <m:rPr>
                <m:sty m:val="p"/>
              </m:rPr>
              <m:t>T</m:t>
            </m:r>
            <m:r>
              <m:rPr>
                <m:nor/>
                <m:sty m:val="p"/>
              </m:rPr>
              <m:t>-</m:t>
            </m:r>
            <m:r>
              <m:rPr>
                <m:sty m:val="p"/>
              </m:rPr>
              <m:t>L</m:t>
            </m:r>
            <m:r>
              <m:rPr>
                <m:sty m:val="p"/>
              </m:rPr>
              <m:t>I</m:t>
            </m:r>
            <m:r>
              <m:rPr>
                <m:sty m:val="p"/>
              </m:rPr>
              <m:t>T</m:t>
            </m:r>
            <m:r>
              <m:rPr>
                <m:sty m:val="p"/>
              </m:rPr>
              <m:t>E</m:t>
            </m:r>
          </m:sub>
        </m:sSub>
      </m:oMath>
      <w:r>
        <w:t xml:space="preserve"> </w:t>
      </w:r>
      <w:r>
        <w:t xml:space="preserve">and</w:t>
      </w:r>
      <w:r>
        <w:t xml:space="preserve"> </w:t>
      </w:r>
      <m:oMath>
        <m:r>
          <m:rPr>
            <m:sty m:val="p"/>
          </m:rPr>
          <m:t>Δ</m:t>
        </m:r>
        <m:sSub>
          <m:e>
            <m:r>
              <m:t>κ</m:t>
            </m:r>
          </m:e>
          <m:sub>
            <m:r>
              <m:rPr>
                <m:sty m:val="p"/>
              </m:rPr>
              <m:t>H</m:t>
            </m:r>
            <m:r>
              <m:rPr>
                <m:sty m:val="p"/>
              </m:rPr>
              <m:t>E</m:t>
            </m:r>
            <m:r>
              <m:rPr>
                <m:sty m:val="p"/>
              </m:rPr>
              <m:t>T</m:t>
            </m:r>
            <m:r>
              <m:rPr>
                <m:nor/>
                <m:sty m:val="p"/>
              </m:rPr>
              <m:t>-</m:t>
            </m:r>
            <m:r>
              <m:rPr>
                <m:sty m:val="p"/>
              </m:rPr>
              <m:t>L</m:t>
            </m:r>
            <m:r>
              <m:rPr>
                <m:sty m:val="p"/>
              </m:rPr>
              <m:t>I</m:t>
            </m:r>
            <m:r>
              <m:rPr>
                <m:sty m:val="p"/>
              </m:rPr>
              <m:t>T</m:t>
            </m:r>
            <m:r>
              <m:rPr>
                <m:sty m:val="p"/>
              </m:rPr>
              <m:t>E</m:t>
            </m:r>
            <m:r>
              <m:rPr>
                <m:sty m:val="p"/>
              </m:rPr>
              <m:t>−</m:t>
            </m:r>
            <m:r>
              <m:rPr>
                <m:sty m:val="p"/>
              </m:rPr>
              <m:t>H</m:t>
            </m:r>
            <m:r>
              <m:rPr>
                <m:sty m:val="p"/>
              </m:rPr>
              <m:t>E</m:t>
            </m:r>
            <m:r>
              <m:rPr>
                <m:sty m:val="p"/>
              </m:rPr>
              <m:t>T</m:t>
            </m:r>
          </m:sub>
        </m:sSub>
        <m:r>
          <m:rPr>
            <m:sty m:val="p"/>
          </m:rPr>
          <m:t>=</m:t>
        </m:r>
        <m:sSub>
          <m:e>
            <m:r>
              <m:t>κ</m:t>
            </m:r>
          </m:e>
          <m:sub>
            <m:r>
              <m:rPr>
                <m:sty m:val="p"/>
              </m:rPr>
              <m:t>H</m:t>
            </m:r>
            <m:r>
              <m:rPr>
                <m:sty m:val="p"/>
              </m:rPr>
              <m:t>E</m:t>
            </m:r>
            <m:r>
              <m:rPr>
                <m:sty m:val="p"/>
              </m:rPr>
              <m:t>T</m:t>
            </m:r>
            <m:r>
              <m:rPr>
                <m:nor/>
                <m:sty m:val="p"/>
              </m:rPr>
              <m:t>-</m:t>
            </m:r>
            <m:r>
              <m:rPr>
                <m:sty m:val="p"/>
              </m:rPr>
              <m:t>L</m:t>
            </m:r>
            <m:r>
              <m:rPr>
                <m:sty m:val="p"/>
              </m:rPr>
              <m:t>I</m:t>
            </m:r>
            <m:r>
              <m:rPr>
                <m:sty m:val="p"/>
              </m:rPr>
              <m:t>T</m:t>
            </m:r>
            <m:r>
              <m:rPr>
                <m:sty m:val="p"/>
              </m:rPr>
              <m:t>E</m:t>
            </m:r>
          </m:sub>
        </m:sSub>
        <m:r>
          <m:rPr>
            <m:sty m:val="p"/>
          </m:rPr>
          <m:t>−</m:t>
        </m:r>
        <m:sSub>
          <m:e>
            <m:r>
              <m:t>κ</m:t>
            </m:r>
          </m:e>
          <m:sub>
            <m:r>
              <m:rPr>
                <m:sty m:val="p"/>
              </m:rPr>
              <m:t>H</m:t>
            </m:r>
            <m:r>
              <m:rPr>
                <m:sty m:val="p"/>
              </m:rPr>
              <m:t>E</m:t>
            </m:r>
            <m:r>
              <m:rPr>
                <m:sty m:val="p"/>
              </m:rPr>
              <m:t>T</m:t>
            </m:r>
          </m:sub>
        </m:sSub>
      </m:oMath>
      <w:r>
        <w:t xml:space="preserve">.</w:t>
      </w:r>
      <w:r>
        <w:t xml:space="preserve"> </w:t>
      </w:r>
      <w:r>
        <w:t xml:space="preserve">Positive values indicate that increasing cross-provider heterogeneity reduces</w:t>
      </w:r>
      <w:r>
        <w:t xml:space="preserve"> </w:t>
      </w:r>
      <w:r>
        <w:t xml:space="preserve">within-ensemble agreement.</w:t>
      </w:r>
    </w:p>
    <w:bookmarkEnd w:id="18"/>
    <w:bookmarkStart w:id="20" w:name="subsec:estimand"/>
    <w:p>
      <w:pPr>
        <w:pStyle w:val="Heading2"/>
      </w:pPr>
      <w:r>
        <w:t xml:space="preserve">Independent-draw estimand</w:t>
      </w:r>
    </w:p>
    <w:p>
      <w:pPr>
        <w:pStyle w:val="FirstParagraph"/>
      </w:pPr>
      <w:bookmarkStart w:id="19" w:name="sec:estimand"/>
      <w:bookmarkEnd w:id="19"/>
      <w:r>
        <w:t xml:space="preserve"> </w:t>
      </w:r>
      <w:r>
        <w:t xml:space="preserve">The estimand of interest is agreement among independently sampled agent</w:t>
      </w:r>
      <w:r>
        <w:t xml:space="preserve"> </w:t>
      </w:r>
      <w:r>
        <w:t xml:space="preserve">responses. Accordingly, every agent response is generated through a separate,</w:t>
      </w:r>
      <w:r>
        <w:t xml:space="preserve"> </w:t>
      </w:r>
      <w:r>
        <w:t xml:space="preserve">stateless API request, without shared conversation state, response caching, or</w:t>
      </w:r>
      <w:r>
        <w:t xml:space="preserve"> </w:t>
      </w:r>
      <w:r>
        <w:t xml:space="preserve">multi-sample batching, so that no two agents share a sampling trajectory through</w:t>
      </w:r>
      <w:r>
        <w:t xml:space="preserve"> </w:t>
      </w:r>
      <w:r>
        <w:t xml:space="preserve">the request structure itself. Each request is additionally assigned a unique,</w:t>
      </w:r>
      <w:r>
        <w:t xml:space="preserve"> </w:t>
      </w:r>
      <w:r>
        <w:t xml:space="preserve">reproducible seed:</w:t>
      </w:r>
    </w:p>
    <w:p>
      <w:pPr>
        <w:pStyle w:val="BodyText"/>
      </w:pPr>
      <m:oMathPara>
        <m:oMathParaPr>
          <m:jc m:val="center"/>
        </m:oMathParaPr>
        <m:oMath>
          <m:sSub>
            <m:e>
              <m:r>
                <m:rPr>
                  <m:sty m:val="p"/>
                </m:rPr>
                <m:t>s</m:t>
              </m:r>
              <m:r>
                <m:rPr>
                  <m:sty m:val="p"/>
                </m:rPr>
                <m:t>e</m:t>
              </m:r>
              <m:r>
                <m:rPr>
                  <m:sty m:val="p"/>
                </m:rPr>
                <m:t>e</m:t>
              </m:r>
              <m:r>
                <m:rPr>
                  <m:sty m:val="p"/>
                </m:rPr>
                <m:t>d</m:t>
              </m:r>
            </m:e>
            <m:sub>
              <m:r>
                <m:t>r</m:t>
              </m:r>
              <m:r>
                <m:rPr>
                  <m:sty m:val="p"/>
                </m:rPr>
                <m:t>,</m:t>
              </m:r>
              <m:r>
                <m:t>c</m:t>
              </m:r>
              <m:r>
                <m:rPr>
                  <m:sty m:val="p"/>
                </m:rPr>
                <m:t>,</m:t>
              </m:r>
              <m:r>
                <m:t>s</m:t>
              </m:r>
              <m:r>
                <m:rPr>
                  <m:sty m:val="p"/>
                </m:rPr>
                <m:t>,</m:t>
              </m:r>
              <m:r>
                <m:t>i</m:t>
              </m:r>
            </m:sub>
          </m:sSub>
          <m:r>
            <m:rPr>
              <m:sty m:val="p"/>
            </m:rPr>
            <m:t>=</m:t>
          </m:r>
          <m:r>
            <m:rPr>
              <m:sty m:val="p"/>
            </m:rPr>
            <m:t>S</m:t>
          </m:r>
          <m:r>
            <m:rPr>
              <m:sty m:val="p"/>
            </m:rPr>
            <m:t>H</m:t>
          </m:r>
          <m:r>
            <m:rPr>
              <m:sty m:val="p"/>
            </m:rPr>
            <m:t>A</m:t>
          </m:r>
          <m:r>
            <m:rPr>
              <m:nor/>
              <m:sty m:val="p"/>
            </m:rPr>
            <m:t>-</m:t>
          </m:r>
          <m:r>
            <m:rPr>
              <m:sty m:val="p"/>
            </m:rPr>
            <m:t>256</m:t>
          </m:r>
          <m:r>
            <m:rPr>
              <m:sty m:val="p"/>
            </m:rPr>
            <m:t>(</m:t>
          </m:r>
          <m:r>
            <m:rPr>
              <m:sty m:val="p"/>
            </m:rPr>
            <m:t>m</m:t>
          </m:r>
          <m:r>
            <m:rPr>
              <m:sty m:val="p"/>
            </m:rPr>
            <m:t>a</m:t>
          </m:r>
          <m:r>
            <m:rPr>
              <m:sty m:val="p"/>
            </m:rPr>
            <m:t>s</m:t>
          </m:r>
          <m:r>
            <m:rPr>
              <m:sty m:val="p"/>
            </m:rPr>
            <m:t>t</m:t>
          </m:r>
          <m:r>
            <m:rPr>
              <m:sty m:val="p"/>
            </m:rPr>
            <m:t>e</m:t>
          </m:r>
          <m:r>
            <m:rPr>
              <m:sty m:val="p"/>
            </m:rPr>
            <m:t>r</m:t>
          </m:r>
          <m:r>
            <m:rPr>
              <m:sty m:val="p"/>
            </m:rPr>
            <m:t>,</m:t>
          </m:r>
          <m:r>
            <m:t>r</m:t>
          </m:r>
          <m:r>
            <m:rPr>
              <m:sty m:val="p"/>
            </m:rPr>
            <m:t>,</m:t>
          </m:r>
          <m:r>
            <m:t>c</m:t>
          </m:r>
          <m:r>
            <m:rPr>
              <m:sty m:val="p"/>
            </m:rPr>
            <m:t>,</m:t>
          </m:r>
          <m:r>
            <m:rPr>
              <m:sty m:val="p"/>
            </m:rPr>
            <m:t>t</m:t>
          </m:r>
          <m:r>
            <m:rPr>
              <m:sty m:val="p"/>
            </m:rPr>
            <m:t>i</m:t>
          </m:r>
          <m:r>
            <m:rPr>
              <m:sty m:val="p"/>
            </m:rPr>
            <m:t>c</m:t>
          </m:r>
          <m:r>
            <m:rPr>
              <m:sty m:val="p"/>
            </m:rPr>
            <m:t>k</m:t>
          </m:r>
          <m:r>
            <m:rPr>
              <m:sty m:val="p"/>
            </m:rPr>
            <m:t>e</m:t>
          </m:r>
          <m:r>
            <m:rPr>
              <m:sty m:val="p"/>
            </m:rPr>
            <m:t>r</m:t>
          </m:r>
          <m:r>
            <m:rPr>
              <m:sty m:val="p"/>
            </m:rPr>
            <m:t>,</m:t>
          </m:r>
          <m:r>
            <m:rPr>
              <m:sty m:val="p"/>
            </m:rPr>
            <m:t>d</m:t>
          </m:r>
          <m:r>
            <m:rPr>
              <m:sty m:val="p"/>
            </m:rPr>
            <m:t>a</m:t>
          </m:r>
          <m:r>
            <m:rPr>
              <m:sty m:val="p"/>
            </m:rPr>
            <m:t>t</m:t>
          </m:r>
          <m:r>
            <m:rPr>
              <m:sty m:val="p"/>
            </m:rPr>
            <m:t>e</m:t>
          </m:r>
          <m:r>
            <m:rPr>
              <m:sty m:val="p"/>
            </m:rPr>
            <m:t>,</m:t>
          </m:r>
          <m:r>
            <m:t>i</m:t>
          </m:r>
          <m:r>
            <m:rPr>
              <m:sty m:val="p"/>
            </m:rPr>
            <m:t>)</m:t>
          </m:r>
          <m:r>
            <m:t> </m:t>
          </m:r>
          <m:r>
            <m:rPr>
              <m:sty m:val="p"/>
            </m:rPr>
            <m:t>mod</m:t>
          </m:r>
          <m:r>
            <m:t> </m:t>
          </m:r>
          <m:sSup>
            <m:e>
              <m:r>
                <m:t>2</m:t>
              </m:r>
            </m:e>
            <m:sup>
              <m:r>
                <m:t>31</m:t>
              </m:r>
            </m:sup>
          </m:sSup>
          <m:r>
            <m:rPr>
              <m:sty m:val="p"/>
            </m:rPr>
            <m:t>,</m:t>
          </m:r>
        </m:oMath>
      </m:oMathPara>
    </w:p>
    <w:p>
      <w:pPr>
        <w:pStyle w:val="FirstParagraph"/>
      </w:pPr>
      <w:r>
        <w:t xml:space="preserve">where</w:t>
      </w:r>
      <w:r>
        <w:t xml:space="preserve"> </w:t>
      </w:r>
      <m:oMath>
        <m:r>
          <m:t>i</m:t>
        </m:r>
      </m:oMath>
      <w:r>
        <w:t xml:space="preserve"> </w:t>
      </w:r>
      <w:r>
        <w:t xml:space="preserve">identifies the agent position within the ensemble. Including the</w:t>
      </w:r>
      <w:r>
        <w:t xml:space="preserve"> </w:t>
      </w:r>
      <w:r>
        <w:t xml:space="preserve">agent identifier gives repeated instances of the same model distinct seeds—and</w:t>
      </w:r>
      <w:r>
        <w:t xml:space="preserve"> </w:t>
      </w:r>
      <w:r>
        <w:t xml:space="preserve">therefore distinct sampling trajectories on endpoints that honor the seed</w:t>
      </w:r>
      <w:r>
        <w:t xml:space="preserve"> </w:t>
      </w:r>
      <w:r>
        <w:t xml:space="preserve">parameter—while keeping those calls reproducible. All three provider endpoints</w:t>
      </w:r>
      <w:r>
        <w:t xml:space="preserve"> </w:t>
      </w:r>
      <w:r>
        <w:t xml:space="preserve">used in this study accept a seed parameter, and the unique per-agent seed is</w:t>
      </w:r>
      <w:r>
        <w:t xml:space="preserve"> </w:t>
      </w:r>
      <w:r>
        <w:t xml:space="preserve">transmitted on every call, masked to a positive 32-bit integer as some endpoints</w:t>
      </w:r>
      <w:r>
        <w:t xml:space="preserve"> </w:t>
      </w:r>
      <w:r>
        <w:t xml:space="preserve">require; the model registry and supplementary manifest record the seed sent with</w:t>
      </w:r>
      <w:r>
        <w:t xml:space="preserve"> </w:t>
      </w:r>
      <w:r>
        <w:t xml:space="preserve">each call. Because provider seed support is best-effort rather than a</w:t>
      </w:r>
      <w:r>
        <w:t xml:space="preserve"> </w:t>
      </w:r>
      <w:r>
        <w:t xml:space="preserve">determinism guarantee, reproducibility ultimately rests on the archived raw</w:t>
      </w:r>
      <w:r>
        <w:t xml:space="preserve"> </w:t>
      </w:r>
      <w:r>
        <w:t xml:space="preserve">responses (Section </w:t>
      </w:r>
      <w:hyperlink w:anchor="sec:prereg">
        <w:r>
          <w:rPr>
            <w:rStyle w:val="Hyperlink"/>
          </w:rPr>
          <w:t xml:space="preserve">4.4</w:t>
        </w:r>
      </w:hyperlink>
      <w:r>
        <w:t xml:space="preserve">) in addition to re-executable seeding.</w:t>
      </w:r>
    </w:p>
    <w:p>
      <w:pPr>
        <w:pStyle w:val="BodyText"/>
      </w:pPr>
      <w:r>
        <w:t xml:space="preserve">As a diagnostic for residual within-run dependence, we compare agreement among</w:t>
      </w:r>
      <w:r>
        <w:t xml:space="preserve"> </w:t>
      </w:r>
      <w:r>
        <w:t xml:space="preserve">the five draws generated within a run with agreement estimated from</w:t>
      </w:r>
      <w:r>
        <w:t xml:space="preserve"> </w:t>
      </w:r>
      <w:r>
        <w:t xml:space="preserve">independently generated draws across runs. For the homogeneous configuration,</w:t>
      </w:r>
      <w:r>
        <w:t xml:space="preserve"> </w:t>
      </w:r>
      <w:r>
        <w:t xml:space="preserve">these quantities should be approximately equal when all five agents are sampled</w:t>
      </w:r>
      <w:r>
        <w:t xml:space="preserve"> </w:t>
      </w:r>
      <w:r>
        <w:t xml:space="preserve">independently. A materially positive within-run minus cross-run gap would</w:t>
      </w:r>
      <w:r>
        <w:t xml:space="preserve"> </w:t>
      </w:r>
      <w:r>
        <w:t xml:space="preserve">indicate that shared seeds or another common sampling condition is artificially</w:t>
      </w:r>
      <w:r>
        <w:t xml:space="preserve"> </w:t>
      </w:r>
      <w:r>
        <w:t xml:space="preserve">increasing measured agreement. For heterogeneous configurations, the cross-run</w:t>
      </w:r>
      <w:r>
        <w:t xml:space="preserve"> </w:t>
      </w:r>
      <w:r>
        <w:t xml:space="preserve">calculation also introduces additional same-model replicate pairs and is</w:t>
      </w:r>
      <w:r>
        <w:t xml:space="preserve"> </w:t>
      </w:r>
      <w:r>
        <w:t xml:space="preserve">therefore interpreted as a secondary consistency check rather than a direct</w:t>
      </w:r>
      <w:r>
        <w:t xml:space="preserve"> </w:t>
      </w:r>
      <w:r>
        <w:t xml:space="preserve">independence test.</w:t>
      </w:r>
    </w:p>
    <w:bookmarkEnd w:id="20"/>
    <w:bookmarkStart w:id="21" w:name="uncertainty-quantification"/>
    <w:p>
      <w:pPr>
        <w:pStyle w:val="Heading2"/>
      </w:pPr>
      <w:r>
        <w:t xml:space="preserve">Uncertainty quantification</w:t>
      </w:r>
    </w:p>
    <w:p>
      <w:pPr>
        <w:pStyle w:val="FirstParagraph"/>
      </w:pPr>
      <w:r>
        <w:t xml:space="preserve">Uncertainty in the agreement contrasts is estimated using a cluster bootstrap</w:t>
      </w:r>
      <w:r>
        <w:t xml:space="preserve"> </w:t>
      </w:r>
      <w:r>
        <w:t xml:space="preserve">with equities as the resampling unit </w:t>
      </w:r>
      <w:r>
        <w:t xml:space="preserve">(Efron and Tibshirani 1993)</w:t>
      </w:r>
      <w:r>
        <w:t xml:space="preserve">. Clustering at the equity</w:t>
      </w:r>
      <w:r>
        <w:t xml:space="preserve"> </w:t>
      </w:r>
      <w:r>
        <w:t xml:space="preserve">level preserves the dependence among repeated analysis dates for the same</w:t>
      </w:r>
      <w:r>
        <w:t xml:space="preserve"> </w:t>
      </w:r>
      <w:r>
        <w:t xml:space="preserve">security while allowing variation across securities to determine the confidence</w:t>
      </w:r>
      <w:r>
        <w:t xml:space="preserve"> </w:t>
      </w:r>
      <w:r>
        <w:t xml:space="preserve">interval. For each of 2</w:t>
      </w:r>
      <w:r>
        <w:t xml:space="preserve">,</w:t>
      </w:r>
      <w:r>
        <w:t xml:space="preserve">000 bootstrap replications, equities are sampled with</w:t>
      </w:r>
      <w:r>
        <w:t xml:space="preserve"> </w:t>
      </w:r>
      <w:r>
        <w:t xml:space="preserve">replacement, all associated dates and agent responses are retained, and the</w:t>
      </w:r>
      <w:r>
        <w:t xml:space="preserve"> </w:t>
      </w:r>
      <w:r>
        <w:t xml:space="preserve">configuration-level agreement statistics and contrasts are recomputed. We use</w:t>
      </w:r>
      <w:r>
        <w:t xml:space="preserve"> </w:t>
      </w:r>
      <w:r>
        <w:t xml:space="preserve">the percentile method with a fixed random-number-generator seed of 42 to</w:t>
      </w:r>
      <w:r>
        <w:t xml:space="preserve"> </w:t>
      </w:r>
      <w:r>
        <w:t xml:space="preserve">construct 95% confidence intervals (CIs). Under the pre-registered decision</w:t>
      </w:r>
      <w:r>
        <w:t xml:space="preserve"> </w:t>
      </w:r>
      <w:r>
        <w:t xml:space="preserve">rule, the</w:t>
      </w:r>
      <w:r>
        <w:t xml:space="preserve"> </w:t>
      </w:r>
      <w:r>
        <w:t xml:space="preserve">primary hypothesis is considered supported when</w:t>
      </w:r>
      <w:r>
        <w:t xml:space="preserve"> </w:t>
      </w:r>
      <m:oMath>
        <m:r>
          <m:rPr>
            <m:sty m:val="p"/>
          </m:rPr>
          <m:t>Δ</m:t>
        </m:r>
        <m:sSub>
          <m:e>
            <m:r>
              <m:t>κ</m:t>
            </m:r>
          </m:e>
          <m:sub>
            <m:r>
              <m:rPr>
                <m:sty m:val="p"/>
              </m:rPr>
              <m:t>H</m:t>
            </m:r>
            <m:r>
              <m:rPr>
                <m:sty m:val="p"/>
              </m:rPr>
              <m:t>O</m:t>
            </m:r>
            <m:r>
              <m:rPr>
                <m:sty m:val="p"/>
              </m:rPr>
              <m:t>M</m:t>
            </m:r>
            <m:r>
              <m:rPr>
                <m:sty m:val="p"/>
              </m:rPr>
              <m:t>−</m:t>
            </m:r>
            <m:r>
              <m:rPr>
                <m:sty m:val="p"/>
              </m:rPr>
              <m:t>H</m:t>
            </m:r>
            <m:r>
              <m:rPr>
                <m:sty m:val="p"/>
              </m:rPr>
              <m:t>E</m:t>
            </m:r>
            <m:r>
              <m:rPr>
                <m:sty m:val="p"/>
              </m:rPr>
              <m:t>T</m:t>
            </m:r>
          </m:sub>
        </m:sSub>
        <m:r>
          <m:rPr>
            <m:sty m:val="p"/>
          </m:rPr>
          <m:t>&gt;</m:t>
        </m:r>
        <m:r>
          <m:t>0</m:t>
        </m:r>
      </m:oMath>
      <w:r>
        <w:t xml:space="preserve"> </w:t>
      </w:r>
      <w:r>
        <w:t xml:space="preserve">and its 95% confidence interval excludes</w:t>
      </w:r>
      <w:r>
        <w:t xml:space="preserve"> </w:t>
      </w:r>
      <w:r>
        <w:t xml:space="preserve">zero.</w:t>
      </w:r>
    </w:p>
    <w:p>
      <w:pPr>
        <w:pStyle w:val="BodyText"/>
      </w:pPr>
      <w:r>
        <w:t xml:space="preserve">The equity is the pre-registered resampling unit because it is the level at which</w:t>
      </w:r>
      <w:r>
        <w:t xml:space="preserve"> </w:t>
      </w:r>
      <w:r>
        <w:t xml:space="preserve">repeated observations are nested: each security is evaluated on twelve analysis</w:t>
      </w:r>
      <w:r>
        <w:t xml:space="preserve"> </w:t>
      </w:r>
      <w:r>
        <w:t xml:space="preserve">dates, and responses for the same security share company-specific context. Dates</w:t>
      </w:r>
      <w:r>
        <w:t xml:space="preserve"> </w:t>
      </w:r>
      <w:r>
        <w:t xml:space="preserve">are a second, crossed source of dependence, since all securities on a given date</w:t>
      </w:r>
      <w:r>
        <w:t xml:space="preserve"> </w:t>
      </w:r>
      <w:r>
        <w:t xml:space="preserve">share market conditions. We therefore report the primary contrast under three</w:t>
      </w:r>
      <w:r>
        <w:t xml:space="preserve"> </w:t>
      </w:r>
      <w:r>
        <w:t xml:space="preserve">resampling schemes: clustering on equities (100 clusters), on dates (12 clusters),</w:t>
      </w:r>
      <w:r>
        <w:t xml:space="preserve"> </w:t>
      </w:r>
      <w:r>
        <w:t xml:space="preserve">and a two-way scheme in which equities and dates are resampled independently and</w:t>
      </w:r>
      <w:r>
        <w:t xml:space="preserve"> </w:t>
      </w:r>
      <w:r>
        <w:t xml:space="preserve">the intersection is retained. Results appear in</w:t>
      </w:r>
      <w:r>
        <w:t xml:space="preserve"> </w:t>
      </w:r>
      <w:r>
        <w:t xml:space="preserve">Table </w:t>
      </w:r>
      <w:hyperlink w:anchor="tab:clustering">
        <w:r>
          <w:rPr>
            <w:rStyle w:val="Hyperlink"/>
          </w:rPr>
          <w:t xml:space="preserve">5</w:t>
        </w:r>
      </w:hyperlink>
      <w:r>
        <w:t xml:space="preserve">. The point estimate is unchanged by construction; the</w:t>
      </w:r>
      <w:r>
        <w:t xml:space="preserve"> </w:t>
      </w:r>
      <w:r>
        <w:t xml:space="preserve">two-way interval is the widest, as expected when two crossed dependence</w:t>
      </w:r>
      <w:r>
        <w:t xml:space="preserve"> </w:t>
      </w:r>
      <w:r>
        <w:t xml:space="preserve">structures are admitted simultaneously, and still excludes zero. We note that the</w:t>
      </w:r>
      <w:r>
        <w:t xml:space="preserve"> </w:t>
      </w:r>
      <w:r>
        <w:t xml:space="preserve">date margin has only twelve clusters, a regime in which cluster-robust inference</w:t>
      </w:r>
      <w:r>
        <w:t xml:space="preserve"> </w:t>
      </w:r>
      <w:r>
        <w:t xml:space="preserve">is known to under-cover, so the equity-clustered interval remains the</w:t>
      </w:r>
      <w:r>
        <w:t xml:space="preserve"> </w:t>
      </w:r>
      <w:r>
        <w:t xml:space="preserve">pre-registered primary and the date and two-way intervals are reported as</w:t>
      </w:r>
      <w:r>
        <w:t xml:space="preserve"> </w:t>
      </w:r>
      <w:r>
        <w:t xml:space="preserve">sensitivity analyses rather than as replacements.</w:t>
      </w:r>
    </w:p>
    <w:bookmarkEnd w:id="21"/>
    <w:bookmarkEnd w:id="22"/>
    <w:bookmarkStart w:id="28" w:name="experimental-design"/>
    <w:p>
      <w:pPr>
        <w:pStyle w:val="Heading1"/>
      </w:pPr>
      <w:r>
        <w:t xml:space="preserve">Experimental Design</w:t>
      </w:r>
    </w:p>
    <w:bookmarkStart w:id="23" w:name="task-and-grid"/>
    <w:p>
      <w:pPr>
        <w:pStyle w:val="Heading2"/>
      </w:pPr>
      <w:r>
        <w:t xml:space="preserve">Task and grid</w:t>
      </w:r>
    </w:p>
    <w:p>
      <w:pPr>
        <w:pStyle w:val="FirstParagraph"/>
      </w:pPr>
      <w:r>
        <w:t xml:space="preserve">For each evaluation cell</w:t>
      </w:r>
      <w:r>
        <w:t xml:space="preserve"> </w:t>
      </w:r>
      <m:oMath>
        <m:r>
          <m:t>s</m:t>
        </m:r>
        <m:r>
          <m:rPr>
            <m:sty m:val="p"/>
          </m:rPr>
          <m:t>=</m:t>
        </m:r>
        <m:r>
          <m:rPr>
            <m:sty m:val="p"/>
          </m:rPr>
          <m:t>(</m:t>
        </m:r>
        <m:r>
          <m:t>j</m:t>
        </m:r>
        <m:r>
          <m:rPr>
            <m:sty m:val="p"/>
          </m:rPr>
          <m:t>,</m:t>
        </m:r>
        <m:r>
          <m:t>t</m:t>
        </m:r>
        <m:r>
          <m:rPr>
            <m:sty m:val="p"/>
          </m:rPr>
          <m:t>)</m:t>
        </m:r>
      </m:oMath>
      <w:r>
        <w:t xml:space="preserve">, where</w:t>
      </w:r>
      <w:r>
        <w:t xml:space="preserve"> </w:t>
      </w:r>
      <m:oMath>
        <m:r>
          <m:t>j</m:t>
        </m:r>
      </m:oMath>
      <w:r>
        <w:t xml:space="preserve"> </w:t>
      </w:r>
      <w:r>
        <w:t xml:space="preserve">denotes an equity and</w:t>
      </w:r>
      <w:r>
        <w:t xml:space="preserve"> </w:t>
      </w:r>
      <m:oMath>
        <m:r>
          <m:t>t</m:t>
        </m:r>
      </m:oMath>
      <w:r>
        <w:t xml:space="preserve"> </w:t>
      </w:r>
      <w:r>
        <w:t xml:space="preserve">denotes</w:t>
      </w:r>
      <w:r>
        <w:t xml:space="preserve"> </w:t>
      </w:r>
      <w:r>
        <w:t xml:space="preserve">an analysis date, every agent receives the same dated information set and</w:t>
      </w:r>
      <w:r>
        <w:t xml:space="preserve"> </w:t>
      </w:r>
      <w:r>
        <w:t xml:space="preserve">independently returns a response conforming to the following JavaScript Object</w:t>
      </w:r>
      <w:r>
        <w:t xml:space="preserve"> </w:t>
      </w:r>
      <w:r>
        <w:t xml:space="preserve">Notation (JSON) schema:</w:t>
      </w:r>
    </w:p>
    <w:p>
      <w:pPr>
        <w:pStyle w:val="SourceCode"/>
      </w:pPr>
      <w:r>
        <w:rPr>
          <w:rStyle w:val="VerbatimChar"/>
        </w:rPr>
        <w:t xml:space="preserve">{</w:t>
      </w:r>
      <w:r>
        <w:br/>
      </w:r>
      <w:r>
        <w:rPr>
          <w:rStyle w:val="VerbatimChar"/>
        </w:rPr>
        <w:t xml:space="preserve">  "direction":  "BUY | HOLD | SELL",</w:t>
      </w:r>
      <w:r>
        <w:br/>
      </w:r>
      <w:r>
        <w:rPr>
          <w:rStyle w:val="VerbatimChar"/>
        </w:rPr>
        <w:t xml:space="preserve">  "conviction": &lt;integer 1-5&gt;,</w:t>
      </w:r>
      <w:r>
        <w:br/>
      </w:r>
      <w:r>
        <w:rPr>
          <w:rStyle w:val="VerbatimChar"/>
        </w:rPr>
        <w:t xml:space="preserve">  "rationale":  "&lt;free-text explanation&gt;"</w:t>
      </w:r>
      <w:r>
        <w:br/>
      </w:r>
      <w:r>
        <w:rPr>
          <w:rStyle w:val="VerbatimChar"/>
        </w:rPr>
        <w:t xml:space="preserve">}</w:t>
      </w:r>
    </w:p>
    <w:p>
      <w:pPr>
        <w:pStyle w:val="FirstParagraph"/>
      </w:pPr>
      <w:r>
        <w:t xml:space="preserve">The</w:t>
      </w:r>
      <w:r>
        <w:t xml:space="preserve"> </w:t>
      </w:r>
      <w:r>
        <w:rPr>
          <w:rStyle w:val="VerbatimChar"/>
        </w:rPr>
        <w:t xml:space="preserve">direction</w:t>
      </w:r>
      <w:r>
        <w:t xml:space="preserve"> </w:t>
      </w:r>
      <w:r>
        <w:t xml:space="preserve">field constitutes the categorical output used in the</w:t>
      </w:r>
      <w:r>
        <w:t xml:space="preserve"> </w:t>
      </w:r>
      <w:r>
        <w:t xml:space="preserve">primary agreement analysis. The</w:t>
      </w:r>
      <w:r>
        <w:t xml:space="preserve"> </w:t>
      </w:r>
      <w:r>
        <w:rPr>
          <w:rStyle w:val="VerbatimChar"/>
        </w:rPr>
        <w:t xml:space="preserve">conviction</w:t>
      </w:r>
      <w:r>
        <w:t xml:space="preserve"> </w:t>
      </w:r>
      <w:r>
        <w:t xml:space="preserve">field is an integer from 1</w:t>
      </w:r>
      <w:r>
        <w:t xml:space="preserve"> </w:t>
      </w:r>
      <w:r>
        <w:t xml:space="preserve">to 5, and the</w:t>
      </w:r>
      <w:r>
        <w:t xml:space="preserve"> </w:t>
      </w:r>
      <w:r>
        <w:rPr>
          <w:rStyle w:val="VerbatimChar"/>
        </w:rPr>
        <w:t xml:space="preserve">conviction</w:t>
      </w:r>
      <w:r>
        <w:t xml:space="preserve"> </w:t>
      </w:r>
      <w:r>
        <w:t xml:space="preserve">and</w:t>
      </w:r>
      <w:r>
        <w:t xml:space="preserve"> </w:t>
      </w:r>
      <w:r>
        <w:rPr>
          <w:rStyle w:val="VerbatimChar"/>
        </w:rPr>
        <w:t xml:space="preserve">rationale</w:t>
      </w:r>
      <w:r>
        <w:t xml:space="preserve"> </w:t>
      </w:r>
      <w:r>
        <w:t xml:space="preserve">fields are retained for</w:t>
      </w:r>
      <w:r>
        <w:t xml:space="preserve"> </w:t>
      </w:r>
      <w:r>
        <w:t xml:space="preserve">secondary and exploratory analyses. The complete prompt template and response</w:t>
      </w:r>
      <w:r>
        <w:t xml:space="preserve"> </w:t>
      </w:r>
      <w:r>
        <w:t xml:space="preserve">schema are frozen and included in the reproducibility package.</w:t>
      </w:r>
    </w:p>
    <w:p>
      <w:pPr>
        <w:pStyle w:val="BodyText"/>
      </w:pPr>
      <w:r>
        <w:t xml:space="preserve">Each response is parsed as strict JSON against this schema. A response that</w:t>
      </w:r>
      <w:r>
        <w:t xml:space="preserve"> </w:t>
      </w:r>
      <w:r>
        <w:t xml:space="preserve">fails to parse, omits a required field, or returns a direction outside</w:t>
      </w:r>
      <w:r>
        <w:t xml:space="preserve"> </w:t>
      </w:r>
      <m:oMath>
        <m:r>
          <m:rPr>
            <m:sty m:val="p"/>
          </m:rPr>
          <m:t>{</m:t>
        </m:r>
        <m:r>
          <m:rPr>
            <m:sty m:val="p"/>
          </m:rPr>
          <m:t>B</m:t>
        </m:r>
        <m:r>
          <m:rPr>
            <m:sty m:val="p"/>
          </m:rPr>
          <m:t>U</m:t>
        </m:r>
        <m:r>
          <m:rPr>
            <m:sty m:val="p"/>
          </m:rPr>
          <m:t>Y</m:t>
        </m:r>
        <m:r>
          <m:rPr>
            <m:sty m:val="p"/>
          </m:rPr>
          <m:t>,</m:t>
        </m:r>
        <m:r>
          <m:rPr>
            <m:sty m:val="p"/>
          </m:rPr>
          <m:t>H</m:t>
        </m:r>
        <m:r>
          <m:rPr>
            <m:sty m:val="p"/>
          </m:rPr>
          <m:t>O</m:t>
        </m:r>
        <m:r>
          <m:rPr>
            <m:sty m:val="p"/>
          </m:rPr>
          <m:t>L</m:t>
        </m:r>
        <m:r>
          <m:rPr>
            <m:sty m:val="p"/>
          </m:rPr>
          <m:t>D</m:t>
        </m:r>
        <m:r>
          <m:rPr>
            <m:sty m:val="p"/>
          </m:rPr>
          <m:t>,</m:t>
        </m:r>
        <m:r>
          <m:rPr>
            <m:sty m:val="p"/>
          </m:rPr>
          <m:t>S</m:t>
        </m:r>
        <m:r>
          <m:rPr>
            <m:sty m:val="p"/>
          </m:rPr>
          <m:t>E</m:t>
        </m:r>
        <m:r>
          <m:rPr>
            <m:sty m:val="p"/>
          </m:rPr>
          <m:t>L</m:t>
        </m:r>
        <m:r>
          <m:rPr>
            <m:sty m:val="p"/>
          </m:rPr>
          <m:t>L</m:t>
        </m:r>
        <m:r>
          <m:rPr>
            <m:sty m:val="p"/>
          </m:rPr>
          <m:t>}</m:t>
        </m:r>
      </m:oMath>
      <w:r>
        <w:t xml:space="preserve"> </w:t>
      </w:r>
      <w:r>
        <w:t xml:space="preserve">is treated as invalid and</w:t>
      </w:r>
      <w:r>
        <w:t xml:space="preserve"> </w:t>
      </w:r>
      <w:r>
        <w:t xml:space="preserve">reissued with the same per-agent seed, up to a pre-registered maximum of five</w:t>
      </w:r>
      <w:r>
        <w:t xml:space="preserve"> </w:t>
      </w:r>
      <w:r>
        <w:t xml:space="preserve">retries, with every attempt logged. Calls interrupted by provider daily-quota</w:t>
      </w:r>
      <w:r>
        <w:t xml:space="preserve"> </w:t>
      </w:r>
      <w:r>
        <w:t xml:space="preserve">limits were deferred and re-issued after the quota reset under the same seeds. A</w:t>
      </w:r>
      <w:r>
        <w:t xml:space="preserve"> </w:t>
      </w:r>
      <w:r>
        <w:t xml:space="preserve">cell that remained invalid after the retry budget would have been handled under</w:t>
      </w:r>
      <w:r>
        <w:t xml:space="preserve"> </w:t>
      </w:r>
      <w:r>
        <w:t xml:space="preserve">the pre-registered exclusion rule; in the confirmatory dataset, all 54</w:t>
      </w:r>
      <w:r>
        <w:t xml:space="preserve">,</w:t>
      </w:r>
      <w:r>
        <w:t xml:space="preserve">000</w:t>
      </w:r>
      <w:r>
        <w:t xml:space="preserve"> </w:t>
      </w:r>
      <w:r>
        <w:t xml:space="preserve">grid cells ultimately returned schema-valid responses, so no cells were</w:t>
      </w:r>
      <w:r>
        <w:t xml:space="preserve"> </w:t>
      </w:r>
      <w:r>
        <w:t xml:space="preserve">excluded. The complete attempt history, including failed and deferred calls, is</w:t>
      </w:r>
      <w:r>
        <w:t xml:space="preserve"> </w:t>
      </w:r>
      <w:r>
        <w:t xml:space="preserve">preserved in the released log.</w:t>
      </w:r>
    </w:p>
    <w:p>
      <w:pPr>
        <w:pStyle w:val="BodyText"/>
      </w:pPr>
      <w:r>
        <w:t xml:space="preserve">The experiment covers 100 large-cap equities distributed across all 11 Global</w:t>
      </w:r>
      <w:r>
        <w:t xml:space="preserve"> </w:t>
      </w:r>
      <w:r>
        <w:t xml:space="preserve">Industry Classification Standard sectors and 12 analysis dates in 2026. For</w:t>
      </w:r>
      <w:r>
        <w:t xml:space="preserve"> </w:t>
      </w:r>
      <w:r>
        <w:t xml:space="preserve">each equity-date pair, responses are generated under three ensemble</w:t>
      </w:r>
      <w:r>
        <w:t xml:space="preserve"> </w:t>
      </w:r>
      <w:r>
        <w:t xml:space="preserve">configurations, three independent runs, and five agents per ensemble. The</w:t>
      </w:r>
      <w:r>
        <w:t xml:space="preserve"> </w:t>
      </w:r>
      <w:r>
        <w:t xml:space="preserve">complete design therefore contains</w:t>
      </w:r>
      <w:r>
        <w:t xml:space="preserve"> </w:t>
      </w:r>
      <m:oMath>
        <m:r>
          <m:t>100</m:t>
        </m:r>
        <m:r>
          <m:rPr>
            <m:sty m:val="p"/>
          </m:rPr>
          <m:t>×</m:t>
        </m:r>
        <m:r>
          <m:t>12</m:t>
        </m:r>
        <m:r>
          <m:rPr>
            <m:sty m:val="p"/>
          </m:rPr>
          <m:t>×</m:t>
        </m:r>
        <m:r>
          <m:t>3</m:t>
        </m:r>
        <m:r>
          <m:rPr>
            <m:sty m:val="p"/>
          </m:rPr>
          <m:t>×</m:t>
        </m:r>
        <m:r>
          <m:t>3</m:t>
        </m:r>
        <m:r>
          <m:rPr>
            <m:sty m:val="p"/>
          </m:rPr>
          <m:t>×</m:t>
        </m:r>
        <m:r>
          <m:t>5</m:t>
        </m:r>
        <m:r>
          <m:rPr>
            <m:sty m:val="p"/>
          </m:rPr>
          <m:t>=</m:t>
        </m:r>
        <m:r>
          <m:t>54</m:t>
        </m:r>
        <m:r>
          <m:rPr>
            <m:sty m:val="p"/>
          </m:rPr>
          <m:t>,</m:t>
        </m:r>
        <m:r>
          <m:t>000</m:t>
        </m:r>
      </m:oMath>
      <w:r>
        <w:t xml:space="preserve"> </w:t>
      </w:r>
      <w:r>
        <w:t xml:space="preserve">individual model calls.</w:t>
      </w:r>
    </w:p>
    <w:p>
      <w:pPr>
        <w:pStyle w:val="BodyText"/>
      </w:pPr>
      <w:r>
        <w:t xml:space="preserve">The dates are selected to reduce the possibility that model responses rely on</w:t>
      </w:r>
      <w:r>
        <w:t xml:space="preserve"> </w:t>
      </w:r>
      <w:r>
        <w:t xml:space="preserve">memorized post-event information and to ensure that the 20-trading-day</w:t>
      </w:r>
      <w:r>
        <w:t xml:space="preserve"> </w:t>
      </w:r>
      <w:r>
        <w:t xml:space="preserve">forward-return window used in the secondary accuracy analysis has fully elapsed.</w:t>
      </w:r>
      <w:r>
        <w:t xml:space="preserve"> </w:t>
      </w:r>
      <w:r>
        <w:t xml:space="preserve">They are also chosen to span distinct 2026 market conditions. The equity</w:t>
      </w:r>
      <w:r>
        <w:t xml:space="preserve"> </w:t>
      </w:r>
      <w:r>
        <w:t xml:space="preserve">universe, sector allocation, inclusion criteria, and complete ticker list are</w:t>
      </w:r>
      <w:r>
        <w:t xml:space="preserve"> </w:t>
      </w:r>
      <w:r>
        <w:t xml:space="preserve">reported in the supplementary materials.</w:t>
      </w:r>
    </w:p>
    <w:bookmarkEnd w:id="23"/>
    <w:bookmarkStart w:id="24" w:name="no-lookahead-context"/>
    <w:p>
      <w:pPr>
        <w:pStyle w:val="Heading2"/>
      </w:pPr>
      <w:r>
        <w:t xml:space="preserve">No-lookahead context</w:t>
      </w:r>
    </w:p>
    <w:p>
      <w:pPr>
        <w:pStyle w:val="FirstParagraph"/>
      </w:pPr>
      <w:r>
        <w:t xml:space="preserve">Each agent receives a price-derived information set constructed solely from</w:t>
      </w:r>
      <w:r>
        <w:t xml:space="preserve"> </w:t>
      </w:r>
      <w:r>
        <w:t xml:space="preserve">observations available through the trading day immediately preceding the</w:t>
      </w:r>
      <w:r>
        <w:t xml:space="preserve"> </w:t>
      </w:r>
      <w:r>
        <w:t xml:space="preserve">corresponding analysis date. For every equity-date cell, the context contains</w:t>
      </w:r>
      <w:r>
        <w:t xml:space="preserve"> </w:t>
      </w:r>
      <w:r>
        <w:t xml:space="preserve">the trailing one-week return, the trailing one-month return, the trailing</w:t>
      </w:r>
      <w:r>
        <w:t xml:space="preserve"> </w:t>
      </w:r>
      <w:r>
        <w:t xml:space="preserve">three-month return, the 21-trading-day realized volatility, and the security’s</w:t>
      </w:r>
      <w:r>
        <w:t xml:space="preserve"> </w:t>
      </w:r>
      <w:r>
        <w:t xml:space="preserve">position within its trailing 63-trading-day price range. No observations from</w:t>
      </w:r>
      <w:r>
        <w:t xml:space="preserve"> </w:t>
      </w:r>
      <w:r>
        <w:t xml:space="preserve">the analysis date or any subsequent date are included in the agent prompt. The</w:t>
      </w:r>
      <w:r>
        <w:t xml:space="preserve"> </w:t>
      </w:r>
      <w:r>
        <w:t xml:space="preserve">same information set is supplied to all agents evaluating a given cell, ensuring</w:t>
      </w:r>
      <w:r>
        <w:t xml:space="preserve"> </w:t>
      </w:r>
      <w:r>
        <w:t xml:space="preserve">that differences in responses arise from model behavior rather than differences</w:t>
      </w:r>
      <w:r>
        <w:t xml:space="preserve"> </w:t>
      </w:r>
      <w:r>
        <w:t xml:space="preserve">in the available inputs.</w:t>
      </w:r>
    </w:p>
    <w:p>
      <w:pPr>
        <w:pStyle w:val="BodyText"/>
      </w:pPr>
      <w:r>
        <w:t xml:space="preserve">For exact replication, the return horizons are defined in trading days. For</w:t>
      </w:r>
      <w:r>
        <w:t xml:space="preserve"> </w:t>
      </w:r>
      <w:r>
        <w:t xml:space="preserve">example, the range-position feature is computed as</w:t>
      </w:r>
    </w:p>
    <w:p>
      <w:pPr>
        <w:pStyle w:val="BodyText"/>
      </w:pPr>
      <m:oMathPara>
        <m:oMathParaPr>
          <m:jc m:val="center"/>
        </m:oMathParaPr>
        <m:oMath>
          <m:sSub>
            <m:e>
              <m:r>
                <m:rPr>
                  <m:sty m:val="p"/>
                </m:rPr>
                <m:t>R</m:t>
              </m:r>
              <m:r>
                <m:rPr>
                  <m:sty m:val="p"/>
                </m:rPr>
                <m:t>a</m:t>
              </m:r>
              <m:r>
                <m:rPr>
                  <m:sty m:val="p"/>
                </m:rPr>
                <m:t>n</m:t>
              </m:r>
              <m:r>
                <m:rPr>
                  <m:sty m:val="p"/>
                </m:rPr>
                <m:t>g</m:t>
              </m:r>
              <m:r>
                <m:rPr>
                  <m:sty m:val="p"/>
                </m:rPr>
                <m:t>e</m:t>
              </m:r>
              <m:r>
                <m:rPr>
                  <m:sty m:val="p"/>
                </m:rPr>
                <m:t>P</m:t>
              </m:r>
              <m:r>
                <m:rPr>
                  <m:sty m:val="p"/>
                </m:rPr>
                <m:t>o</m:t>
              </m:r>
              <m:r>
                <m:rPr>
                  <m:sty m:val="p"/>
                </m:rPr>
                <m:t>s</m:t>
              </m:r>
            </m:e>
            <m:sub>
              <m:r>
                <m:t>j</m:t>
              </m:r>
              <m:r>
                <m:rPr>
                  <m:sty m:val="p"/>
                </m:rPr>
                <m:t>,</m:t>
              </m:r>
              <m:r>
                <m:t>t</m:t>
              </m:r>
            </m:sub>
          </m:sSub>
          <m:r>
            <m:rPr>
              <m:sty m:val="p"/>
            </m:rPr>
            <m:t>=</m:t>
          </m:r>
          <m:f>
            <m:fPr>
              <m:type m:val="bar"/>
            </m:fPr>
            <m:num>
              <m:sSub>
                <m:e>
                  <m:r>
                    <m:t>P</m:t>
                  </m:r>
                </m:e>
                <m:sub>
                  <m:r>
                    <m:t>j</m:t>
                  </m:r>
                  <m:r>
                    <m:rPr>
                      <m:sty m:val="p"/>
                    </m:rPr>
                    <m:t>,</m:t>
                  </m:r>
                  <m:r>
                    <m:t>t</m:t>
                  </m:r>
                  <m:r>
                    <m:rPr>
                      <m:sty m:val="p"/>
                    </m:rPr>
                    <m:t>−</m:t>
                  </m:r>
                  <m:r>
                    <m:t>1</m:t>
                  </m:r>
                </m:sub>
              </m:sSub>
              <m:r>
                <m:rPr>
                  <m:sty m:val="p"/>
                </m:rPr>
                <m:t>−</m:t>
              </m:r>
              <m:limLow>
                <m:e>
                  <m:r>
                    <m:rPr>
                      <m:sty m:val="p"/>
                    </m:rPr>
                    <m:t>min</m:t>
                  </m:r>
                </m:e>
                <m:lim>
                  <m:r>
                    <m:t>τ</m:t>
                  </m:r>
                  <m:r>
                    <m:rPr>
                      <m:sty m:val="p"/>
                    </m:rPr>
                    <m:t>∈</m:t>
                  </m:r>
                  <m:sSub>
                    <m:e>
                      <m:r>
                        <m:t>W</m:t>
                      </m:r>
                    </m:e>
                    <m:sub>
                      <m:r>
                        <m:t>63</m:t>
                      </m:r>
                    </m:sub>
                  </m:sSub>
                </m:lim>
              </m:limLow>
              <m:sSub>
                <m:e>
                  <m:r>
                    <m:t>P</m:t>
                  </m:r>
                </m:e>
                <m:sub>
                  <m:r>
                    <m:t>j</m:t>
                  </m:r>
                  <m:r>
                    <m:rPr>
                      <m:sty m:val="p"/>
                    </m:rPr>
                    <m:t>,</m:t>
                  </m:r>
                  <m:r>
                    <m:t>τ</m:t>
                  </m:r>
                </m:sub>
              </m:sSub>
            </m:num>
            <m:den>
              <m:limLow>
                <m:e>
                  <m:r>
                    <m:rPr>
                      <m:sty m:val="p"/>
                    </m:rPr>
                    <m:t>max</m:t>
                  </m:r>
                </m:e>
                <m:lim>
                  <m:r>
                    <m:t>τ</m:t>
                  </m:r>
                  <m:r>
                    <m:rPr>
                      <m:sty m:val="p"/>
                    </m:rPr>
                    <m:t>∈</m:t>
                  </m:r>
                  <m:sSub>
                    <m:e>
                      <m:r>
                        <m:t>W</m:t>
                      </m:r>
                    </m:e>
                    <m:sub>
                      <m:r>
                        <m:t>63</m:t>
                      </m:r>
                    </m:sub>
                  </m:sSub>
                </m:lim>
              </m:limLow>
              <m:sSub>
                <m:e>
                  <m:r>
                    <m:t>P</m:t>
                  </m:r>
                </m:e>
                <m:sub>
                  <m:r>
                    <m:t>j</m:t>
                  </m:r>
                  <m:r>
                    <m:rPr>
                      <m:sty m:val="p"/>
                    </m:rPr>
                    <m:t>,</m:t>
                  </m:r>
                  <m:r>
                    <m:t>τ</m:t>
                  </m:r>
                </m:sub>
              </m:sSub>
              <m:r>
                <m:rPr>
                  <m:sty m:val="p"/>
                </m:rPr>
                <m:t>−</m:t>
              </m:r>
              <m:limLow>
                <m:e>
                  <m:r>
                    <m:rPr>
                      <m:sty m:val="p"/>
                    </m:rPr>
                    <m:t>min</m:t>
                  </m:r>
                </m:e>
                <m:lim>
                  <m:r>
                    <m:t>τ</m:t>
                  </m:r>
                  <m:r>
                    <m:rPr>
                      <m:sty m:val="p"/>
                    </m:rPr>
                    <m:t>∈</m:t>
                  </m:r>
                  <m:sSub>
                    <m:e>
                      <m:r>
                        <m:t>W</m:t>
                      </m:r>
                    </m:e>
                    <m:sub>
                      <m:r>
                        <m:t>63</m:t>
                      </m:r>
                    </m:sub>
                  </m:sSub>
                </m:lim>
              </m:limLow>
              <m:sSub>
                <m:e>
                  <m:r>
                    <m:t>P</m:t>
                  </m:r>
                </m:e>
                <m:sub>
                  <m:r>
                    <m:t>j</m:t>
                  </m:r>
                  <m:r>
                    <m:rPr>
                      <m:sty m:val="p"/>
                    </m:rPr>
                    <m:t>,</m:t>
                  </m:r>
                  <m:r>
                    <m:t>τ</m:t>
                  </m:r>
                </m:sub>
              </m:sSub>
            </m:den>
          </m:f>
          <m:r>
            <m:rPr>
              <m:sty m:val="p"/>
            </m:rPr>
            <m:t>,</m:t>
          </m:r>
        </m:oMath>
      </m:oMathPara>
    </w:p>
    <w:p>
      <w:pPr>
        <w:pStyle w:val="FirstParagraph"/>
      </w:pPr>
      <w:r>
        <w:t xml:space="preserve">where</w:t>
      </w:r>
      <w:r>
        <w:t xml:space="preserve"> </w:t>
      </w:r>
      <m:oMath>
        <m:sSub>
          <m:e>
            <m:r>
              <m:t>W</m:t>
            </m:r>
          </m:e>
          <m:sub>
            <m:r>
              <m:t>63</m:t>
            </m:r>
          </m:sub>
        </m:sSub>
      </m:oMath>
      <w:r>
        <w:t xml:space="preserve"> </w:t>
      </w:r>
      <w:r>
        <w:t xml:space="preserve">denotes the preceding 63-trading-day window. End-of-day prices</w:t>
      </w:r>
      <w:r>
        <w:t xml:space="preserve"> </w:t>
      </w:r>
      <w:r>
        <w:t xml:space="preserve">are obtained from a single market-data vendor (Financial Modeling Prep), fetched</w:t>
      </w:r>
      <w:r>
        <w:t xml:space="preserve"> </w:t>
      </w:r>
      <w:r>
        <w:t xml:space="preserve">once, and frozen in the released cache; realized volatility is computed over the</w:t>
      </w:r>
      <w:r>
        <w:t xml:space="preserve"> </w:t>
      </w:r>
      <w:r>
        <w:t xml:space="preserve">trailing 21-trading-day window, and the treatment of missing observations is</w:t>
      </w:r>
      <w:r>
        <w:t xml:space="preserve"> </w:t>
      </w:r>
      <w:r>
        <w:t xml:space="preserve">specified in the supplementary materials. Data provenance and the exact</w:t>
      </w:r>
      <w:r>
        <w:t xml:space="preserve"> </w:t>
      </w:r>
      <w:r>
        <w:t xml:space="preserve">information supplied to each model call are recorded in the experimental logs.</w:t>
      </w:r>
    </w:p>
    <w:bookmarkEnd w:id="24"/>
    <w:bookmarkStart w:id="26" w:name="models"/>
    <w:p>
      <w:pPr>
        <w:pStyle w:val="Heading2"/>
      </w:pPr>
      <w:r>
        <w:t xml:space="preserve">Models</w:t>
      </w:r>
    </w:p>
    <w:p>
      <w:pPr>
        <w:pStyle w:val="FirstParagraph"/>
      </w:pPr>
      <w:r>
        <w:t xml:space="preserve">All model calls are executed using a sampling temperature of 0.7. Exact provider</w:t>
      </w:r>
      <w:r>
        <w:t xml:space="preserve"> </w:t>
      </w:r>
      <w:r>
        <w:t xml:space="preserve">and model identifiers are fixed for the duration of data collection and reported</w:t>
      </w:r>
      <w:r>
        <w:t xml:space="preserve"> </w:t>
      </w:r>
      <w:r>
        <w:t xml:space="preserve">in Table </w:t>
      </w:r>
      <w:hyperlink w:anchor="tab:models">
        <w:r>
          <w:rPr>
            <w:rStyle w:val="Hyperlink"/>
          </w:rPr>
          <w:t xml:space="preserve">1</w:t>
        </w:r>
      </w:hyperlink>
      <w:r>
        <w:t xml:space="preserve">, together with their roles in each ensemble</w:t>
      </w:r>
      <w:r>
        <w:t xml:space="preserve"> </w:t>
      </w:r>
      <w:r>
        <w:t xml:space="preserve">configuration and the input- and output-token prices applicable during the</w:t>
      </w:r>
      <w:r>
        <w:t xml:space="preserve"> </w:t>
      </w:r>
      <w:r>
        <w:t xml:space="preserve">experiment. Each agent response is generated through a separate API request</w:t>
      </w:r>
      <w:r>
        <w:t xml:space="preserve"> </w:t>
      </w:r>
      <w:r>
        <w:t xml:space="preserve">under the independent-sampling protocol described in</w:t>
      </w:r>
      <w:r>
        <w:t xml:space="preserve"> </w:t>
      </w:r>
      <w:r>
        <w:t xml:space="preserve">Section </w:t>
      </w:r>
      <w:hyperlink w:anchor="sec:estimand">
        <w:r>
          <w:rPr>
            <w:rStyle w:val="Hyperlink"/>
          </w:rPr>
          <w:t xml:space="preserve">[sec:estimand]</w:t>
        </w:r>
      </w:hyperlink>
      <w:r>
        <w:t xml:space="preserve">. Apart from the model and provider assignments</w:t>
      </w:r>
      <w:r>
        <w:t xml:space="preserve"> </w:t>
      </w:r>
      <w:r>
        <w:t xml:space="preserve">defined by the ensemble configuration, agents evaluating the same cell receive</w:t>
      </w:r>
      <w:r>
        <w:t xml:space="preserve"> </w:t>
      </w:r>
      <w:r>
        <w:t xml:space="preserve">identical prompts and inference settings.</w:t>
      </w:r>
    </w:p>
    <w:p>
      <w:pPr>
        <w:pStyle w:val="BodyText"/>
      </w:pPr>
      <w:r>
        <w:t xml:space="preserve">Because proprietary model endpoints may be modified or replaced by their</w:t>
      </w:r>
      <w:r>
        <w:t xml:space="preserve"> </w:t>
      </w:r>
      <w:r>
        <w:t xml:space="preserve">providers, the archived call-level dataset constitutes the empirical record of</w:t>
      </w:r>
      <w:r>
        <w:t xml:space="preserve"> </w:t>
      </w:r>
      <w:r>
        <w:t xml:space="preserve">the experiment. The conclusions therefore apply to the responses generated by</w:t>
      </w:r>
      <w:r>
        <w:t xml:space="preserve"> </w:t>
      </w:r>
      <w:r>
        <w:t xml:space="preserve">the specified endpoints during the reported collection period rather than to</w:t>
      </w:r>
      <w:r>
        <w:t xml:space="preserve"> </w:t>
      </w:r>
      <w:r>
        <w:t xml:space="preserve">future versions carrying similar product names. To support replication and</w:t>
      </w:r>
      <w:r>
        <w:t xml:space="preserve"> </w:t>
      </w:r>
      <w:r>
        <w:t xml:space="preserve">auditability, the experimental log records the model identifier, provider,</w:t>
      </w:r>
      <w:r>
        <w:t xml:space="preserve"> </w:t>
      </w:r>
      <w:r>
        <w:t xml:space="preserve">timestamp, seed, prompt hash, token usage, cost, and raw response for every</w:t>
      </w:r>
      <w:r>
        <w:t xml:space="preserve"> </w:t>
      </w:r>
      <w:r>
        <w:t xml:space="preserve">call.</w:t>
      </w:r>
    </w:p>
    <w:bookmarkStart w:id="25" w:name="tab:endpoints"/>
    <w:p>
      <w:pPr>
        <w:pStyle w:val="TableCaption"/>
      </w:pPr>
      <w:r>
        <w:t xml:space="preserve">Primary and secondary</w:t>
      </w:r>
      <w:r>
        <w:t xml:space="preserve"> </w:t>
      </w:r>
      <m:oMath>
        <m:r>
          <m:rPr>
            <m:sty m:val="p"/>
          </m:rPr>
          <m:t>Δ</m:t>
        </m:r>
        <m:r>
          <m:t>κ</m:t>
        </m:r>
      </m:oMath>
      <w:r>
        <w:t xml:space="preserve"> </w:t>
      </w:r>
      <w:r>
        <w:t xml:space="preserve">(cluster bootstrap over equities,</w:t>
      </w:r>
      <w:r>
        <w:t xml:space="preserve"> </w:t>
      </w:r>
      <w:r>
        <w:t xml:space="preserve">2</w:t>
      </w:r>
      <w:r>
        <w:t xml:space="preserve">,</w:t>
      </w:r>
      <w:r>
        <w:t xml:space="preserve">000 draws, seed 42).</w:t>
      </w:r>
    </w:p>
    <w:tbl>
      <w:tblPr>
        <w:tblStyle w:val="Table"/>
        <w:tblW w:type="auto" w:w="0"/>
        <w:tblLook w:firstRow="1" w:lastRow="0" w:firstColumn="0" w:lastColumn="0" w:noHBand="0" w:noVBand="0" w:val="0020"/>
        <w:tblCaption w:val="Primary and secondary \Delta\kappa (cluster bootstrap over equities, 2,000 draws, seed 42)."/>
      </w:tblPr>
      <w:tblGrid>
        <w:gridCol w:w="2640"/>
        <w:gridCol w:w="2640"/>
        <w:gridCol w:w="2640"/>
      </w:tblGrid>
      <w:tr>
        <w:trPr>
          <w:tblHeader w:val="on"/>
        </w:trPr>
        <w:tc>
          <w:tcPr/>
          <w:p>
            <w:pPr>
              <w:pStyle w:val="Compact"/>
              <w:jc w:val="left"/>
            </w:pPr>
            <w:r>
              <w:t xml:space="preserve">Contrast</w:t>
            </w:r>
          </w:p>
        </w:tc>
        <w:tc>
          <w:tcPr/>
          <w:p>
            <w:pPr>
              <w:pStyle w:val="Compact"/>
              <w:jc w:val="left"/>
            </w:pPr>
            <m:oMath>
              <m:r>
                <m:rPr>
                  <m:sty m:val="p"/>
                </m:rPr>
                <m:t>Δ</m:t>
              </m:r>
              <m:r>
                <m:t>κ</m:t>
              </m:r>
            </m:oMath>
            <w:r>
              <w:t xml:space="preserve">​</w:t>
            </w:r>
          </w:p>
        </w:tc>
        <w:tc>
          <w:tcPr/>
          <w:p>
            <w:pPr>
              <w:pStyle w:val="Compact"/>
              <w:jc w:val="left"/>
            </w:pPr>
            <w:r>
              <w:t xml:space="preserve">95% CI</w:t>
            </w:r>
          </w:p>
        </w:tc>
      </w:tr>
      <w:tr>
        <w:tc>
          <w:tcPr/>
          <w:p>
            <w:pPr>
              <w:pStyle w:val="Compact"/>
              <w:jc w:val="left"/>
            </w:pPr>
            <w:r>
              <w:t xml:space="preserve">HOM</w:t>
            </w:r>
            <w:r>
              <w:t xml:space="preserve"> </w:t>
            </w:r>
            <m:oMath>
              <m:r>
                <m:rPr>
                  <m:sty m:val="p"/>
                </m:rPr>
                <m:t>−</m:t>
              </m:r>
            </m:oMath>
            <w:r>
              <w:t xml:space="preserve"> </w:t>
            </w:r>
            <w:r>
              <w:t xml:space="preserve">HET (primary)</w:t>
            </w:r>
          </w:p>
        </w:tc>
        <w:tc>
          <w:tcPr/>
          <w:p>
            <w:pPr>
              <w:pStyle w:val="Compact"/>
              <w:jc w:val="left"/>
            </w:pPr>
            <w:r>
              <w:t xml:space="preserve">0.336</w:t>
            </w:r>
          </w:p>
        </w:tc>
        <w:tc>
          <w:tcPr/>
          <w:p>
            <w:pPr>
              <w:pStyle w:val="Compact"/>
              <w:jc w:val="left"/>
            </w:pPr>
            <m:oMath>
              <m:r>
                <m:rPr>
                  <m:sty m:val="p"/>
                </m:rPr>
                <m:t>[</m:t>
              </m:r>
              <m:r>
                <m:t>0.304</m:t>
              </m:r>
              <m:r>
                <m:rPr>
                  <m:sty m:val="p"/>
                </m:rPr>
                <m:t>,</m:t>
              </m:r>
              <m:r>
                <m:t> </m:t>
              </m:r>
              <m:r>
                <m:t>0.369</m:t>
              </m:r>
              <m:r>
                <m:rPr>
                  <m:sty m:val="p"/>
                </m:rPr>
                <m:t>]</m:t>
              </m:r>
            </m:oMath>
            <w:r>
              <w:t xml:space="preserve">​</w:t>
            </w:r>
          </w:p>
        </w:tc>
      </w:tr>
      <w:tr>
        <w:tc>
          <w:tcPr/>
          <w:p>
            <w:pPr>
              <w:pStyle w:val="Compact"/>
              <w:jc w:val="left"/>
            </w:pPr>
            <w:r>
              <w:t xml:space="preserve">HOM</w:t>
            </w:r>
            <w:r>
              <w:t xml:space="preserve"> </w:t>
            </w:r>
            <m:oMath>
              <m:r>
                <m:rPr>
                  <m:sty m:val="p"/>
                </m:rPr>
                <m:t>−</m:t>
              </m:r>
            </m:oMath>
            <w:r>
              <w:t xml:space="preserve"> </w:t>
            </w:r>
            <w:r>
              <w:t xml:space="preserve">HET-LITE</w:t>
            </w:r>
          </w:p>
        </w:tc>
        <w:tc>
          <w:tcPr/>
          <w:p>
            <w:pPr>
              <w:pStyle w:val="Compact"/>
              <w:jc w:val="left"/>
            </w:pPr>
            <w:r>
              <w:t xml:space="preserve">0.249</w:t>
            </w:r>
          </w:p>
        </w:tc>
        <w:tc>
          <w:tcPr/>
          <w:p>
            <w:pPr>
              <w:pStyle w:val="Compact"/>
              <w:jc w:val="left"/>
            </w:pPr>
            <m:oMath>
              <m:r>
                <m:rPr>
                  <m:sty m:val="p"/>
                </m:rPr>
                <m:t>[</m:t>
              </m:r>
              <m:r>
                <m:t>0.218</m:t>
              </m:r>
              <m:r>
                <m:rPr>
                  <m:sty m:val="p"/>
                </m:rPr>
                <m:t>,</m:t>
              </m:r>
              <m:r>
                <m:t> </m:t>
              </m:r>
              <m:r>
                <m:t>0.280</m:t>
              </m:r>
              <m:r>
                <m:rPr>
                  <m:sty m:val="p"/>
                </m:rPr>
                <m:t>]</m:t>
              </m:r>
            </m:oMath>
            <w:r>
              <w:t xml:space="preserve">​</w:t>
            </w:r>
          </w:p>
        </w:tc>
      </w:tr>
      <w:tr>
        <w:tc>
          <w:tcPr/>
          <w:p>
            <w:pPr>
              <w:pStyle w:val="Compact"/>
              <w:jc w:val="left"/>
            </w:pPr>
            <w:r>
              <w:t xml:space="preserve">HET-LITE</w:t>
            </w:r>
            <w:r>
              <w:t xml:space="preserve"> </w:t>
            </w:r>
            <m:oMath>
              <m:r>
                <m:rPr>
                  <m:sty m:val="p"/>
                </m:rPr>
                <m:t>−</m:t>
              </m:r>
            </m:oMath>
            <w:r>
              <w:t xml:space="preserve"> </w:t>
            </w:r>
            <w:r>
              <w:t xml:space="preserve">HET</w:t>
            </w:r>
          </w:p>
        </w:tc>
        <w:tc>
          <w:tcPr/>
          <w:p>
            <w:pPr>
              <w:pStyle w:val="Compact"/>
              <w:jc w:val="left"/>
            </w:pPr>
            <w:r>
              <w:t xml:space="preserve">0.087</w:t>
            </w:r>
          </w:p>
        </w:tc>
        <w:tc>
          <w:tcPr/>
          <w:p>
            <w:pPr>
              <w:pStyle w:val="Compact"/>
              <w:jc w:val="left"/>
            </w:pPr>
            <m:oMath>
              <m:r>
                <m:rPr>
                  <m:sty m:val="p"/>
                </m:rPr>
                <m:t>[</m:t>
              </m:r>
              <m:r>
                <m:t>0.067</m:t>
              </m:r>
              <m:r>
                <m:rPr>
                  <m:sty m:val="p"/>
                </m:rPr>
                <m:t>,</m:t>
              </m:r>
              <m:r>
                <m:t> </m:t>
              </m:r>
              <m:r>
                <m:t>0.105</m:t>
              </m:r>
              <m:r>
                <m:rPr>
                  <m:sty m:val="p"/>
                </m:rPr>
                <m:t>]</m:t>
              </m:r>
            </m:oMath>
            <w:r>
              <w:t xml:space="preserve">​</w:t>
            </w:r>
          </w:p>
        </w:tc>
      </w:tr>
    </w:tbl>
    <w:bookmarkEnd w:id="25"/>
    <w:bookmarkEnd w:id="26"/>
    <w:bookmarkStart w:id="27" w:name="sec:prereg"/>
    <w:p>
      <w:pPr>
        <w:pStyle w:val="Heading2"/>
      </w:pPr>
      <w:r>
        <w:t xml:space="preserve">Pre-registration, freezing, and reproducibility</w:t>
      </w:r>
    </w:p>
    <w:p>
      <w:pPr>
        <w:pStyle w:val="FirstParagraph"/>
      </w:pPr>
      <w:r>
        <w:t xml:space="preserve">Empirical evaluations of LLM systems involve several design choices, including</w:t>
      </w:r>
      <w:r>
        <w:t xml:space="preserve"> </w:t>
      </w:r>
      <w:r>
        <w:t xml:space="preserve">model selection, prompt construction, sampling parameters, evaluation endpoints,</w:t>
      </w:r>
      <w:r>
        <w:t xml:space="preserve"> </w:t>
      </w:r>
      <w:r>
        <w:t xml:space="preserve">exclusion rules, and statistical procedures. Revising these choices after</w:t>
      </w:r>
      <w:r>
        <w:t xml:space="preserve"> </w:t>
      </w:r>
      <w:r>
        <w:t xml:space="preserve">observing the results can increase researcher degrees of freedom and make</w:t>
      </w:r>
      <w:r>
        <w:t xml:space="preserve"> </w:t>
      </w:r>
      <w:r>
        <w:t xml:space="preserve">replication more difficult. We therefore adopt a confirmatory workflow that</w:t>
      </w:r>
      <w:r>
        <w:t xml:space="preserve"> </w:t>
      </w:r>
      <w:r>
        <w:t xml:space="preserve">separates pre-specified analyses from subsequent exploratory investigations.</w:t>
      </w:r>
    </w:p>
    <w:p>
      <w:pPr>
        <w:pStyle w:val="BodyText"/>
      </w:pPr>
      <w:r>
        <w:t xml:space="preserve">Before confirmatory data collection, we froze the hypotheses, ensemble</w:t>
      </w:r>
      <w:r>
        <w:t xml:space="preserve"> </w:t>
      </w:r>
      <w:r>
        <w:t xml:space="preserve">configurations, prompt template, experimental grid, random-seed construction,</w:t>
      </w:r>
      <w:r>
        <w:t xml:space="preserve"> </w:t>
      </w:r>
      <w:r>
        <w:t xml:space="preserve">primary and secondary endpoints, uncertainty-estimation procedure, and decision</w:t>
      </w:r>
      <w:r>
        <w:t xml:space="preserve"> </w:t>
      </w:r>
      <w:r>
        <w:t xml:space="preserve">rule. The resulting pre-registration was assigned a SHA-256 hash to establish</w:t>
      </w:r>
      <w:r>
        <w:t xml:space="preserve"> </w:t>
      </w:r>
      <w:r>
        <w:t xml:space="preserve">that the design preceded the collection of the confirmatory dataset. Raw outputs</w:t>
      </w:r>
      <w:r>
        <w:t xml:space="preserve"> </w:t>
      </w:r>
      <w:r>
        <w:t xml:space="preserve">were collected once and stored in an immutable, read-only, hash-verified</w:t>
      </w:r>
      <w:r>
        <w:t xml:space="preserve"> </w:t>
      </w:r>
      <w:r>
        <w:t xml:space="preserve">dataset. The analysis pipeline reads only the frozen dataset and experimental</w:t>
      </w:r>
      <w:r>
        <w:t xml:space="preserve"> </w:t>
      </w:r>
      <w:r>
        <w:t xml:space="preserve">configuration, and all stochastic procedures, including bootstrap resampling,</w:t>
      </w:r>
      <w:r>
        <w:t xml:space="preserve"> </w:t>
      </w:r>
      <w:r>
        <w:t xml:space="preserve">use fixed seeds. The pipeline regenerates the reported tables and figures</w:t>
      </w:r>
      <w:r>
        <w:t xml:space="preserve"> </w:t>
      </w:r>
      <w:r>
        <w:t xml:space="preserve">deterministically.</w:t>
      </w:r>
    </w:p>
    <w:p>
      <w:pPr>
        <w:pStyle w:val="BodyText"/>
      </w:pPr>
      <w:r>
        <w:t xml:space="preserve">Analyses not included in the original pre-registration are identified explicitly</w:t>
      </w:r>
      <w:r>
        <w:t xml:space="preserve"> </w:t>
      </w:r>
      <w:r>
        <w:t xml:space="preserve">as exploratory or as documented amendments. This separation prevents post hoc</w:t>
      </w:r>
      <w:r>
        <w:t xml:space="preserve"> </w:t>
      </w:r>
      <w:r>
        <w:t xml:space="preserve">results from being presented as confirmatory evidence and allows the primary</w:t>
      </w:r>
      <w:r>
        <w:t xml:space="preserve"> </w:t>
      </w:r>
      <w:r>
        <w:t xml:space="preserve">findings to be evaluated against the design specified before data collection.</w:t>
      </w:r>
      <w:r>
        <w:t xml:space="preserve"> </w:t>
      </w:r>
      <w:r>
        <w:t xml:space="preserve">The frozen dataset, pre-registration materials, orchestration configuration, and</w:t>
      </w:r>
      <w:r>
        <w:t xml:space="preserve"> </w:t>
      </w:r>
      <w:r>
        <w:t xml:space="preserve">analysis code are included in the accompanying reproducibility package.</w:t>
      </w:r>
    </w:p>
    <w:bookmarkEnd w:id="27"/>
    <w:bookmarkEnd w:id="28"/>
    <w:bookmarkStart w:id="71" w:name="results"/>
    <w:p>
      <w:pPr>
        <w:pStyle w:val="Heading1"/>
      </w:pPr>
      <w:r>
        <w:t xml:space="preserve">Results</w:t>
      </w:r>
    </w:p>
    <w:p>
      <w:pPr>
        <w:pStyle w:val="FirstParagraph"/>
      </w:pPr>
      <w:r>
        <w:t xml:space="preserve">The analysis includes the complete planned set of 54</w:t>
      </w:r>
      <w:r>
        <w:t xml:space="preserve">,</w:t>
      </w:r>
      <w:r>
        <w:t xml:space="preserve">000 model calls across</w:t>
      </w:r>
      <w:r>
        <w:t xml:space="preserve"> </w:t>
      </w:r>
      <w:r>
        <w:t xml:space="preserve">100 equities, 12 analysis dates, three ensemble configurations, three</w:t>
      </w:r>
      <w:r>
        <w:t xml:space="preserve"> </w:t>
      </w:r>
      <w:r>
        <w:t xml:space="preserve">independent runs, and five agents per ensemble. Unless otherwise stated,</w:t>
      </w:r>
      <w:r>
        <w:t xml:space="preserve"> </w:t>
      </w:r>
      <w:r>
        <w:t xml:space="preserve">agreement statistics are computed separately within each run and then averaged</w:t>
      </w:r>
      <w:r>
        <w:t xml:space="preserve"> </w:t>
      </w:r>
      <w:r>
        <w:t xml:space="preserve">across runs.</w:t>
      </w:r>
    </w:p>
    <w:bookmarkStart w:id="33" w:name="subsec:primary"/>
    <w:p>
      <w:pPr>
        <w:pStyle w:val="Heading2"/>
      </w:pPr>
      <w:r>
        <w:t xml:space="preserve">Heterogeneity de-correlates ensembles (primary)</w:t>
      </w:r>
    </w:p>
    <w:p>
      <w:pPr>
        <w:pStyle w:val="FirstParagraph"/>
      </w:pPr>
      <w:r>
        <w:t xml:space="preserve">Within-ensemble agreement decreases monotonically as cross-provider</w:t>
      </w:r>
      <w:r>
        <w:t xml:space="preserve"> </w:t>
      </w:r>
      <w:r>
        <w:t xml:space="preserve">heterogeneity increases. Fleiss’</w:t>
      </w:r>
      <w:r>
        <w:t xml:space="preserve"> </w:t>
      </w:r>
      <m:oMath>
        <m:r>
          <m:t>κ</m:t>
        </m:r>
      </m:oMath>
      <w:r>
        <w:t xml:space="preserve"> </w:t>
      </w:r>
      <w:r>
        <w:t xml:space="preserve">is 0.552 for HOM, 0.302 for HET-LITE,</w:t>
      </w:r>
      <w:r>
        <w:t xml:space="preserve"> </w:t>
      </w:r>
      <w:r>
        <w:t xml:space="preserve">and 0.215 for HET, as reported in Table </w:t>
      </w:r>
      <w:hyperlink w:anchor="tab:frontier">
        <w:r>
          <w:rPr>
            <w:rStyle w:val="Hyperlink"/>
          </w:rPr>
          <w:t xml:space="preserve">4</w:t>
        </w:r>
      </w:hyperlink>
      <w:r>
        <w:t xml:space="preserve"> </w:t>
      </w:r>
      <w:r>
        <w:t xml:space="preserve">and illustrated in</w:t>
      </w:r>
      <w:r>
        <w:t xml:space="preserve"> </w:t>
      </w:r>
      <w:r>
        <w:t xml:space="preserve">Fig. </w:t>
      </w:r>
      <w:hyperlink w:anchor="fig:frontier">
        <w:r>
          <w:rPr>
            <w:rStyle w:val="Hyperlink"/>
          </w:rPr>
          <w:t xml:space="preserve">1</w:t>
        </w:r>
      </w:hyperlink>
      <w:r>
        <w:t xml:space="preserve">. Using the unrounded configuration-level estimates, the</w:t>
      </w:r>
      <w:r>
        <w:t xml:space="preserve"> </w:t>
      </w:r>
      <w:r>
        <w:t xml:space="preserve">pre-registered primary contrast is</w:t>
      </w:r>
    </w:p>
    <w:p>
      <w:pPr>
        <w:pStyle w:val="BodyText"/>
      </w:pPr>
      <m:oMathPara>
        <m:oMathParaPr>
          <m:jc m:val="center"/>
        </m:oMathParaPr>
        <m:oMath>
          <m:r>
            <m:rPr>
              <m:sty m:val="p"/>
            </m:rPr>
            <m:t>Δ</m:t>
          </m:r>
          <m:sSub>
            <m:e>
              <m:r>
                <m:t>κ</m:t>
              </m:r>
            </m:e>
            <m:sub>
              <m:r>
                <m:rPr>
                  <m:sty m:val="p"/>
                </m:rPr>
                <m:t>H</m:t>
              </m:r>
              <m:r>
                <m:rPr>
                  <m:sty m:val="p"/>
                </m:rPr>
                <m:t>O</m:t>
              </m:r>
              <m:r>
                <m:rPr>
                  <m:sty m:val="p"/>
                </m:rPr>
                <m:t>M</m:t>
              </m:r>
              <m:r>
                <m:rPr>
                  <m:sty m:val="p"/>
                </m:rPr>
                <m:t>−</m:t>
              </m:r>
              <m:r>
                <m:rPr>
                  <m:sty m:val="p"/>
                </m:rPr>
                <m:t>H</m:t>
              </m:r>
              <m:r>
                <m:rPr>
                  <m:sty m:val="p"/>
                </m:rPr>
                <m:t>E</m:t>
              </m:r>
              <m:r>
                <m:rPr>
                  <m:sty m:val="p"/>
                </m:rPr>
                <m:t>T</m:t>
              </m:r>
            </m:sub>
          </m:sSub>
          <m:r>
            <m:rPr>
              <m:sty m:val="p"/>
            </m:rPr>
            <m:t>=</m:t>
          </m:r>
          <m:sSub>
            <m:e>
              <m:r>
                <m:t>κ</m:t>
              </m:r>
            </m:e>
            <m:sub>
              <m:r>
                <m:rPr>
                  <m:sty m:val="p"/>
                </m:rPr>
                <m:t>H</m:t>
              </m:r>
              <m:r>
                <m:rPr>
                  <m:sty m:val="p"/>
                </m:rPr>
                <m:t>O</m:t>
              </m:r>
              <m:r>
                <m:rPr>
                  <m:sty m:val="p"/>
                </m:rPr>
                <m:t>M</m:t>
              </m:r>
            </m:sub>
          </m:sSub>
          <m:r>
            <m:rPr>
              <m:sty m:val="p"/>
            </m:rPr>
            <m:t>−</m:t>
          </m:r>
          <m:sSub>
            <m:e>
              <m:r>
                <m:t>κ</m:t>
              </m:r>
            </m:e>
            <m:sub>
              <m:r>
                <m:rPr>
                  <m:sty m:val="p"/>
                </m:rPr>
                <m:t>H</m:t>
              </m:r>
              <m:r>
                <m:rPr>
                  <m:sty m:val="p"/>
                </m:rPr>
                <m:t>E</m:t>
              </m:r>
              <m:r>
                <m:rPr>
                  <m:sty m:val="p"/>
                </m:rPr>
                <m:t>T</m:t>
              </m:r>
            </m:sub>
          </m:sSub>
          <m:r>
            <m:rPr>
              <m:sty m:val="p"/>
            </m:rPr>
            <m:t>=</m:t>
          </m:r>
          <m:r>
            <m:t>0.336</m:t>
          </m:r>
          <m:r>
            <m:rPr>
              <m:sty m:val="p"/>
            </m:rPr>
            <m:t>,</m:t>
          </m:r>
        </m:oMath>
      </m:oMathPara>
    </w:p>
    <w:p>
      <w:pPr>
        <w:pStyle w:val="FirstParagraph"/>
      </w:pPr>
      <w:r>
        <w:t xml:space="preserve">with a 95% cluster-bootstrap confidence interval of</w:t>
      </w:r>
      <w:r>
        <w:t xml:space="preserve"> </w:t>
      </w:r>
      <m:oMath>
        <m:r>
          <m:rPr>
            <m:sty m:val="p"/>
          </m:rPr>
          <m:t>[</m:t>
        </m:r>
        <m:r>
          <m:t>0.304</m:t>
        </m:r>
        <m:r>
          <m:rPr>
            <m:sty m:val="p"/>
          </m:rPr>
          <m:t>,</m:t>
        </m:r>
        <m:r>
          <m:t>0.369</m:t>
        </m:r>
        <m:r>
          <m:rPr>
            <m:sty m:val="p"/>
          </m:rPr>
          <m:t>]</m:t>
        </m:r>
      </m:oMath>
      <w:r>
        <w:t xml:space="preserve">. Because</w:t>
      </w:r>
      <w:r>
        <w:t xml:space="preserve"> </w:t>
      </w:r>
      <w:r>
        <w:t xml:space="preserve">the confidence interval excludes zero, the pre-registered primary hypothesis</w:t>
      </w:r>
      <w:r>
        <w:t xml:space="preserve"> </w:t>
      </w:r>
      <w:r>
        <w:t xml:space="preserve">that cross-provider heterogeneity reduces within-ensemble agreement is</w:t>
      </w:r>
      <w:r>
        <w:t xml:space="preserve"> </w:t>
      </w:r>
      <w:r>
        <w:t xml:space="preserve">supported. In Landis–Koch </w:t>
      </w:r>
      <w:r>
        <w:t xml:space="preserve">(Landis and Koch 1977)</w:t>
      </w:r>
      <w:r>
        <w:t xml:space="preserve"> </w:t>
      </w:r>
      <w:r>
        <w:t xml:space="preserve">terms, homogeneous ensembles reach</w:t>
      </w:r>
      <w:r>
        <w:t xml:space="preserve"> </w:t>
      </w:r>
      <w:r>
        <w:t xml:space="preserve">“moderate–substantial”</w:t>
      </w:r>
      <w:r>
        <w:t xml:space="preserve"> </w:t>
      </w:r>
      <w:r>
        <w:t xml:space="preserve">internal agreement while fully heterogeneous ones fall</w:t>
      </w:r>
      <w:r>
        <w:t xml:space="preserve"> </w:t>
      </w:r>
      <w:r>
        <w:t xml:space="preserve">to</w:t>
      </w:r>
      <w:r>
        <w:t xml:space="preserve"> </w:t>
      </w:r>
      <w:r>
        <w:t xml:space="preserve">“fair.”</w:t>
      </w:r>
      <w:r>
        <w:t xml:space="preserve"> </w:t>
      </w:r>
      <w:r>
        <w:t xml:space="preserve">Both pre-registered secondary contrasts are also positive, with</w:t>
      </w:r>
      <w:r>
        <w:t xml:space="preserve"> </w:t>
      </w:r>
      <w:r>
        <w:t xml:space="preserve">confidence intervals excluding zero (Table </w:t>
      </w:r>
      <w:hyperlink w:anchor="tab:endpoints">
        <w:r>
          <w:rPr>
            <w:rStyle w:val="Hyperlink"/>
          </w:rPr>
          <w:t xml:space="preserve">2</w:t>
        </w:r>
      </w:hyperlink>
      <w:r>
        <w:t xml:space="preserve">). Agreement</w:t>
      </w:r>
      <w:r>
        <w:t xml:space="preserve"> </w:t>
      </w:r>
      <w:r>
        <w:t xml:space="preserve">therefore decreases at each observed increase in heterogeneity, from HOM to</w:t>
      </w:r>
      <w:r>
        <w:t xml:space="preserve"> </w:t>
      </w:r>
      <w:r>
        <w:t xml:space="preserve">HET-LITE and from HET-LITE to HET. These results establish a monotonic</w:t>
      </w:r>
      <w:r>
        <w:t xml:space="preserve"> </w:t>
      </w:r>
      <w:r>
        <w:t xml:space="preserve">relationship between provider heterogeneity and within-ensemble de-correlation</w:t>
      </w:r>
      <w:r>
        <w:t xml:space="preserve"> </w:t>
      </w:r>
      <w:r>
        <w:t xml:space="preserve">in the evaluated task.</w:t>
      </w:r>
    </w:p>
    <w:bookmarkStart w:id="32" w:name="fig:frontier"/>
    <w:p>
      <w:pPr>
        <w:pStyle w:val="CaptionedFigure"/>
      </w:pPr>
      <w:r>
        <w:drawing>
          <wp:inline>
            <wp:extent cx="5334000" cy="3733799"/>
            <wp:effectExtent b="0" l="0" r="0" t="0"/>
            <wp:docPr descr="" title="" id="30" name="Picture"/>
            <a:graphic>
              <a:graphicData uri="http://schemas.openxmlformats.org/drawingml/2006/picture">
                <pic:pic>
                  <pic:nvPicPr>
                    <pic:cNvPr descr="fig1_frontier.png" id="31" name="Picture"/>
                    <pic:cNvPicPr>
                      <a:picLocks noChangeArrowheads="1" noChangeAspect="1"/>
                    </pic:cNvPicPr>
                  </pic:nvPicPr>
                  <pic:blipFill>
                    <a:blip r:embed="rId29"/>
                    <a:stretch>
                      <a:fillRect/>
                    </a:stretch>
                  </pic:blipFill>
                  <pic:spPr bwMode="auto">
                    <a:xfrm>
                      <a:off x="0" y="0"/>
                      <a:ext cx="5334000" cy="3733799"/>
                    </a:xfrm>
                    <a:prstGeom prst="rect">
                      <a:avLst/>
                    </a:prstGeom>
                    <a:noFill/>
                    <a:ln w="9525">
                      <a:noFill/>
                      <a:headEnd/>
                      <a:tailEnd/>
                    </a:ln>
                  </pic:spPr>
                </pic:pic>
              </a:graphicData>
            </a:graphic>
          </wp:inline>
        </w:drawing>
      </w:r>
    </w:p>
    <w:p>
      <w:pPr>
        <w:pStyle w:val="ImageCaption"/>
      </w:pPr>
      <w:r>
        <w:t xml:space="preserve">Agreement–cost frontier. Within-ensemble Fleiss’</w:t>
      </w:r>
      <w:r>
        <w:t xml:space="preserve"> </w:t>
      </w:r>
      <m:oMath>
        <m:r>
          <m:t>κ</m:t>
        </m:r>
      </m:oMath>
      <w:r>
        <w:t xml:space="preserve"> </w:t>
      </w:r>
      <w:r>
        <w:t xml:space="preserve">(</w:t>
      </w:r>
      <m:oMath>
        <m:r>
          <m:t>y</m:t>
        </m:r>
      </m:oMath>
      <w:r>
        <w:t xml:space="preserve">) versus</w:t>
      </w:r>
      <w:r>
        <w:t xml:space="preserve"> </w:t>
      </w:r>
      <w:r>
        <w:t xml:space="preserve">cost per ensemble decision (</w:t>
      </w:r>
      <m:oMath>
        <m:r>
          <m:t>x</m:t>
        </m:r>
      </m:oMath>
      <w:r>
        <w:t xml:space="preserve">) at heterogeneity levels</w:t>
      </w:r>
      <w:r>
        <w:t xml:space="preserve"> </w:t>
      </w:r>
      <m:oMath>
        <m:r>
          <m:rPr>
            <m:sty m:val="p"/>
          </m:rPr>
          <m:t>{</m:t>
        </m:r>
        <m:r>
          <m:t>0</m:t>
        </m:r>
        <m:r>
          <m:rPr>
            <m:sty m:val="p"/>
          </m:rPr>
          <m:t>,</m:t>
        </m:r>
        <m:r>
          <m:t>1</m:t>
        </m:r>
        <m:r>
          <m:rPr>
            <m:sty m:val="p"/>
          </m:rPr>
          <m:t>,</m:t>
        </m:r>
        <m:r>
          <m:t>3</m:t>
        </m:r>
        <m:r>
          <m:rPr>
            <m:sty m:val="p"/>
          </m:rPr>
          <m:t>}</m:t>
        </m:r>
      </m:oMath>
      <w:r>
        <w:t xml:space="preserve">. Lower</w:t>
      </w:r>
      <w:r>
        <w:t xml:space="preserve"> </w:t>
      </w:r>
      <m:oMath>
        <m:r>
          <m:t>κ</m:t>
        </m:r>
      </m:oMath>
      <w:r>
        <w:t xml:space="preserve"> </w:t>
      </w:r>
      <w:r>
        <w:t xml:space="preserve">indicates lower observed within-ensemble agreement; the horizontal</w:t>
      </w:r>
      <w:r>
        <w:t xml:space="preserve"> </w:t>
      </w:r>
      <w:r>
        <w:t xml:space="preserve">spread is the cost premium.</w:t>
      </w:r>
    </w:p>
    <w:bookmarkEnd w:id="32"/>
    <w:bookmarkEnd w:id="33"/>
    <w:bookmarkStart w:id="37" w:name="robustness-of-the-agreement-statistic"/>
    <w:p>
      <w:pPr>
        <w:pStyle w:val="Heading2"/>
      </w:pPr>
      <w:r>
        <w:t xml:space="preserve">Robustness of the agreement statistic</w:t>
      </w:r>
    </w:p>
    <w:p>
      <w:pPr>
        <w:pStyle w:val="FirstParagraph"/>
      </w:pPr>
      <w:r>
        <w:t xml:space="preserve">The marginal distribution of BUY, HOLD, and SELL responses changes across</w:t>
      </w:r>
      <w:r>
        <w:t xml:space="preserve"> </w:t>
      </w:r>
      <w:r>
        <w:t xml:space="preserve">ensemble configurations. In particular, the proportion of HOLD responses</w:t>
      </w:r>
      <w:r>
        <w:t xml:space="preserve"> </w:t>
      </w:r>
      <w:r>
        <w:t xml:space="preserve">decreases from 0.71 in HOM to 0.56 in HET. Because Fleiss’</w:t>
      </w:r>
      <w:r>
        <w:t xml:space="preserve"> </w:t>
      </w:r>
      <m:oMath>
        <m:r>
          <m:t>κ</m:t>
        </m:r>
      </m:oMath>
      <w:r>
        <w:t xml:space="preserve"> </w:t>
      </w:r>
      <w:r>
        <w:t xml:space="preserve">can be</w:t>
      </w:r>
      <w:r>
        <w:t xml:space="preserve"> </w:t>
      </w:r>
      <w:r>
        <w:t xml:space="preserve">sensitive to category prevalence (the</w:t>
      </w:r>
      <w:r>
        <w:t xml:space="preserve"> </w:t>
      </w:r>
      <w:r>
        <w:t xml:space="preserve">“</w:t>
      </w:r>
      <m:oMath>
        <m:r>
          <m:t>κ</m:t>
        </m:r>
      </m:oMath>
      <w:r>
        <w:t xml:space="preserve"> </w:t>
      </w:r>
      <w:r>
        <w:t xml:space="preserve">paradox”</w:t>
      </w:r>
      <w:r>
        <w:t xml:space="preserve">), this shift could</w:t>
      </w:r>
      <w:r>
        <w:t xml:space="preserve"> </w:t>
      </w:r>
      <w:r>
        <w:t xml:space="preserve">affect its absolute value independently of changes in the underlying level of</w:t>
      </w:r>
      <w:r>
        <w:t xml:space="preserve"> </w:t>
      </w:r>
      <w:r>
        <w:t xml:space="preserve">agreement. We therefore recompute agreement using Krippendorff’s</w:t>
      </w:r>
      <w:r>
        <w:t xml:space="preserve"> </w:t>
      </w:r>
      <m:oMath>
        <m:r>
          <m:t>α</m:t>
        </m:r>
      </m:oMath>
      <w:r>
        <w:t xml:space="preserve"> </w:t>
      </w:r>
      <w:r>
        <w:t xml:space="preserve">(Krippendorff 2019)</w:t>
      </w:r>
      <w:r>
        <w:t xml:space="preserve"> </w:t>
      </w:r>
      <w:r>
        <w:t xml:space="preserve">for nominal outcomes and Gwet’s</w:t>
      </w:r>
      <w:r>
        <w:t xml:space="preserve"> </w:t>
      </w:r>
      <w:r>
        <w:t xml:space="preserve">AC1 </w:t>
      </w:r>
      <w:r>
        <w:t xml:space="preserve">(Gwet 2008)</w:t>
      </w:r>
      <w:r>
        <w:t xml:space="preserve">. All three statistics produce the same monotonic</w:t>
      </w:r>
      <w:r>
        <w:t xml:space="preserve"> </w:t>
      </w:r>
      <w:r>
        <w:t xml:space="preserve">configuration ordering: HOM</w:t>
      </w:r>
      <w:r>
        <w:t xml:space="preserve"> </w:t>
      </w:r>
      <m:oMath>
        <m:r>
          <m:rPr>
            <m:sty m:val="p"/>
          </m:rPr>
          <m:t>&gt;</m:t>
        </m:r>
      </m:oMath>
      <w:r>
        <w:t xml:space="preserve"> </w:t>
      </w:r>
      <w:r>
        <w:t xml:space="preserve">HET-LITE</w:t>
      </w:r>
      <w:r>
        <w:t xml:space="preserve"> </w:t>
      </w:r>
      <m:oMath>
        <m:r>
          <m:rPr>
            <m:sty m:val="p"/>
          </m:rPr>
          <m:t>&gt;</m:t>
        </m:r>
      </m:oMath>
      <w:r>
        <w:t xml:space="preserve"> </w:t>
      </w:r>
      <w:r>
        <w:t xml:space="preserve">HET (Table </w:t>
      </w:r>
      <w:hyperlink w:anchor="tab:stats">
        <w:r>
          <w:rPr>
            <w:rStyle w:val="Hyperlink"/>
          </w:rPr>
          <w:t xml:space="preserve">3</w:t>
        </w:r>
      </w:hyperlink>
      <w:r>
        <w:t xml:space="preserve">).</w:t>
      </w:r>
      <w:r>
        <w:t xml:space="preserve"> </w:t>
      </w:r>
      <w:r>
        <w:t xml:space="preserve">Krippendorff’s</w:t>
      </w:r>
      <w:r>
        <w:t xml:space="preserve"> </w:t>
      </w:r>
      <m:oMath>
        <m:r>
          <m:t>α</m:t>
        </m:r>
      </m:oMath>
      <w:r>
        <w:t xml:space="preserve"> </w:t>
      </w:r>
      <w:r>
        <w:t xml:space="preserve">closely tracks Fleiss’</w:t>
      </w:r>
      <w:r>
        <w:t xml:space="preserve"> </w:t>
      </w:r>
      <m:oMath>
        <m:r>
          <m:t>κ</m:t>
        </m:r>
      </m:oMath>
      <w:r>
        <w:t xml:space="preserve">, while Gwet’s AC1</w:t>
      </w:r>
      <w:r>
        <w:t xml:space="preserve"> </w:t>
      </w:r>
      <w:r>
        <w:t xml:space="preserve">produces higher absolute values but preserves both the ordering and the</w:t>
      </w:r>
      <w:r>
        <w:t xml:space="preserve"> </w:t>
      </w:r>
      <w:r>
        <w:t xml:space="preserve">substantial HOM-to-HET reduction. The primary conclusion is therefore robust to</w:t>
      </w:r>
      <w:r>
        <w:t xml:space="preserve"> </w:t>
      </w:r>
      <w:r>
        <w:t xml:space="preserve">alternative treatments of chance agreement and is not attributable solely to</w:t>
      </w:r>
      <w:r>
        <w:t xml:space="preserve"> </w:t>
      </w:r>
      <w:r>
        <w:t xml:space="preserve">changes in the category marginals.</w:t>
      </w:r>
    </w:p>
    <w:bookmarkStart w:id="34" w:name="tab:stats"/>
    <w:p>
      <w:pPr>
        <w:pStyle w:val="TableCaption"/>
      </w:pPr>
      <w:r>
        <w:t xml:space="preserve">Agreement under three statistics (per-run averaged), with the</w:t>
      </w:r>
      <w:r>
        <w:t xml:space="preserve"> </w:t>
      </w:r>
      <w:r>
        <w:t xml:space="preserve">per-config directional marginals. All three statistics agree on the ordering</w:t>
      </w:r>
      <w:r>
        <w:t xml:space="preserve"> </w:t>
      </w:r>
      <w:r>
        <w:t xml:space="preserve">despite the prevalence shift in HOLD.</w:t>
      </w:r>
    </w:p>
    <w:tbl>
      <w:tblPr>
        <w:tblStyle w:val="Table"/>
        <w:tblW w:type="auto" w:w="0"/>
        <w:tblLook w:firstRow="1" w:lastRow="0" w:firstColumn="0" w:lastColumn="0" w:noHBand="0" w:noVBand="0" w:val="0020"/>
        <w:tblCaption w:val="Agreement under three statistics (per-run averaged), with the per-config directional marginals. All three statistics agree on the ordering despite the prevalence shift in HOLD."/>
      </w:tblPr>
      <w:tblGrid>
        <w:gridCol w:w="1131"/>
        <w:gridCol w:w="1131"/>
        <w:gridCol w:w="1131"/>
        <w:gridCol w:w="1131"/>
        <w:gridCol w:w="1131"/>
        <w:gridCol w:w="1131"/>
        <w:gridCol w:w="1131"/>
      </w:tblGrid>
      <w:tr>
        <w:trPr>
          <w:tblHeader w:val="on"/>
        </w:trPr>
        <w:tc>
          <w:tcPr/>
          <w:p>
            <w:pPr>
              <w:pStyle w:val="Compact"/>
            </w:pPr>
          </w:p>
        </w:tc>
        <w:tc>
          <w:tcPr>
            <w:gridSpan w:val="3"/>
          </w:tcPr>
          <w:p>
            <w:pPr>
              <w:pStyle w:val="Compact"/>
              <w:jc w:val="center"/>
            </w:pPr>
            <w:r>
              <w:t xml:space="preserve">agreement</w:t>
            </w:r>
          </w:p>
        </w:tc>
        <w:tc>
          <w:tcPr>
            <w:gridSpan w:val="3"/>
          </w:tcPr>
          <w:p>
            <w:pPr>
              <w:pStyle w:val="Compact"/>
              <w:jc w:val="center"/>
            </w:pPr>
            <w:r>
              <w:t xml:space="preserve">marginals</w:t>
            </w:r>
          </w:p>
        </w:tc>
      </w:tr>
      <w:tr>
        <w:tc>
          <w:tcPr/>
          <w:p>
            <w:pPr>
              <w:pStyle w:val="Compact"/>
              <w:jc w:val="left"/>
            </w:pPr>
            <w:r>
              <w:t xml:space="preserve">2-4</w:t>
            </w:r>
            <w:r>
              <w:t xml:space="preserve">(lr)</w:t>
            </w:r>
            <w:r>
              <w:t xml:space="preserve">5-7</w:t>
            </w:r>
            <w:r>
              <w:t xml:space="preserve"> </w:t>
            </w:r>
            <w:r>
              <w:t xml:space="preserve">Config</w:t>
            </w:r>
          </w:p>
        </w:tc>
        <w:tc>
          <w:tcPr/>
          <w:p>
            <w:pPr>
              <w:pStyle w:val="Compact"/>
              <w:jc w:val="center"/>
            </w:pPr>
            <m:oMath>
              <m:r>
                <m:t>κ</m:t>
              </m:r>
            </m:oMath>
            <w:r>
              <w:t xml:space="preserve">​</w:t>
            </w:r>
          </w:p>
        </w:tc>
        <w:tc>
          <w:tcPr/>
          <w:p>
            <w:pPr>
              <w:pStyle w:val="Compact"/>
              <w:jc w:val="center"/>
            </w:pPr>
            <m:oMath>
              <m:r>
                <m:t>α</m:t>
              </m:r>
            </m:oMath>
            <w:r>
              <w:t xml:space="preserve">​</w:t>
            </w:r>
          </w:p>
        </w:tc>
        <w:tc>
          <w:tcPr/>
          <w:p>
            <w:pPr>
              <w:pStyle w:val="Compact"/>
              <w:jc w:val="center"/>
            </w:pPr>
            <w:r>
              <w:t xml:space="preserve">AC1</w:t>
            </w:r>
          </w:p>
        </w:tc>
        <w:tc>
          <w:tcPr/>
          <w:p>
            <w:pPr>
              <w:pStyle w:val="Compact"/>
              <w:jc w:val="center"/>
            </w:pPr>
            <w:r>
              <w:t xml:space="preserve">BUY</w:t>
            </w:r>
          </w:p>
        </w:tc>
        <w:tc>
          <w:tcPr/>
          <w:p>
            <w:pPr>
              <w:pStyle w:val="Compact"/>
              <w:jc w:val="center"/>
            </w:pPr>
            <w:r>
              <w:t xml:space="preserve">HOLD</w:t>
            </w:r>
          </w:p>
        </w:tc>
        <w:tc>
          <w:tcPr/>
          <w:p>
            <w:pPr>
              <w:pStyle w:val="Compact"/>
              <w:jc w:val="center"/>
            </w:pPr>
            <w:r>
              <w:t xml:space="preserve">SELL</w:t>
            </w:r>
          </w:p>
        </w:tc>
      </w:tr>
      <w:tr>
        <w:tc>
          <w:tcPr/>
          <w:p>
            <w:pPr>
              <w:pStyle w:val="Compact"/>
              <w:jc w:val="left"/>
            </w:pPr>
            <w:r>
              <w:t xml:space="preserve">HOM</w:t>
            </w:r>
          </w:p>
        </w:tc>
        <w:tc>
          <w:tcPr/>
          <w:p>
            <w:pPr>
              <w:pStyle w:val="Compact"/>
              <w:jc w:val="center"/>
            </w:pPr>
            <w:r>
              <w:t xml:space="preserve">0.552</w:t>
            </w:r>
          </w:p>
        </w:tc>
        <w:tc>
          <w:tcPr/>
          <w:p>
            <w:pPr>
              <w:pStyle w:val="Compact"/>
              <w:jc w:val="center"/>
            </w:pPr>
            <w:r>
              <w:t xml:space="preserve">0.552</w:t>
            </w:r>
          </w:p>
        </w:tc>
        <w:tc>
          <w:tcPr/>
          <w:p>
            <w:pPr>
              <w:pStyle w:val="Compact"/>
              <w:jc w:val="center"/>
            </w:pPr>
            <w:r>
              <w:t xml:space="preserve">0.743</w:t>
            </w:r>
          </w:p>
        </w:tc>
        <w:tc>
          <w:tcPr/>
          <w:p>
            <w:pPr>
              <w:pStyle w:val="Compact"/>
              <w:jc w:val="center"/>
            </w:pPr>
            <w:r>
              <w:t xml:space="preserve">0.212</w:t>
            </w:r>
          </w:p>
        </w:tc>
        <w:tc>
          <w:tcPr/>
          <w:p>
            <w:pPr>
              <w:pStyle w:val="Compact"/>
              <w:jc w:val="center"/>
            </w:pPr>
            <w:r>
              <w:t xml:space="preserve">0.709</w:t>
            </w:r>
          </w:p>
        </w:tc>
        <w:tc>
          <w:tcPr/>
          <w:p>
            <w:pPr>
              <w:pStyle w:val="Compact"/>
              <w:jc w:val="center"/>
            </w:pPr>
            <w:r>
              <w:t xml:space="preserve">0.079</w:t>
            </w:r>
          </w:p>
        </w:tc>
      </w:tr>
      <w:tr>
        <w:tc>
          <w:tcPr/>
          <w:p>
            <w:pPr>
              <w:pStyle w:val="Compact"/>
              <w:jc w:val="left"/>
            </w:pPr>
            <w:r>
              <w:t xml:space="preserve">HET-LITE</w:t>
            </w:r>
          </w:p>
        </w:tc>
        <w:tc>
          <w:tcPr/>
          <w:p>
            <w:pPr>
              <w:pStyle w:val="Compact"/>
              <w:jc w:val="center"/>
            </w:pPr>
            <w:r>
              <w:t xml:space="preserve">0.302</w:t>
            </w:r>
          </w:p>
        </w:tc>
        <w:tc>
          <w:tcPr/>
          <w:p>
            <w:pPr>
              <w:pStyle w:val="Compact"/>
              <w:jc w:val="center"/>
            </w:pPr>
            <w:r>
              <w:t xml:space="preserve">0.303</w:t>
            </w:r>
          </w:p>
        </w:tc>
        <w:tc>
          <w:tcPr/>
          <w:p>
            <w:pPr>
              <w:pStyle w:val="Compact"/>
              <w:jc w:val="center"/>
            </w:pPr>
            <w:r>
              <w:t xml:space="preserve">0.548</w:t>
            </w:r>
          </w:p>
        </w:tc>
        <w:tc>
          <w:tcPr/>
          <w:p>
            <w:pPr>
              <w:pStyle w:val="Compact"/>
              <w:jc w:val="center"/>
            </w:pPr>
            <w:r>
              <w:t xml:space="preserve">0.282</w:t>
            </w:r>
          </w:p>
        </w:tc>
        <w:tc>
          <w:tcPr/>
          <w:p>
            <w:pPr>
              <w:pStyle w:val="Compact"/>
              <w:jc w:val="center"/>
            </w:pPr>
            <w:r>
              <w:t xml:space="preserve">0.653</w:t>
            </w:r>
          </w:p>
        </w:tc>
        <w:tc>
          <w:tcPr/>
          <w:p>
            <w:pPr>
              <w:pStyle w:val="Compact"/>
              <w:jc w:val="center"/>
            </w:pPr>
            <w:r>
              <w:t xml:space="preserve">0.064</w:t>
            </w:r>
          </w:p>
        </w:tc>
      </w:tr>
      <w:tr>
        <w:tc>
          <w:tcPr/>
          <w:p>
            <w:pPr>
              <w:pStyle w:val="Compact"/>
              <w:jc w:val="left"/>
            </w:pPr>
            <w:r>
              <w:t xml:space="preserve">HET</w:t>
            </w:r>
          </w:p>
        </w:tc>
        <w:tc>
          <w:tcPr/>
          <w:p>
            <w:pPr>
              <w:pStyle w:val="Compact"/>
              <w:jc w:val="center"/>
            </w:pPr>
            <w:r>
              <w:t xml:space="preserve">0.215</w:t>
            </w:r>
          </w:p>
        </w:tc>
        <w:tc>
          <w:tcPr/>
          <w:p>
            <w:pPr>
              <w:pStyle w:val="Compact"/>
              <w:jc w:val="center"/>
            </w:pPr>
            <w:r>
              <w:t xml:space="preserve">0.216</w:t>
            </w:r>
          </w:p>
        </w:tc>
        <w:tc>
          <w:tcPr/>
          <w:p>
            <w:pPr>
              <w:pStyle w:val="Compact"/>
              <w:jc w:val="center"/>
            </w:pPr>
            <w:r>
              <w:t xml:space="preserve">0.398</w:t>
            </w:r>
          </w:p>
        </w:tc>
        <w:tc>
          <w:tcPr/>
          <w:p>
            <w:pPr>
              <w:pStyle w:val="Compact"/>
              <w:jc w:val="center"/>
            </w:pPr>
            <w:r>
              <w:t xml:space="preserve">0.358</w:t>
            </w:r>
          </w:p>
        </w:tc>
        <w:tc>
          <w:tcPr/>
          <w:p>
            <w:pPr>
              <w:pStyle w:val="Compact"/>
              <w:jc w:val="center"/>
            </w:pPr>
            <w:r>
              <w:t xml:space="preserve">0.556</w:t>
            </w:r>
          </w:p>
        </w:tc>
        <w:tc>
          <w:tcPr/>
          <w:p>
            <w:pPr>
              <w:pStyle w:val="Compact"/>
              <w:jc w:val="center"/>
            </w:pPr>
            <w:r>
              <w:t xml:space="preserve">0.085</w:t>
            </w:r>
          </w:p>
        </w:tc>
      </w:tr>
    </w:tbl>
    <w:bookmarkEnd w:id="34"/>
    <w:p/>
    <w:bookmarkStart w:id="35" w:name="tab:frontier"/>
    <w:p>
      <w:pPr>
        <w:pStyle w:val="TableCaption"/>
      </w:pPr>
      <w:r>
        <w:t xml:space="preserve">Frontier: within-ensemble agreement and cost by heterogeneity level.</w:t>
      </w:r>
    </w:p>
    <w:tbl>
      <w:tblPr>
        <w:tblStyle w:val="Table"/>
        <w:tblW w:type="auto" w:w="0"/>
        <w:tblLook w:firstRow="1" w:lastRow="0" w:firstColumn="0" w:lastColumn="0" w:noHBand="0" w:noVBand="0" w:val="0020"/>
        <w:tblCaption w:val="Frontier: within-ensemble agreement and cost by heterogeneity level."/>
      </w:tblPr>
      <w:tblGrid>
        <w:gridCol w:w="1980"/>
        <w:gridCol w:w="1980"/>
        <w:gridCol w:w="1980"/>
        <w:gridCol w:w="1980"/>
      </w:tblGrid>
      <w:tr>
        <w:trPr>
          <w:tblHeader w:val="on"/>
        </w:trPr>
        <w:tc>
          <w:tcPr/>
          <w:p>
            <w:pPr>
              <w:pStyle w:val="Compact"/>
              <w:jc w:val="left"/>
            </w:pPr>
            <w:r>
              <w:t xml:space="preserve">Config</w:t>
            </w:r>
          </w:p>
        </w:tc>
        <w:tc>
          <w:tcPr/>
          <w:p>
            <w:pPr>
              <w:pStyle w:val="Compact"/>
              <w:jc w:val="left"/>
            </w:pPr>
            <m:oMath>
              <m:r>
                <m:t>h</m:t>
              </m:r>
            </m:oMath>
            <w:r>
              <w:t xml:space="preserve">​</w:t>
            </w:r>
          </w:p>
        </w:tc>
        <w:tc>
          <w:tcPr/>
          <w:p>
            <w:pPr>
              <w:pStyle w:val="Compact"/>
              <w:jc w:val="center"/>
            </w:pPr>
            <m:oMath>
              <m:r>
                <m:t>κ</m:t>
              </m:r>
            </m:oMath>
            <w:r>
              <w:t xml:space="preserve">​</w:t>
            </w:r>
          </w:p>
        </w:tc>
        <w:tc>
          <w:tcPr/>
          <w:p>
            <w:pPr>
              <w:pStyle w:val="Compact"/>
              <w:jc w:val="center"/>
            </w:pPr>
            <w:r>
              <w:t xml:space="preserve">$ / ensemble-decision</w:t>
            </w:r>
          </w:p>
        </w:tc>
      </w:tr>
      <w:tr>
        <w:tc>
          <w:tcPr/>
          <w:p>
            <w:pPr>
              <w:pStyle w:val="Compact"/>
              <w:jc w:val="left"/>
            </w:pPr>
            <w:r>
              <w:t xml:space="preserve">HOM</w:t>
            </w:r>
          </w:p>
        </w:tc>
        <w:tc>
          <w:tcPr/>
          <w:p>
            <w:pPr>
              <w:pStyle w:val="Compact"/>
              <w:jc w:val="left"/>
            </w:pPr>
            <w:r>
              <w:t xml:space="preserve">0</w:t>
            </w:r>
          </w:p>
        </w:tc>
        <w:tc>
          <w:tcPr/>
          <w:p>
            <w:pPr>
              <w:pStyle w:val="Compact"/>
              <w:jc w:val="center"/>
            </w:pPr>
            <w:r>
              <w:t xml:space="preserve">0.552</w:t>
            </w:r>
          </w:p>
        </w:tc>
        <w:tc>
          <w:tcPr/>
          <w:p>
            <w:pPr>
              <w:pStyle w:val="Compact"/>
              <w:jc w:val="center"/>
            </w:pPr>
            <m:oMath>
              <m:r>
                <m:t>6.48</m:t>
              </m:r>
              <m:r>
                <m:rPr>
                  <m:sty m:val="p"/>
                </m:rPr>
                <m:t>×</m:t>
              </m:r>
              <m:sSup>
                <m:e>
                  <m:r>
                    <m:t>10</m:t>
                  </m:r>
                </m:e>
                <m:sup>
                  <m:r>
                    <m:rPr>
                      <m:sty m:val="p"/>
                    </m:rPr>
                    <m:t>−</m:t>
                  </m:r>
                  <m:r>
                    <m:t>4</m:t>
                  </m:r>
                </m:sup>
              </m:sSup>
            </m:oMath>
            <w:r>
              <w:t xml:space="preserve">​</w:t>
            </w:r>
          </w:p>
        </w:tc>
      </w:tr>
      <w:tr>
        <w:tc>
          <w:tcPr/>
          <w:p>
            <w:pPr>
              <w:pStyle w:val="Compact"/>
              <w:jc w:val="left"/>
            </w:pPr>
            <w:r>
              <w:t xml:space="preserve">HET-LITE</w:t>
            </w:r>
          </w:p>
        </w:tc>
        <w:tc>
          <w:tcPr/>
          <w:p>
            <w:pPr>
              <w:pStyle w:val="Compact"/>
              <w:jc w:val="left"/>
            </w:pPr>
            <w:r>
              <w:t xml:space="preserve">1</w:t>
            </w:r>
          </w:p>
        </w:tc>
        <w:tc>
          <w:tcPr/>
          <w:p>
            <w:pPr>
              <w:pStyle w:val="Compact"/>
              <w:jc w:val="center"/>
            </w:pPr>
            <w:r>
              <w:t xml:space="preserve">0.302</w:t>
            </w:r>
          </w:p>
        </w:tc>
        <w:tc>
          <w:tcPr/>
          <w:p>
            <w:pPr>
              <w:pStyle w:val="Compact"/>
              <w:jc w:val="center"/>
            </w:pPr>
            <m:oMath>
              <m:r>
                <m:t>1.52</m:t>
              </m:r>
              <m:r>
                <m:rPr>
                  <m:sty m:val="p"/>
                </m:rPr>
                <m:t>×</m:t>
              </m:r>
              <m:sSup>
                <m:e>
                  <m:r>
                    <m:t>10</m:t>
                  </m:r>
                </m:e>
                <m:sup>
                  <m:r>
                    <m:rPr>
                      <m:sty m:val="p"/>
                    </m:rPr>
                    <m:t>−</m:t>
                  </m:r>
                  <m:r>
                    <m:t>3</m:t>
                  </m:r>
                </m:sup>
              </m:sSup>
            </m:oMath>
            <w:r>
              <w:t xml:space="preserve">​</w:t>
            </w:r>
          </w:p>
        </w:tc>
      </w:tr>
      <w:tr>
        <w:tc>
          <w:tcPr/>
          <w:p>
            <w:pPr>
              <w:pStyle w:val="Compact"/>
              <w:jc w:val="left"/>
            </w:pPr>
            <w:r>
              <w:t xml:space="preserve">HET</w:t>
            </w:r>
          </w:p>
        </w:tc>
        <w:tc>
          <w:tcPr/>
          <w:p>
            <w:pPr>
              <w:pStyle w:val="Compact"/>
              <w:jc w:val="left"/>
            </w:pPr>
            <w:r>
              <w:t xml:space="preserve">3</w:t>
            </w:r>
          </w:p>
        </w:tc>
        <w:tc>
          <w:tcPr/>
          <w:p>
            <w:pPr>
              <w:pStyle w:val="Compact"/>
              <w:jc w:val="center"/>
            </w:pPr>
            <w:r>
              <w:t xml:space="preserve">0.215</w:t>
            </w:r>
          </w:p>
        </w:tc>
        <w:tc>
          <w:tcPr/>
          <w:p>
            <w:pPr>
              <w:pStyle w:val="Compact"/>
              <w:jc w:val="center"/>
            </w:pPr>
            <m:oMath>
              <m:r>
                <m:t>2.84</m:t>
              </m:r>
              <m:r>
                <m:rPr>
                  <m:sty m:val="p"/>
                </m:rPr>
                <m:t>×</m:t>
              </m:r>
              <m:sSup>
                <m:e>
                  <m:r>
                    <m:t>10</m:t>
                  </m:r>
                </m:e>
                <m:sup>
                  <m:r>
                    <m:rPr>
                      <m:sty m:val="p"/>
                    </m:rPr>
                    <m:t>−</m:t>
                  </m:r>
                  <m:r>
                    <m:t>3</m:t>
                  </m:r>
                </m:sup>
              </m:sSup>
            </m:oMath>
            <w:r>
              <w:t xml:space="preserve">​</w:t>
            </w:r>
          </w:p>
        </w:tc>
      </w:tr>
    </w:tbl>
    <w:bookmarkEnd w:id="35"/>
    <w:p/>
    <w:bookmarkStart w:id="36" w:name="tab:clustering"/>
    <w:p>
      <w:pPr>
        <w:pStyle w:val="TableCaption"/>
      </w:pPr>
      <w:r>
        <w:t xml:space="preserve">Primary contrast</w:t>
      </w:r>
      <w:r>
        <w:t xml:space="preserve"> </w:t>
      </w:r>
      <m:oMath>
        <m:r>
          <m:rPr>
            <m:sty m:val="p"/>
          </m:rPr>
          <m:t>Δ</m:t>
        </m:r>
        <m:sSub>
          <m:e>
            <m:r>
              <m:t>κ</m:t>
            </m:r>
          </m:e>
          <m:sub>
            <m:r>
              <m:rPr>
                <m:sty m:val="p"/>
              </m:rPr>
              <m:t>H</m:t>
            </m:r>
            <m:r>
              <m:rPr>
                <m:sty m:val="p"/>
              </m:rPr>
              <m:t>O</m:t>
            </m:r>
            <m:r>
              <m:rPr>
                <m:sty m:val="p"/>
              </m:rPr>
              <m:t>M</m:t>
            </m:r>
            <m:r>
              <m:rPr>
                <m:sty m:val="p"/>
              </m:rPr>
              <m:t>−</m:t>
            </m:r>
            <m:r>
              <m:rPr>
                <m:sty m:val="p"/>
              </m:rPr>
              <m:t>H</m:t>
            </m:r>
            <m:r>
              <m:rPr>
                <m:sty m:val="p"/>
              </m:rPr>
              <m:t>E</m:t>
            </m:r>
            <m:r>
              <m:rPr>
                <m:sty m:val="p"/>
              </m:rPr>
              <m:t>T</m:t>
            </m:r>
          </m:sub>
        </m:sSub>
      </m:oMath>
      <w:r>
        <w:t xml:space="preserve"> </w:t>
      </w:r>
      <w:r>
        <w:t xml:space="preserve">under alternative</w:t>
      </w:r>
      <w:r>
        <w:t xml:space="preserve"> </w:t>
      </w:r>
      <w:r>
        <w:t xml:space="preserve">resampling units. The point estimate does not depend on the resampling scheme.</w:t>
      </w:r>
    </w:p>
    <w:tbl>
      <w:tblPr>
        <w:tblStyle w:val="Table"/>
        <w:tblW w:type="auto" w:w="0"/>
        <w:tblLook w:firstRow="1" w:lastRow="0" w:firstColumn="0" w:lastColumn="0" w:noHBand="0" w:noVBand="0" w:val="0020"/>
        <w:tblCaption w:val="Primary contrast \Delta\kappa_{\mathrm{HOM-HET}} under alternative resampling units. The point estimate does not depend on the resampling scheme."/>
      </w:tblPr>
      <w:tblGrid>
        <w:gridCol w:w="1980"/>
        <w:gridCol w:w="1980"/>
        <w:gridCol w:w="1980"/>
        <w:gridCol w:w="1980"/>
      </w:tblGrid>
      <w:tr>
        <w:trPr>
          <w:tblHeader w:val="on"/>
        </w:trPr>
        <w:tc>
          <w:tcPr/>
          <w:p>
            <w:pPr>
              <w:pStyle w:val="Compact"/>
              <w:jc w:val="left"/>
            </w:pPr>
            <w:r>
              <w:t xml:space="preserve">Resampling unit</w:t>
            </w:r>
          </w:p>
        </w:tc>
        <w:tc>
          <w:tcPr/>
          <w:p>
            <w:pPr>
              <w:pStyle w:val="Compact"/>
              <w:jc w:val="center"/>
            </w:pPr>
            <w:r>
              <w:t xml:space="preserve">Clusters</w:t>
            </w:r>
          </w:p>
        </w:tc>
        <w:tc>
          <w:tcPr/>
          <w:p>
            <w:pPr>
              <w:pStyle w:val="Compact"/>
              <w:jc w:val="center"/>
            </w:pPr>
            <m:oMath>
              <m:r>
                <m:rPr>
                  <m:sty m:val="p"/>
                </m:rPr>
                <m:t>Δ</m:t>
              </m:r>
              <m:r>
                <m:t>κ</m:t>
              </m:r>
            </m:oMath>
            <w:r>
              <w:t xml:space="preserve">​</w:t>
            </w:r>
          </w:p>
        </w:tc>
        <w:tc>
          <w:tcPr/>
          <w:p>
            <w:pPr>
              <w:pStyle w:val="Compact"/>
              <w:jc w:val="center"/>
            </w:pPr>
            <w:r>
              <w:t xml:space="preserve">95% CI</w:t>
            </w:r>
          </w:p>
        </w:tc>
      </w:tr>
      <w:tr>
        <w:tc>
          <w:tcPr/>
          <w:p>
            <w:pPr>
              <w:pStyle w:val="Compact"/>
              <w:jc w:val="left"/>
            </w:pPr>
            <w:r>
              <w:t xml:space="preserve">Equity (pre-reg.)</w:t>
            </w:r>
          </w:p>
        </w:tc>
        <w:tc>
          <w:tcPr/>
          <w:p>
            <w:pPr>
              <w:pStyle w:val="Compact"/>
              <w:jc w:val="center"/>
            </w:pPr>
            <w:r>
              <w:t xml:space="preserve">100</w:t>
            </w:r>
          </w:p>
        </w:tc>
        <w:tc>
          <w:tcPr/>
          <w:p>
            <w:pPr>
              <w:pStyle w:val="Compact"/>
              <w:jc w:val="center"/>
            </w:pPr>
            <w:r>
              <w:t xml:space="preserve">0.3363</w:t>
            </w:r>
          </w:p>
        </w:tc>
        <w:tc>
          <w:tcPr/>
          <w:p>
            <w:pPr>
              <w:pStyle w:val="Compact"/>
              <w:jc w:val="center"/>
            </w:pPr>
            <m:oMath>
              <m:r>
                <m:rPr>
                  <m:sty m:val="p"/>
                </m:rPr>
                <m:t>[</m:t>
              </m:r>
              <m:r>
                <m:t>0.3035</m:t>
              </m:r>
              <m:r>
                <m:rPr>
                  <m:sty m:val="p"/>
                </m:rPr>
                <m:t>,</m:t>
              </m:r>
              <m:r>
                <m:t> </m:t>
              </m:r>
              <m:r>
                <m:t>0.3689</m:t>
              </m:r>
              <m:r>
                <m:rPr>
                  <m:sty m:val="p"/>
                </m:rPr>
                <m:t>]</m:t>
              </m:r>
            </m:oMath>
            <w:r>
              <w:t xml:space="preserve">​</w:t>
            </w:r>
          </w:p>
        </w:tc>
      </w:tr>
      <w:tr>
        <w:tc>
          <w:tcPr/>
          <w:p>
            <w:pPr>
              <w:pStyle w:val="Compact"/>
              <w:jc w:val="left"/>
            </w:pPr>
            <w:r>
              <w:t xml:space="preserve">Analysis date</w:t>
            </w:r>
          </w:p>
        </w:tc>
        <w:tc>
          <w:tcPr/>
          <w:p>
            <w:pPr>
              <w:pStyle w:val="Compact"/>
              <w:jc w:val="center"/>
            </w:pPr>
            <w:r>
              <w:t xml:space="preserve">12</w:t>
            </w:r>
          </w:p>
        </w:tc>
        <w:tc>
          <w:tcPr/>
          <w:p>
            <w:pPr>
              <w:pStyle w:val="Compact"/>
              <w:jc w:val="center"/>
            </w:pPr>
            <w:r>
              <w:t xml:space="preserve">0.3363</w:t>
            </w:r>
          </w:p>
        </w:tc>
        <w:tc>
          <w:tcPr/>
          <w:p>
            <w:pPr>
              <w:pStyle w:val="Compact"/>
              <w:jc w:val="center"/>
            </w:pPr>
            <m:oMath>
              <m:r>
                <m:rPr>
                  <m:sty m:val="p"/>
                </m:rPr>
                <m:t>[</m:t>
              </m:r>
              <m:r>
                <m:t>0.2989</m:t>
              </m:r>
              <m:r>
                <m:rPr>
                  <m:sty m:val="p"/>
                </m:rPr>
                <m:t>,</m:t>
              </m:r>
              <m:r>
                <m:t> </m:t>
              </m:r>
              <m:r>
                <m:t>0.3656</m:t>
              </m:r>
              <m:r>
                <m:rPr>
                  <m:sty m:val="p"/>
                </m:rPr>
                <m:t>]</m:t>
              </m:r>
            </m:oMath>
            <w:r>
              <w:t xml:space="preserve">​</w:t>
            </w:r>
          </w:p>
        </w:tc>
      </w:tr>
      <w:tr>
        <w:tc>
          <w:tcPr/>
          <w:p>
            <w:pPr>
              <w:pStyle w:val="Compact"/>
              <w:jc w:val="left"/>
            </w:pPr>
            <w:r>
              <w:t xml:space="preserve">Two-way</w:t>
            </w:r>
          </w:p>
        </w:tc>
        <w:tc>
          <w:tcPr/>
          <w:p>
            <w:pPr>
              <w:pStyle w:val="Compact"/>
              <w:jc w:val="center"/>
            </w:pPr>
            <w:r>
              <w:t xml:space="preserve">1200</w:t>
            </w:r>
          </w:p>
        </w:tc>
        <w:tc>
          <w:tcPr/>
          <w:p>
            <w:pPr>
              <w:pStyle w:val="Compact"/>
              <w:jc w:val="center"/>
            </w:pPr>
            <w:r>
              <w:t xml:space="preserve">0.3363</w:t>
            </w:r>
          </w:p>
        </w:tc>
        <w:tc>
          <w:tcPr/>
          <w:p>
            <w:pPr>
              <w:pStyle w:val="Compact"/>
              <w:jc w:val="center"/>
            </w:pPr>
            <m:oMath>
              <m:r>
                <m:rPr>
                  <m:sty m:val="p"/>
                </m:rPr>
                <m:t>[</m:t>
              </m:r>
              <m:r>
                <m:t>0.2786</m:t>
              </m:r>
              <m:r>
                <m:rPr>
                  <m:sty m:val="p"/>
                </m:rPr>
                <m:t>,</m:t>
              </m:r>
              <m:r>
                <m:t> </m:t>
              </m:r>
              <m:r>
                <m:t>0.3877</m:t>
              </m:r>
              <m:r>
                <m:rPr>
                  <m:sty m:val="p"/>
                </m:rPr>
                <m:t>]</m:t>
              </m:r>
            </m:oMath>
            <w:r>
              <w:t xml:space="preserve">​</w:t>
            </w:r>
          </w:p>
        </w:tc>
      </w:tr>
    </w:tbl>
    <w:bookmarkEnd w:id="36"/>
    <w:bookmarkEnd w:id="37"/>
    <w:bookmarkStart w:id="38" w:name="subsec:errcorr"/>
    <w:p>
      <w:pPr>
        <w:pStyle w:val="Heading2"/>
      </w:pPr>
      <w:r>
        <w:t xml:space="preserve">Agreement, error correlation, and what</w:t>
      </w:r>
      <w:r>
        <w:t xml:space="preserve"> </w:t>
      </w:r>
      <w:r>
        <w:t xml:space="preserve">“de-correlation”</w:t>
      </w:r>
      <w:r>
        <w:t xml:space="preserve"> </w:t>
      </w:r>
      <w:r>
        <w:t xml:space="preserve">denotes</w:t>
      </w:r>
    </w:p>
    <w:p>
      <w:pPr>
        <w:pStyle w:val="FirstParagraph"/>
      </w:pPr>
      <w:r>
        <w:t xml:space="preserve">Fleiss’</w:t>
      </w:r>
      <w:r>
        <w:t xml:space="preserve"> </w:t>
      </w:r>
      <m:oMath>
        <m:r>
          <m:t>κ</m:t>
        </m:r>
      </m:oMath>
      <w:r>
        <w:t xml:space="preserve"> </w:t>
      </w:r>
      <w:r>
        <w:t xml:space="preserve">measures agreement between labels irrespective of whether those</w:t>
      </w:r>
      <w:r>
        <w:t xml:space="preserve"> </w:t>
      </w:r>
      <w:r>
        <w:t xml:space="preserve">labels are correct. It is therefore not, by itself, a measure of correlation</w:t>
      </w:r>
      <w:r>
        <w:t xml:space="preserve"> </w:t>
      </w:r>
      <w:r>
        <w:t xml:space="preserve">between errors. Because this article’s central quantity is described as</w:t>
      </w:r>
      <w:r>
        <w:t xml:space="preserve"> </w:t>
      </w:r>
      <w:r>
        <w:t xml:space="preserve">de-correlation, we distinguish five notions that are easily conflated and report</w:t>
      </w:r>
      <w:r>
        <w:t xml:space="preserve"> </w:t>
      </w:r>
      <w:r>
        <w:t xml:space="preserve">the one the term denotes.</w:t>
      </w:r>
    </w:p>
    <w:p>
      <w:pPr>
        <w:numPr>
          <w:ilvl w:val="0"/>
          <w:numId w:val="1003"/>
        </w:numPr>
      </w:pPr>
      <w:r>
        <w:rPr>
          <w:i/>
          <w:iCs/>
        </w:rPr>
        <w:t xml:space="preserve">Output agreement</w:t>
      </w:r>
      <w:r>
        <w:t xml:space="preserve">: how often agents emit the same label. Measured by</w:t>
      </w:r>
      <w:r>
        <w:t xml:space="preserve"> </w:t>
      </w:r>
      <m:oMath>
        <m:r>
          <m:t>κ</m:t>
        </m:r>
      </m:oMath>
      <w:r>
        <w:t xml:space="preserve">; it is what the primary endpoint contrasts.</w:t>
      </w:r>
    </w:p>
    <w:p>
      <w:pPr>
        <w:numPr>
          <w:ilvl w:val="0"/>
          <w:numId w:val="1003"/>
        </w:numPr>
      </w:pPr>
      <w:r>
        <w:rPr>
          <w:i/>
          <w:iCs/>
        </w:rPr>
        <w:t xml:space="preserve">Error correlation</w:t>
      </w:r>
      <w:r>
        <w:t xml:space="preserve">: dependence between agents’</w:t>
      </w:r>
      <w:r>
        <w:t xml:space="preserve"> </w:t>
      </w:r>
      <w:r>
        <w:rPr>
          <w:i/>
          <w:iCs/>
        </w:rPr>
        <w:t xml:space="preserve">mistakes</w:t>
      </w:r>
      <w:r>
        <w:t xml:space="preserve">,</w:t>
      </w:r>
      <w:r>
        <w:t xml:space="preserve"> </w:t>
      </w:r>
      <w:r>
        <w:t xml:space="preserve">measured below by</w:t>
      </w:r>
      <w:r>
        <w:t xml:space="preserve"> </w:t>
      </w:r>
      <m:oMath>
        <m:r>
          <m:t>ϕ</m:t>
        </m:r>
      </m:oMath>
      <w:r>
        <w:t xml:space="preserve">.</w:t>
      </w:r>
    </w:p>
    <w:p>
      <w:pPr>
        <w:numPr>
          <w:ilvl w:val="0"/>
          <w:numId w:val="1003"/>
        </w:numPr>
      </w:pPr>
      <w:r>
        <w:rPr>
          <w:i/>
          <w:iCs/>
        </w:rPr>
        <w:t xml:space="preserve">Sampling independence</w:t>
      </w:r>
      <w:r>
        <w:t xml:space="preserve">: whether two draws share a random seed or a</w:t>
      </w:r>
      <w:r>
        <w:t xml:space="preserve"> </w:t>
      </w:r>
      <w:r>
        <w:t xml:space="preserve">decoding path. Addressed by the independent-draw protocol of</w:t>
      </w:r>
      <w:r>
        <w:t xml:space="preserve"> </w:t>
      </w:r>
      <w:r>
        <w:t xml:space="preserve">Section </w:t>
      </w:r>
      <w:hyperlink w:anchor="subsec:estimand">
        <w:r>
          <w:rPr>
            <w:rStyle w:val="Hyperlink"/>
          </w:rPr>
          <w:t xml:space="preserve">3.3</w:t>
        </w:r>
      </w:hyperlink>
      <w:r>
        <w:t xml:space="preserve">; it is a property of the measurement apparatus, not</w:t>
      </w:r>
      <w:r>
        <w:t xml:space="preserve"> </w:t>
      </w:r>
      <w:r>
        <w:t xml:space="preserve">of the models.</w:t>
      </w:r>
    </w:p>
    <w:p>
      <w:pPr>
        <w:numPr>
          <w:ilvl w:val="0"/>
          <w:numId w:val="1003"/>
        </w:numPr>
      </w:pPr>
      <w:r>
        <w:rPr>
          <w:i/>
          <w:iCs/>
        </w:rPr>
        <w:t xml:space="preserve">Model diversity</w:t>
      </w:r>
      <w:r>
        <w:t xml:space="preserve">: differences in weights, architecture, or training</w:t>
      </w:r>
      <w:r>
        <w:t xml:space="preserve"> </w:t>
      </w:r>
      <w:r>
        <w:t xml:space="preserve">data between the agents.</w:t>
      </w:r>
    </w:p>
    <w:p>
      <w:pPr>
        <w:numPr>
          <w:ilvl w:val="0"/>
          <w:numId w:val="1003"/>
        </w:numPr>
      </w:pPr>
      <w:r>
        <w:rPr>
          <w:i/>
          <w:iCs/>
        </w:rPr>
        <w:t xml:space="preserve">Provider diversity</w:t>
      </w:r>
      <w:r>
        <w:t xml:space="preserve">: whether agents are supplied by different</w:t>
      </w:r>
      <w:r>
        <w:t xml:space="preserve"> </w:t>
      </w:r>
      <w:r>
        <w:t xml:space="preserve">organisations. This is the factor the design varies.</w:t>
      </w:r>
    </w:p>
    <w:p>
      <w:pPr>
        <w:pStyle w:val="FirstParagraph"/>
      </w:pPr>
      <w:r>
        <w:t xml:space="preserve">To establish that heterogeneity reduces error dependence and not merely label</w:t>
      </w:r>
      <w:r>
        <w:t xml:space="preserve"> </w:t>
      </w:r>
      <w:r>
        <w:t xml:space="preserve">agreement, we compute, for every pair of agents within an ensemble cell, the</w:t>
      </w:r>
      <w:r>
        <w:t xml:space="preserve"> </w:t>
      </w:r>
      <w:r>
        <w:t xml:space="preserve">Pearson correlation</w:t>
      </w:r>
      <w:r>
        <w:t xml:space="preserve"> </w:t>
      </w:r>
      <m:oMath>
        <m:r>
          <m:t>ϕ</m:t>
        </m:r>
      </m:oMath>
      <w:r>
        <w:t xml:space="preserve"> </w:t>
      </w:r>
      <w:r>
        <w:t xml:space="preserve">between their binary error indicators against the</w:t>
      </w:r>
      <w:r>
        <w:t xml:space="preserve"> </w:t>
      </w:r>
      <w:r>
        <w:t xml:space="preserve">forward-return sign. Confidence intervals use the same equity-clustered bootstrap</w:t>
      </w:r>
      <w:r>
        <w:t xml:space="preserve"> </w:t>
      </w:r>
      <w:r>
        <w:t xml:space="preserve">as the primary endpoint.</w:t>
      </w:r>
    </w:p>
    <w:p>
      <w:pPr>
        <w:pStyle w:val="BodyText"/>
      </w:pPr>
      <w:r>
        <w:t xml:space="preserve">Error correlation falls monotonically with heterogeneity:</w:t>
      </w:r>
      <w:r>
        <w:t xml:space="preserve"> </w:t>
      </w:r>
      <m:oMath>
        <m:r>
          <m:t>ϕ</m:t>
        </m:r>
        <m:r>
          <m:rPr>
            <m:sty m:val="p"/>
          </m:rPr>
          <m:t>=</m:t>
        </m:r>
        <m:r>
          <m:t>0.984</m:t>
        </m:r>
      </m:oMath>
      <w:r>
        <w:t xml:space="preserve"> </w:t>
      </w:r>
      <w:r>
        <w:t xml:space="preserve">for</w:t>
      </w:r>
      <w:r>
        <w:t xml:space="preserve"> </w:t>
      </w:r>
      <w:r>
        <w:t xml:space="preserve">HOM,</w:t>
      </w:r>
      <w:r>
        <w:t xml:space="preserve"> </w:t>
      </w:r>
      <m:oMath>
        <m:r>
          <m:t>0.742</m:t>
        </m:r>
      </m:oMath>
      <w:r>
        <w:t xml:space="preserve"> </w:t>
      </w:r>
      <w:r>
        <w:t xml:space="preserve">for HET-LITE, and</w:t>
      </w:r>
      <w:r>
        <w:t xml:space="preserve"> </w:t>
      </w:r>
      <m:oMath>
        <m:r>
          <m:t>0.530</m:t>
        </m:r>
      </m:oMath>
      <w:r>
        <w:t xml:space="preserve"> </w:t>
      </w:r>
      <w:r>
        <w:t xml:space="preserve">for HET, giving</w:t>
      </w:r>
      <w:r>
        <w:t xml:space="preserve"> </w:t>
      </w:r>
      <m:oMath>
        <m:r>
          <m:rPr>
            <m:sty m:val="p"/>
          </m:rPr>
          <m:t>Δ</m:t>
        </m:r>
        <m:sSub>
          <m:e>
            <m:r>
              <m:t>ϕ</m:t>
            </m:r>
          </m:e>
          <m:sub>
            <m:r>
              <m:rPr>
                <m:sty m:val="p"/>
              </m:rPr>
              <m:t>H</m:t>
            </m:r>
            <m:r>
              <m:rPr>
                <m:sty m:val="p"/>
              </m:rPr>
              <m:t>O</m:t>
            </m:r>
            <m:r>
              <m:rPr>
                <m:sty m:val="p"/>
              </m:rPr>
              <m:t>M</m:t>
            </m:r>
            <m:r>
              <m:rPr>
                <m:sty m:val="p"/>
              </m:rPr>
              <m:t>−</m:t>
            </m:r>
            <m:r>
              <m:rPr>
                <m:sty m:val="p"/>
              </m:rPr>
              <m:t>H</m:t>
            </m:r>
            <m:r>
              <m:rPr>
                <m:sty m:val="p"/>
              </m:rPr>
              <m:t>E</m:t>
            </m:r>
            <m:r>
              <m:rPr>
                <m:sty m:val="p"/>
              </m:rPr>
              <m:t>T</m:t>
            </m:r>
          </m:sub>
        </m:sSub>
        <m:r>
          <m:rPr>
            <m:sty m:val="p"/>
          </m:rPr>
          <m:t>=</m:t>
        </m:r>
        <m:r>
          <m:t>0.454</m:t>
        </m:r>
      </m:oMath>
      <w:r>
        <w:t xml:space="preserve"> </w:t>
      </w:r>
      <w:r>
        <w:t xml:space="preserve">(95% CI</w:t>
      </w:r>
      <w:r>
        <w:t xml:space="preserve"> </w:t>
      </w:r>
      <m:oMath>
        <m:r>
          <m:rPr>
            <m:sty m:val="p"/>
          </m:rPr>
          <m:t>[</m:t>
        </m:r>
        <m:r>
          <m:t>0.376</m:t>
        </m:r>
        <m:r>
          <m:rPr>
            <m:sty m:val="p"/>
          </m:rPr>
          <m:t>,</m:t>
        </m:r>
        <m:r>
          <m:t> </m:t>
        </m:r>
        <m:r>
          <m:t>0.534</m:t>
        </m:r>
        <m:r>
          <m:rPr>
            <m:sty m:val="p"/>
          </m:rPr>
          <m:t>]</m:t>
        </m:r>
      </m:oMath>
      <w:r>
        <w:t xml:space="preserve">). Because</w:t>
      </w:r>
      <w:r>
        <w:t xml:space="preserve"> </w:t>
      </w:r>
      <w:r>
        <w:t xml:space="preserve">abstentions are excluded, the scored subset differs across configurations. We</w:t>
      </w:r>
      <w:r>
        <w:t xml:space="preserve"> </w:t>
      </w:r>
      <w:r>
        <w:t xml:space="preserve">therefore repeat the calculation counting HOLD as an error, which fixes an</w:t>
      </w:r>
      <w:r>
        <w:t xml:space="preserve"> </w:t>
      </w:r>
      <w:r>
        <w:t xml:space="preserve">identical subset for every configuration and removes that selection:</w:t>
      </w:r>
      <w:r>
        <w:t xml:space="preserve"> </w:t>
      </w:r>
      <m:oMath>
        <m:r>
          <m:t>ϕ</m:t>
        </m:r>
      </m:oMath>
      <w:r>
        <w:t xml:space="preserve"> </w:t>
      </w:r>
      <w:r>
        <w:t xml:space="preserve">is</w:t>
      </w:r>
      <w:r>
        <w:t xml:space="preserve"> </w:t>
      </w:r>
      <m:oMath>
        <m:r>
          <m:t>0.586</m:t>
        </m:r>
      </m:oMath>
      <w:r>
        <w:t xml:space="preserve">,</w:t>
      </w:r>
      <w:r>
        <w:t xml:space="preserve"> </w:t>
      </w:r>
      <m:oMath>
        <m:r>
          <m:t>0.359</m:t>
        </m:r>
      </m:oMath>
      <w:r>
        <w:t xml:space="preserve">, and</w:t>
      </w:r>
      <w:r>
        <w:t xml:space="preserve"> </w:t>
      </w:r>
      <m:oMath>
        <m:r>
          <m:t>0.277</m:t>
        </m:r>
      </m:oMath>
      <w:r>
        <w:t xml:space="preserve">, with</w:t>
      </w:r>
      <w:r>
        <w:t xml:space="preserve"> </w:t>
      </w:r>
      <m:oMath>
        <m:r>
          <m:rPr>
            <m:sty m:val="p"/>
          </m:rPr>
          <m:t>Δ</m:t>
        </m:r>
        <m:sSub>
          <m:e>
            <m:r>
              <m:t>ϕ</m:t>
            </m:r>
          </m:e>
          <m:sub>
            <m:r>
              <m:rPr>
                <m:sty m:val="p"/>
              </m:rPr>
              <m:t>H</m:t>
            </m:r>
            <m:r>
              <m:rPr>
                <m:sty m:val="p"/>
              </m:rPr>
              <m:t>O</m:t>
            </m:r>
            <m:r>
              <m:rPr>
                <m:sty m:val="p"/>
              </m:rPr>
              <m:t>M</m:t>
            </m:r>
            <m:r>
              <m:rPr>
                <m:sty m:val="p"/>
              </m:rPr>
              <m:t>−</m:t>
            </m:r>
            <m:r>
              <m:rPr>
                <m:sty m:val="p"/>
              </m:rPr>
              <m:t>H</m:t>
            </m:r>
            <m:r>
              <m:rPr>
                <m:sty m:val="p"/>
              </m:rPr>
              <m:t>E</m:t>
            </m:r>
            <m:r>
              <m:rPr>
                <m:sty m:val="p"/>
              </m:rPr>
              <m:t>T</m:t>
            </m:r>
          </m:sub>
        </m:sSub>
        <m:r>
          <m:rPr>
            <m:sty m:val="p"/>
          </m:rPr>
          <m:t>=</m:t>
        </m:r>
        <m:r>
          <m:t>0.309</m:t>
        </m:r>
      </m:oMath>
      <w:r>
        <w:t xml:space="preserve"> </w:t>
      </w:r>
      <w:r>
        <w:t xml:space="preserve">(95% CI</w:t>
      </w:r>
      <w:r>
        <w:t xml:space="preserve"> </w:t>
      </w:r>
      <m:oMath>
        <m:r>
          <m:rPr>
            <m:sty m:val="p"/>
          </m:rPr>
          <m:t>[</m:t>
        </m:r>
        <m:r>
          <m:t>0.262</m:t>
        </m:r>
        <m:r>
          <m:rPr>
            <m:sty m:val="p"/>
          </m:rPr>
          <m:t>,</m:t>
        </m:r>
        <m:r>
          <m:t> </m:t>
        </m:r>
        <m:r>
          <m:t>0.354</m:t>
        </m:r>
        <m:r>
          <m:rPr>
            <m:sty m:val="p"/>
          </m:rPr>
          <m:t>]</m:t>
        </m:r>
      </m:oMath>
      <w:r>
        <w:t xml:space="preserve">). Both</w:t>
      </w:r>
      <w:r>
        <w:t xml:space="preserve"> </w:t>
      </w:r>
      <w:r>
        <w:t xml:space="preserve">treatments give a monotone decline whose interval excludes zero, so the estimate</w:t>
      </w:r>
      <w:r>
        <w:t xml:space="preserve"> </w:t>
      </w:r>
      <w:r>
        <w:t xml:space="preserve">is bracketed rather than dependent on the treatment of abstentions.</w:t>
      </w:r>
    </w:p>
    <w:p>
      <w:pPr>
        <w:pStyle w:val="BodyText"/>
      </w:pPr>
      <w:r>
        <w:t xml:space="preserve">Two qualifications follow. Mean per-agent error rates are close across</w:t>
      </w:r>
      <w:r>
        <w:t xml:space="preserve"> </w:t>
      </w:r>
      <w:r>
        <w:t xml:space="preserve">configurations, so the decline is a change in dependence rather than a</w:t>
      </w:r>
      <w:r>
        <w:t xml:space="preserve"> </w:t>
      </w:r>
      <w:r>
        <w:t xml:space="preserve">consequence of differing accuracy. And de-correlation is partial, not complete:</w:t>
      </w:r>
      <w:r>
        <w:t xml:space="preserve"> </w:t>
      </w:r>
      <w:r>
        <w:t xml:space="preserve">heterogeneous agents still err together more often than independence would imply.</w:t>
      </w:r>
      <w:r>
        <w:t xml:space="preserve"> </w:t>
      </w:r>
      <w:r>
        <w:t xml:space="preserve">The term is used in this article in sense (2) above, and the evidence for it is</w:t>
      </w:r>
      <w:r>
        <w:t xml:space="preserve"> </w:t>
      </w:r>
      <w:r>
        <w:t xml:space="preserve">the</w:t>
      </w:r>
      <w:r>
        <w:t xml:space="preserve"> </w:t>
      </w:r>
      <m:oMath>
        <m:r>
          <m:t>ϕ</m:t>
        </m:r>
      </m:oMath>
      <w:r>
        <w:t xml:space="preserve"> </w:t>
      </w:r>
      <w:r>
        <w:t xml:space="preserve">contrast reported here rather than the</w:t>
      </w:r>
      <w:r>
        <w:t xml:space="preserve"> </w:t>
      </w:r>
      <m:oMath>
        <m:r>
          <m:t>κ</m:t>
        </m:r>
      </m:oMath>
      <w:r>
        <w:t xml:space="preserve"> </w:t>
      </w:r>
      <w:r>
        <w:t xml:space="preserve">contrast.</w:t>
      </w:r>
    </w:p>
    <w:bookmarkEnd w:id="38"/>
    <w:bookmarkStart w:id="39" w:name="subsec:frontier"/>
    <w:p>
      <w:pPr>
        <w:pStyle w:val="Heading2"/>
      </w:pPr>
      <w:r>
        <w:t xml:space="preserve">The agreement–cost frontier</w:t>
      </w:r>
    </w:p>
    <w:p>
      <w:pPr>
        <w:pStyle w:val="FirstParagraph"/>
      </w:pPr>
      <w:r>
        <w:t xml:space="preserve">The reduction in agreement is accompanied by higher inference cost. Cost per</w:t>
      </w:r>
      <w:r>
        <w:t xml:space="preserve"> </w:t>
      </w:r>
      <w:r>
        <w:t xml:space="preserve">ensemble decision is computed from metered token counts: for every call the</w:t>
      </w:r>
      <w:r>
        <w:t xml:space="preserve"> </w:t>
      </w:r>
      <w:r>
        <w:t xml:space="preserve">prompt and completion tokens returned by the provider are priced at the</w:t>
      </w:r>
      <w:r>
        <w:t xml:space="preserve"> </w:t>
      </w:r>
      <w:r>
        <w:t xml:space="preserve">per-million rates in Table </w:t>
      </w:r>
      <w:hyperlink w:anchor="tab:models">
        <w:r>
          <w:rPr>
            <w:rStyle w:val="Hyperlink"/>
          </w:rPr>
          <w:t xml:space="preserve">1</w:t>
        </w:r>
      </w:hyperlink>
      <w:r>
        <w:t xml:space="preserve">, summed over the five agents in a</w:t>
      </w:r>
      <w:r>
        <w:t xml:space="preserve"> </w:t>
      </w:r>
      <w:r>
        <w:t xml:space="preserve">cell, and averaged over all cells in a configuration. Prices are those in force</w:t>
      </w:r>
      <w:r>
        <w:t xml:space="preserve"> </w:t>
      </w:r>
      <w:r>
        <w:t xml:space="preserve">during collection and are held fixed across configurations, so the ratio between</w:t>
      </w:r>
      <w:r>
        <w:t xml:space="preserve"> </w:t>
      </w:r>
      <w:r>
        <w:t xml:space="preserve">configurations reflects token usage and model mix rather than price movement. No</w:t>
      </w:r>
      <w:r>
        <w:t xml:space="preserve"> </w:t>
      </w:r>
      <w:r>
        <w:t xml:space="preserve">discount, batching, or caching rate is assumed, and failed calls are excluded</w:t>
      </w:r>
      <w:r>
        <w:t xml:space="preserve"> </w:t>
      </w:r>
      <w:r>
        <w:t xml:space="preserve">because they return no billable completion. The observed</w:t>
      </w:r>
      <w:r>
        <w:t xml:space="preserve"> </w:t>
      </w:r>
      <w:r>
        <w:t xml:space="preserve">cost per five-agent ensemble decision increases from approximately</w:t>
      </w:r>
      <w:r>
        <w:t xml:space="preserve"> </w:t>
      </w:r>
      <m:oMath>
        <m:r>
          <m:rPr>
            <m:sty m:val="p"/>
          </m:rPr>
          <m:t>$</m:t>
        </m:r>
        <m:r>
          <m:t>6.5</m:t>
        </m:r>
        <m:r>
          <m:rPr>
            <m:sty m:val="p"/>
          </m:rPr>
          <m:t>×</m:t>
        </m:r>
        <m:sSup>
          <m:e>
            <m:r>
              <m:t>10</m:t>
            </m:r>
          </m:e>
          <m:sup>
            <m:r>
              <m:rPr>
                <m:sty m:val="p"/>
              </m:rPr>
              <m:t>−</m:t>
            </m:r>
            <m:r>
              <m:t>4</m:t>
            </m:r>
          </m:sup>
        </m:sSup>
      </m:oMath>
      <w:r>
        <w:t xml:space="preserve"> </w:t>
      </w:r>
      <w:r>
        <w:t xml:space="preserve">for HOM to</w:t>
      </w:r>
      <w:r>
        <w:t xml:space="preserve"> </w:t>
      </w:r>
      <m:oMath>
        <m:r>
          <m:rPr>
            <m:sty m:val="p"/>
          </m:rPr>
          <m:t>$</m:t>
        </m:r>
        <m:r>
          <m:t>1.5</m:t>
        </m:r>
        <m:r>
          <m:rPr>
            <m:sty m:val="p"/>
          </m:rPr>
          <m:t>×</m:t>
        </m:r>
        <m:sSup>
          <m:e>
            <m:r>
              <m:t>10</m:t>
            </m:r>
          </m:e>
          <m:sup>
            <m:r>
              <m:rPr>
                <m:sty m:val="p"/>
              </m:rPr>
              <m:t>−</m:t>
            </m:r>
            <m:r>
              <m:t>3</m:t>
            </m:r>
          </m:sup>
        </m:sSup>
      </m:oMath>
      <w:r>
        <w:t xml:space="preserve"> </w:t>
      </w:r>
      <w:r>
        <w:t xml:space="preserve">for HET-LITE and</w:t>
      </w:r>
      <w:r>
        <w:t xml:space="preserve"> </w:t>
      </w:r>
      <m:oMath>
        <m:r>
          <m:rPr>
            <m:sty m:val="p"/>
          </m:rPr>
          <m:t>$</m:t>
        </m:r>
        <m:r>
          <m:t>2.8</m:t>
        </m:r>
        <m:r>
          <m:rPr>
            <m:sty m:val="p"/>
          </m:rPr>
          <m:t>×</m:t>
        </m:r>
        <m:sSup>
          <m:e>
            <m:r>
              <m:t>10</m:t>
            </m:r>
          </m:e>
          <m:sup>
            <m:r>
              <m:rPr>
                <m:sty m:val="p"/>
              </m:rPr>
              <m:t>−</m:t>
            </m:r>
            <m:r>
              <m:t>3</m:t>
            </m:r>
          </m:sup>
        </m:sSup>
      </m:oMath>
      <w:r>
        <w:t xml:space="preserve"> </w:t>
      </w:r>
      <w:r>
        <w:t xml:space="preserve">for HET. Moving from the homogeneous to the fully</w:t>
      </w:r>
      <w:r>
        <w:t xml:space="preserve"> </w:t>
      </w:r>
      <w:r>
        <w:t xml:space="preserve">heterogeneous configuration therefore increases inference cost by approximately</w:t>
      </w:r>
      <w:r>
        <w:t xml:space="preserve"> </w:t>
      </w:r>
      <m:oMath>
        <m:r>
          <m:t>4.4</m:t>
        </m:r>
        <m:r>
          <m:rPr>
            <m:sty m:val="p"/>
          </m:rPr>
          <m:t>×</m:t>
        </m:r>
      </m:oMath>
      <w:r>
        <w:t xml:space="preserve"> </w:t>
      </w:r>
      <w:r>
        <w:t xml:space="preserve">(Table </w:t>
      </w:r>
      <w:hyperlink w:anchor="tab:frontier">
        <w:r>
          <w:rPr>
            <w:rStyle w:val="Hyperlink"/>
          </w:rPr>
          <w:t xml:space="preserve">4</w:t>
        </w:r>
      </w:hyperlink>
      <w:r>
        <w:t xml:space="preserve">). Fig. </w:t>
      </w:r>
      <w:hyperlink w:anchor="fig:frontier">
        <w:r>
          <w:rPr>
            <w:rStyle w:val="Hyperlink"/>
          </w:rPr>
          <w:t xml:space="preserve">1</w:t>
        </w:r>
      </w:hyperlink>
      <w:r>
        <w:t xml:space="preserve"> </w:t>
      </w:r>
      <w:r>
        <w:t xml:space="preserve">presents</w:t>
      </w:r>
      <w:r>
        <w:t xml:space="preserve"> </w:t>
      </w:r>
      <w:r>
        <w:t xml:space="preserve">within-ensemble agreement against inference cost for the three configurations.</w:t>
      </w:r>
      <w:r>
        <w:t xml:space="preserve"> </w:t>
      </w:r>
      <w:r>
        <w:t xml:space="preserve">The resulting frontier quantifies the additional expenditure associated with</w:t>
      </w:r>
      <w:r>
        <w:t xml:space="preserve"> </w:t>
      </w:r>
      <w:r>
        <w:t xml:space="preserve">lower agreement and allows ensemble configurations to be compared jointly on</w:t>
      </w:r>
      <w:r>
        <w:t xml:space="preserve"> </w:t>
      </w:r>
      <w:r>
        <w:t xml:space="preserve">behavioral diversity and cost. The frontier does not, by itself, establish that</w:t>
      </w:r>
      <w:r>
        <w:t xml:space="preserve"> </w:t>
      </w:r>
      <w:r>
        <w:t xml:space="preserve">the additional disagreement improves downstream predictive performance.</w:t>
      </w:r>
    </w:p>
    <w:bookmarkEnd w:id="39"/>
    <w:bookmarkStart w:id="51" w:name="sec:protocol"/>
    <w:p>
      <w:pPr>
        <w:pStyle w:val="Heading2"/>
      </w:pPr>
      <w:r>
        <w:t xml:space="preserve">Shared-seed dependence and measurement validation</w:t>
      </w:r>
    </w:p>
    <w:bookmarkStart w:id="41" w:name="exactly-what-was-shared"/>
    <w:p>
      <w:pPr>
        <w:pStyle w:val="Heading4"/>
      </w:pPr>
      <w:r>
        <w:t xml:space="preserve">Exactly what was shared</w:t>
      </w:r>
    </w:p>
    <w:p>
      <w:pPr>
        <w:pStyle w:val="FirstParagraph"/>
      </w:pPr>
      <w:r>
        <w:t xml:space="preserve">In the initial pilot implementation, the random seed was derived at the</w:t>
      </w:r>
      <w:r>
        <w:t xml:space="preserve"> </w:t>
      </w:r>
      <w:r>
        <w:t xml:space="preserve">ensemble-run level rather than at the individual-agent level. Consequently, all</w:t>
      </w:r>
      <w:r>
        <w:t xml:space="preserve"> </w:t>
      </w:r>
      <w:r>
        <w:t xml:space="preserve">five same-model agents evaluating a given cell received the same prompt and</w:t>
      </w:r>
      <w:r>
        <w:t xml:space="preserve"> </w:t>
      </w:r>
      <w:r>
        <w:t xml:space="preserve">seed. Under this configuration, the calls produced near-verbatim responses,</w:t>
      </w:r>
      <w:r>
        <w:t xml:space="preserve"> </w:t>
      </w:r>
      <w:r>
        <w:t xml:space="preserve">indicating that they did not function as independent draws for the purpose of</w:t>
      </w:r>
      <w:r>
        <w:t xml:space="preserve"> </w:t>
      </w:r>
      <w:r>
        <w:t xml:space="preserve">measuring homogeneous-model agreement. The confirmatory implementation instead</w:t>
      </w:r>
      <w:r>
        <w:t xml:space="preserve"> </w:t>
      </w:r>
      <w:r>
        <w:t xml:space="preserve">assigns every agent a unique, reproducible seed determined by its run,</w:t>
      </w:r>
      <w:r>
        <w:t xml:space="preserve"> </w:t>
      </w:r>
      <w:r>
        <w:t xml:space="preserve">configuration, equity, date, and agent position (Fig. </w:t>
      </w:r>
      <w:hyperlink w:anchor="fig:seed">
        <w:r>
          <w:rPr>
            <w:rStyle w:val="Hyperlink"/>
          </w:rPr>
          <w:t xml:space="preserve">2</w:t>
        </w:r>
      </w:hyperlink>
      <w:r>
        <w:t xml:space="preserve">). The</w:t>
      </w:r>
      <w:r>
        <w:t xml:space="preserve"> </w:t>
      </w:r>
      <w:r>
        <w:t xml:space="preserve">prompt, model, temperature, and experimental grid remain unchanged. This</w:t>
      </w:r>
      <w:r>
        <w:t xml:space="preserve"> </w:t>
      </w:r>
      <w:r>
        <w:t xml:space="preserve">modification preserves reproducibility while allowing repeated instances of the</w:t>
      </w:r>
      <w:r>
        <w:t xml:space="preserve"> </w:t>
      </w:r>
      <w:r>
        <w:t xml:space="preserve">same model to follow distinct sampling trajectories.</w:t>
      </w:r>
    </w:p>
    <w:bookmarkStart w:id="40" w:name="fig:seed"/>
    <w:tbl>
      <w:tblPr>
        <w:tblStyle w:val="FigureTable"/>
        <w:tblW w:type="auto" w:w="0"/>
        <w:jc w:val="center"/>
        <w:tblLook w:firstRow="0" w:lastRow="0" w:firstColumn="0" w:lastColumn="0"/>
      </w:tblPr>
      <w:tblGrid>
        <w:gridCol w:w="7920"/>
      </w:tblGrid>
      <w:tr>
        <w:tc>
          <w:tcPr/>
          <w:p>
            <w:pPr>
              <w:pStyle w:val="SourceCode"/>
              <w:jc w:val="center"/>
            </w:pPr>
            <w:r>
              <w:rPr>
                <w:rStyle w:val="VerbatimChar"/>
              </w:rPr>
              <w:t xml:space="preserve"># Before (artifact): one seed shared by</w:t>
            </w:r>
            <w:r>
              <w:br/>
            </w:r>
            <w:r>
              <w:rPr>
                <w:rStyle w:val="VerbatimChar"/>
              </w:rPr>
              <w:t xml:space="preserve"># all agents in a run</w:t>
            </w:r>
            <w:r>
              <w:br/>
            </w:r>
            <w:r>
              <w:rPr>
                <w:rStyle w:val="VerbatimChar"/>
              </w:rPr>
              <w:t xml:space="preserve">seed = f(master, run)</w:t>
            </w:r>
            <w:r>
              <w:br/>
            </w:r>
            <w:r>
              <w:rPr>
                <w:rStyle w:val="VerbatimChar"/>
              </w:rPr>
              <w:t xml:space="preserve">for agent in 1..5:</w:t>
            </w:r>
            <w:r>
              <w:br/>
            </w:r>
            <w:r>
              <w:rPr>
                <w:rStyle w:val="VerbatimChar"/>
              </w:rPr>
              <w:t xml:space="preserve">    call(model, prompt, seed)  # identical draw</w:t>
            </w:r>
            <w:r>
              <w:br/>
            </w:r>
            <w:r>
              <w:br/>
            </w:r>
            <w:r>
              <w:rPr>
                <w:rStyle w:val="VerbatimChar"/>
              </w:rPr>
              <w:t xml:space="preserve"># After (fix): unique per-agent seed,</w:t>
            </w:r>
            <w:r>
              <w:br/>
            </w:r>
            <w:r>
              <w:rPr>
                <w:rStyle w:val="VerbatimChar"/>
              </w:rPr>
              <w:t xml:space="preserve"># independent draws</w:t>
            </w:r>
            <w:r>
              <w:br/>
            </w:r>
            <w:r>
              <w:rPr>
                <w:rStyle w:val="VerbatimChar"/>
              </w:rPr>
              <w:t xml:space="preserve">seed = SHA256(master, run, config,</w:t>
            </w:r>
            <w:r>
              <w:br/>
            </w:r>
            <w:r>
              <w:rPr>
                <w:rStyle w:val="VerbatimChar"/>
              </w:rPr>
              <w:t xml:space="preserve">              ticker, date, agent) &amp; 0x7FFFFFFF</w:t>
            </w:r>
            <w:r>
              <w:br/>
            </w:r>
            <w:r>
              <w:rPr>
                <w:rStyle w:val="VerbatimChar"/>
              </w:rPr>
              <w:t xml:space="preserve">call(model, prompt, seed)  # independent draw</w:t>
            </w:r>
          </w:p>
        </w:tc>
      </w:tr>
    </w:tbl>
    <w:p>
      <w:pPr>
        <w:pStyle w:val="ImageCaption"/>
      </w:pPr>
      <w:r>
        <w:t xml:space="preserve">The one-line fix. The pilot derived the seed per run, so all five</w:t>
      </w:r>
      <w:r>
        <w:t xml:space="preserve"> </w:t>
      </w:r>
      <w:r>
        <w:t xml:space="preserve">same-model agents shared a sampling path; the study derives a distinct</w:t>
      </w:r>
      <w:r>
        <w:t xml:space="preserve"> </w:t>
      </w:r>
      <w:r>
        <w:t xml:space="preserve">integer-safe seed per agent, restoring independent draws from the same model.</w:t>
      </w:r>
    </w:p>
    <w:bookmarkEnd w:id="40"/>
    <w:bookmarkEnd w:id="41"/>
    <w:bookmarkStart w:id="42" w:name="ruling-out-adjacent-explanations"/>
    <w:p>
      <w:pPr>
        <w:pStyle w:val="Heading4"/>
      </w:pPr>
      <w:r>
        <w:t xml:space="preserve">Ruling out adjacent explanations</w:t>
      </w:r>
    </w:p>
    <w:p>
      <w:pPr>
        <w:pStyle w:val="FirstParagraph"/>
      </w:pPr>
      <w:r>
        <w:t xml:space="preserve">The pilot duplication was not attributable to request batching, because every</w:t>
      </w:r>
      <w:r>
        <w:t xml:space="preserve"> </w:t>
      </w:r>
      <w:r>
        <w:t xml:space="preserve">agent response was generated through a separate API request. Prompt caching was</w:t>
      </w:r>
      <w:r>
        <w:t xml:space="preserve"> </w:t>
      </w:r>
      <w:r>
        <w:t xml:space="preserve">also disabled during collection. Within the controlled pilot setup, the</w:t>
      </w:r>
      <w:r>
        <w:t xml:space="preserve"> </w:t>
      </w:r>
      <w:r>
        <w:t xml:space="preserve">disappearance of near-duplicate behavior after introducing per-agent seeds is</w:t>
      </w:r>
      <w:r>
        <w:t xml:space="preserve"> </w:t>
      </w:r>
      <w:r>
        <w:t xml:space="preserve">therefore consistent with shared-seed dependence as the source of the inflated</w:t>
      </w:r>
      <w:r>
        <w:t xml:space="preserve"> </w:t>
      </w:r>
      <w:r>
        <w:t xml:space="preserve">agreement.</w:t>
      </w:r>
    </w:p>
    <w:bookmarkEnd w:id="42"/>
    <w:bookmarkStart w:id="48" w:name="diagnostic-verification"/>
    <w:p>
      <w:pPr>
        <w:pStyle w:val="Heading4"/>
      </w:pPr>
      <w:r>
        <w:t xml:space="preserve">Diagnostic verification</w:t>
      </w:r>
    </w:p>
    <w:p>
      <w:pPr>
        <w:pStyle w:val="FirstParagraph"/>
      </w:pPr>
      <w:r>
        <w:t xml:space="preserve">We evaluate residual within-run dependence by comparing within-run and cross-run</w:t>
      </w:r>
      <w:r>
        <w:t xml:space="preserve"> </w:t>
      </w:r>
      <w:r>
        <w:t xml:space="preserve">agreement (Table </w:t>
      </w:r>
      <w:hyperlink w:anchor="tab:nondet">
        <w:r>
          <w:rPr>
            <w:rStyle w:val="Hyperlink"/>
          </w:rPr>
          <w:t xml:space="preserve">6</w:t>
        </w:r>
      </w:hyperlink>
      <w:r>
        <w:t xml:space="preserve">). After adopting unique per-agent seeds, the</w:t>
      </w:r>
      <w:r>
        <w:t xml:space="preserve"> </w:t>
      </w:r>
      <w:r>
        <w:t xml:space="preserve">HOM within-minus-cross difference is approximately 0.001, indicating that</w:t>
      </w:r>
      <w:r>
        <w:t xml:space="preserve"> </w:t>
      </w:r>
      <w:r>
        <w:t xml:space="preserve">agreement among the five agents within a run is nearly identical to agreement</w:t>
      </w:r>
      <w:r>
        <w:t xml:space="preserve"> </w:t>
      </w:r>
      <w:r>
        <w:t xml:space="preserve">obtained from separately generated draws across runs. In the controlled pilot,</w:t>
      </w:r>
      <w:r>
        <w:t xml:space="preserve"> </w:t>
      </w:r>
      <w:r>
        <w:t xml:space="preserve">the estimated primary contrast was 0.485 under shared per-run seeding and 0.113</w:t>
      </w:r>
      <w:r>
        <w:t xml:space="preserve"> </w:t>
      </w:r>
      <w:r>
        <w:t xml:space="preserve">under independent per-agent seeding; shared seeding therefore overstated the</w:t>
      </w:r>
      <w:r>
        <w:t xml:space="preserve"> </w:t>
      </w:r>
      <w:r>
        <w:t xml:space="preserve">estimated de-correlation effect by approximately fourfold</w:t>
      </w:r>
      <w:r>
        <w:t xml:space="preserve"> </w:t>
      </w:r>
      <w:r>
        <w:t xml:space="preserve">(Fig. </w:t>
      </w:r>
      <w:hyperlink w:anchor="fig:trap">
        <w:r>
          <w:rPr>
            <w:rStyle w:val="Hyperlink"/>
          </w:rPr>
          <w:t xml:space="preserve">3</w:t>
        </w:r>
      </w:hyperlink>
      <w:r>
        <w:t xml:space="preserve">). The pilot grid comprised 8 equities</w:t>
      </w:r>
      <w:r>
        <w:t xml:space="preserve"> </w:t>
      </w:r>
      <m:oMath>
        <m:r>
          <m:rPr>
            <m:sty m:val="p"/>
          </m:rPr>
          <m:t>×</m:t>
        </m:r>
      </m:oMath>
      <w:r>
        <w:t xml:space="preserve"> </w:t>
      </w:r>
      <w:r>
        <w:t xml:space="preserve">2 analysis</w:t>
      </w:r>
      <w:r>
        <w:t xml:space="preserve"> </w:t>
      </w:r>
      <w:r>
        <w:t xml:space="preserve">dates</w:t>
      </w:r>
      <w:r>
        <w:t xml:space="preserve"> </w:t>
      </w:r>
      <m:oMath>
        <m:r>
          <m:rPr>
            <m:sty m:val="p"/>
          </m:rPr>
          <m:t>×</m:t>
        </m:r>
      </m:oMath>
      <w:r>
        <w:t xml:space="preserve"> </w:t>
      </w:r>
      <w:r>
        <w:t xml:space="preserve">2 configurations (HOM and HET)</w:t>
      </w:r>
      <w:r>
        <w:t xml:space="preserve"> </w:t>
      </w:r>
      <m:oMath>
        <m:r>
          <m:rPr>
            <m:sty m:val="p"/>
          </m:rPr>
          <m:t>×</m:t>
        </m:r>
      </m:oMath>
      <w:r>
        <w:t xml:space="preserve"> </w:t>
      </w:r>
      <w:r>
        <w:t xml:space="preserve">3 runs</w:t>
      </w:r>
      <w:r>
        <w:t xml:space="preserve"> </w:t>
      </w:r>
      <m:oMath>
        <m:r>
          <m:rPr>
            <m:sty m:val="p"/>
          </m:rPr>
          <m:t>×</m:t>
        </m:r>
      </m:oMath>
      <w:r>
        <w:t xml:space="preserve"> </w:t>
      </w:r>
      <w:r>
        <w:t xml:space="preserve">5</w:t>
      </w:r>
      <w:r>
        <w:t xml:space="preserve"> </w:t>
      </w:r>
      <w:r>
        <w:t xml:space="preserve">agents, i.e. 480 calls per seeding arm—far smaller than the confirmatory</w:t>
      </w:r>
      <w:r>
        <w:t xml:space="preserve"> </w:t>
      </w:r>
      <w:r>
        <w:t xml:space="preserve">grid—so the pilot contrasts are point estimates whose role is diagnostic,</w:t>
      </w:r>
      <w:r>
        <w:t xml:space="preserve"> </w:t>
      </w:r>
      <w:r>
        <w:t xml:space="preserve">demonstrating the artifact and its removal, rather than confirmatory. This</w:t>
      </w:r>
      <w:r>
        <w:t xml:space="preserve"> </w:t>
      </w:r>
      <w:r>
        <w:t xml:space="preserve">factor is specific to the pilot configuration and should not be interpreted as</w:t>
      </w:r>
      <w:r>
        <w:t xml:space="preserve"> </w:t>
      </w:r>
      <w:r>
        <w:t xml:space="preserve">a universal inflation constant for all LLM ensemble studies. The heterogeneous configurations produce within-minus-cross differences</w:t>
      </w:r>
      <w:r>
        <w:t xml:space="preserve"> </w:t>
      </w:r>
      <w:r>
        <w:t xml:space="preserve">of</w:t>
      </w:r>
      <w:r>
        <w:t xml:space="preserve"> </w:t>
      </w:r>
      <m:oMath>
        <m:r>
          <m:rPr>
            <m:sty m:val="p"/>
          </m:rPr>
          <m:t>−</m:t>
        </m:r>
        <m:r>
          <m:t>0.048</m:t>
        </m:r>
      </m:oMath>
      <w:r>
        <w:t xml:space="preserve"> </w:t>
      </w:r>
      <w:r>
        <w:t xml:space="preserve">and</w:t>
      </w:r>
      <w:r>
        <w:t xml:space="preserve"> </w:t>
      </w:r>
      <m:oMath>
        <m:r>
          <m:rPr>
            <m:sty m:val="p"/>
          </m:rPr>
          <m:t>−</m:t>
        </m:r>
        <m:r>
          <m:t>0.074</m:t>
        </m:r>
      </m:oMath>
      <w:r>
        <w:t xml:space="preserve">. These differences arise because cross-run pooling</w:t>
      </w:r>
      <w:r>
        <w:t xml:space="preserve"> </w:t>
      </w:r>
      <w:r>
        <w:t xml:space="preserve">introduces additional repeated draws from the same underlying models, increasing</w:t>
      </w:r>
      <w:r>
        <w:t xml:space="preserve"> </w:t>
      </w:r>
      <w:r>
        <w:t xml:space="preserve">pooled agreement relative to the single-draw within-run calculation. The primary</w:t>
      </w:r>
      <w:r>
        <w:t xml:space="preserve"> </w:t>
      </w:r>
      <w:r>
        <w:t xml:space="preserve">endpoint uses the within-run estimate and is therefore not increased by this</w:t>
      </w:r>
      <w:r>
        <w:t xml:space="preserve"> </w:t>
      </w:r>
      <w:r>
        <w:t xml:space="preserve">pooling effect.</w:t>
      </w:r>
    </w:p>
    <w:bookmarkStart w:id="43" w:name="tab:nondet"/>
    <w:p>
      <w:pPr>
        <w:pStyle w:val="TableCaption"/>
      </w:pPr>
      <w:r>
        <w:t xml:space="preserve">Non-determinism check: within-run vs. cross-run</w:t>
      </w:r>
      <w:r>
        <w:t xml:space="preserve"> </w:t>
      </w:r>
      <m:oMath>
        <m:r>
          <m:t>κ</m:t>
        </m:r>
      </m:oMath>
      <w:r>
        <w:t xml:space="preserve"> </w:t>
      </w:r>
      <w:r>
        <w:t xml:space="preserve">(must be</w:t>
      </w:r>
      <w:r>
        <w:t xml:space="preserve"> </w:t>
      </w:r>
      <m:oMath>
        <m:r>
          <m:rPr>
            <m:sty m:val="p"/>
          </m:rPr>
          <m:t>≈</m:t>
        </m:r>
        <m:r>
          <m:t>0</m:t>
        </m:r>
      </m:oMath>
      <w:r>
        <w:t xml:space="preserve"> </w:t>
      </w:r>
      <w:r>
        <w:t xml:space="preserve">for the primary/homogeneous configuration).</w:t>
      </w:r>
    </w:p>
    <w:tbl>
      <w:tblPr>
        <w:tblStyle w:val="Table"/>
        <w:tblW w:type="auto" w:w="0"/>
        <w:tblLook w:firstRow="1" w:lastRow="0" w:firstColumn="0" w:lastColumn="0" w:noHBand="0" w:noVBand="0" w:val="0020"/>
        <w:tblCaption w:val="Non-determinism check: within-run vs. cross-run \kappa (must be \approx 0 for the primary/homogeneous configuration)."/>
      </w:tblPr>
      <w:tblGrid>
        <w:gridCol w:w="1980"/>
        <w:gridCol w:w="1980"/>
        <w:gridCol w:w="1980"/>
        <w:gridCol w:w="1980"/>
      </w:tblGrid>
      <w:tr>
        <w:trPr>
          <w:tblHeader w:val="on"/>
        </w:trPr>
        <w:tc>
          <w:tcPr/>
          <w:p>
            <w:pPr>
              <w:pStyle w:val="Compact"/>
              <w:jc w:val="left"/>
            </w:pPr>
            <w:r>
              <w:t xml:space="preserve">Config</w:t>
            </w:r>
          </w:p>
        </w:tc>
        <w:tc>
          <w:tcPr/>
          <w:p>
            <w:pPr>
              <w:pStyle w:val="Compact"/>
              <w:jc w:val="center"/>
            </w:pPr>
            <w:r>
              <w:t xml:space="preserve">within</w:t>
            </w:r>
          </w:p>
        </w:tc>
        <w:tc>
          <w:tcPr/>
          <w:p>
            <w:pPr>
              <w:pStyle w:val="Compact"/>
              <w:jc w:val="center"/>
            </w:pPr>
            <w:r>
              <w:t xml:space="preserve">cross</w:t>
            </w:r>
          </w:p>
        </w:tc>
        <w:tc>
          <w:tcPr/>
          <w:p>
            <w:pPr>
              <w:pStyle w:val="Compact"/>
              <w:jc w:val="center"/>
            </w:pPr>
            <w:r>
              <w:t xml:space="preserve">within</w:t>
            </w:r>
            <m:oMath>
              <m:r>
                <m:rPr>
                  <m:sty m:val="p"/>
                </m:rPr>
                <m:t>−</m:t>
              </m:r>
            </m:oMath>
            <w:r>
              <w:t xml:space="preserve">cross</w:t>
            </w:r>
          </w:p>
        </w:tc>
      </w:tr>
      <w:tr>
        <w:tc>
          <w:tcPr/>
          <w:p>
            <w:pPr>
              <w:pStyle w:val="Compact"/>
              <w:jc w:val="left"/>
            </w:pPr>
            <w:r>
              <w:t xml:space="preserve">HOM</w:t>
            </w:r>
          </w:p>
        </w:tc>
        <w:tc>
          <w:tcPr/>
          <w:p>
            <w:pPr>
              <w:pStyle w:val="Compact"/>
              <w:jc w:val="center"/>
            </w:pPr>
            <w:r>
              <w:t xml:space="preserve">0.552</w:t>
            </w:r>
          </w:p>
        </w:tc>
        <w:tc>
          <w:tcPr/>
          <w:p>
            <w:pPr>
              <w:pStyle w:val="Compact"/>
              <w:jc w:val="center"/>
            </w:pPr>
            <w:r>
              <w:t xml:space="preserve">0.551</w:t>
            </w:r>
          </w:p>
        </w:tc>
        <w:tc>
          <w:tcPr/>
          <w:p>
            <w:pPr>
              <w:pStyle w:val="Compact"/>
              <w:jc w:val="center"/>
            </w:pPr>
            <m:oMath>
              <m:r>
                <m:rPr>
                  <m:sty m:val="p"/>
                </m:rPr>
                <m:t>+</m:t>
              </m:r>
              <m:r>
                <m:t>0.001</m:t>
              </m:r>
            </m:oMath>
            <w:r>
              <w:t xml:space="preserve">​</w:t>
            </w:r>
          </w:p>
        </w:tc>
      </w:tr>
      <w:tr>
        <w:tc>
          <w:tcPr/>
          <w:p>
            <w:pPr>
              <w:pStyle w:val="Compact"/>
              <w:jc w:val="left"/>
            </w:pPr>
            <w:r>
              <w:t xml:space="preserve">HET-LITE</w:t>
            </w:r>
          </w:p>
        </w:tc>
        <w:tc>
          <w:tcPr/>
          <w:p>
            <w:pPr>
              <w:pStyle w:val="Compact"/>
              <w:jc w:val="center"/>
            </w:pPr>
            <w:r>
              <w:t xml:space="preserve">0.302</w:t>
            </w:r>
          </w:p>
        </w:tc>
        <w:tc>
          <w:tcPr/>
          <w:p>
            <w:pPr>
              <w:pStyle w:val="Compact"/>
              <w:jc w:val="center"/>
            </w:pPr>
            <w:r>
              <w:t xml:space="preserve">0.350</w:t>
            </w:r>
          </w:p>
        </w:tc>
        <w:tc>
          <w:tcPr/>
          <w:p>
            <w:pPr>
              <w:pStyle w:val="Compact"/>
              <w:jc w:val="center"/>
            </w:pPr>
            <m:oMath>
              <m:r>
                <m:rPr>
                  <m:sty m:val="p"/>
                </m:rPr>
                <m:t>−</m:t>
              </m:r>
              <m:r>
                <m:t>0.048</m:t>
              </m:r>
            </m:oMath>
            <w:r>
              <w:t xml:space="preserve">​</w:t>
            </w:r>
          </w:p>
        </w:tc>
      </w:tr>
      <w:tr>
        <w:tc>
          <w:tcPr/>
          <w:p>
            <w:pPr>
              <w:pStyle w:val="Compact"/>
              <w:jc w:val="left"/>
            </w:pPr>
            <w:r>
              <w:t xml:space="preserve">HET</w:t>
            </w:r>
          </w:p>
        </w:tc>
        <w:tc>
          <w:tcPr/>
          <w:p>
            <w:pPr>
              <w:pStyle w:val="Compact"/>
              <w:jc w:val="center"/>
            </w:pPr>
            <w:r>
              <w:t xml:space="preserve">0.215</w:t>
            </w:r>
          </w:p>
        </w:tc>
        <w:tc>
          <w:tcPr/>
          <w:p>
            <w:pPr>
              <w:pStyle w:val="Compact"/>
              <w:jc w:val="center"/>
            </w:pPr>
            <w:r>
              <w:t xml:space="preserve">0.289</w:t>
            </w:r>
          </w:p>
        </w:tc>
        <w:tc>
          <w:tcPr/>
          <w:p>
            <w:pPr>
              <w:pStyle w:val="Compact"/>
              <w:jc w:val="center"/>
            </w:pPr>
            <m:oMath>
              <m:r>
                <m:rPr>
                  <m:sty m:val="p"/>
                </m:rPr>
                <m:t>−</m:t>
              </m:r>
              <m:r>
                <m:t>0.074</m:t>
              </m:r>
            </m:oMath>
            <w:r>
              <w:t xml:space="preserve">​</w:t>
            </w:r>
          </w:p>
        </w:tc>
      </w:tr>
    </w:tbl>
    <w:bookmarkEnd w:id="43"/>
    <w:bookmarkStart w:id="47" w:name="fig:trap"/>
    <w:p>
      <w:pPr>
        <w:pStyle w:val="CaptionedFigure"/>
      </w:pPr>
      <w:r>
        <w:drawing>
          <wp:inline>
            <wp:extent cx="5334000" cy="3733799"/>
            <wp:effectExtent b="0" l="0" r="0" t="0"/>
            <wp:docPr descr="" title="" id="45" name="Picture"/>
            <a:graphic>
              <a:graphicData uri="http://schemas.openxmlformats.org/drawingml/2006/picture">
                <pic:pic>
                  <pic:nvPicPr>
                    <pic:cNvPr descr="fig2_protocol.png" id="46" name="Picture"/>
                    <pic:cNvPicPr>
                      <a:picLocks noChangeArrowheads="1" noChangeAspect="1"/>
                    </pic:cNvPicPr>
                  </pic:nvPicPr>
                  <pic:blipFill>
                    <a:blip r:embed="rId44"/>
                    <a:stretch>
                      <a:fillRect/>
                    </a:stretch>
                  </pic:blipFill>
                  <pic:spPr bwMode="auto">
                    <a:xfrm>
                      <a:off x="0" y="0"/>
                      <a:ext cx="5334000" cy="3733799"/>
                    </a:xfrm>
                    <a:prstGeom prst="rect">
                      <a:avLst/>
                    </a:prstGeom>
                    <a:noFill/>
                    <a:ln w="9525">
                      <a:noFill/>
                      <a:headEnd/>
                      <a:tailEnd/>
                    </a:ln>
                  </pic:spPr>
                </pic:pic>
              </a:graphicData>
            </a:graphic>
          </wp:inline>
        </w:drawing>
      </w:r>
    </w:p>
    <w:p>
      <w:pPr>
        <w:pStyle w:val="ImageCaption"/>
      </w:pPr>
      <w:r>
        <w:t xml:space="preserve">Shared-seed dependence inflates measured agreement. Both bars are the</w:t>
      </w:r>
      <w:r>
        <w:t xml:space="preserve"> </w:t>
      </w:r>
      <w:r>
        <w:t xml:space="preserve">same estimand, the pilot’s primary contrast</w:t>
      </w:r>
      <w:r>
        <w:t xml:space="preserve"> </w:t>
      </w:r>
      <m:oMath>
        <m:r>
          <m:rPr>
            <m:sty m:val="p"/>
          </m:rPr>
          <m:t>Δ</m:t>
        </m:r>
        <m:sSub>
          <m:e>
            <m:r>
              <m:t>κ</m:t>
            </m:r>
          </m:e>
          <m:sub>
            <m:r>
              <m:rPr>
                <m:sty m:val="p"/>
              </m:rPr>
              <m:t>H</m:t>
            </m:r>
            <m:r>
              <m:rPr>
                <m:sty m:val="p"/>
              </m:rPr>
              <m:t>O</m:t>
            </m:r>
            <m:r>
              <m:rPr>
                <m:sty m:val="p"/>
              </m:rPr>
              <m:t>M</m:t>
            </m:r>
            <m:r>
              <m:rPr>
                <m:sty m:val="p"/>
              </m:rPr>
              <m:t>−</m:t>
            </m:r>
            <m:r>
              <m:rPr>
                <m:sty m:val="p"/>
              </m:rPr>
              <m:t>H</m:t>
            </m:r>
            <m:r>
              <m:rPr>
                <m:sty m:val="p"/>
              </m:rPr>
              <m:t>E</m:t>
            </m:r>
            <m:r>
              <m:rPr>
                <m:sty m:val="p"/>
              </m:rPr>
              <m:t>T</m:t>
            </m:r>
          </m:sub>
        </m:sSub>
      </m:oMath>
      <w:r>
        <w:t xml:space="preserve">,</w:t>
      </w:r>
      <w:r>
        <w:t xml:space="preserve"> </w:t>
      </w:r>
      <w:r>
        <w:t xml:space="preserve">measured on the same 8-equity pilot grid and the same Claude-family model set,</w:t>
      </w:r>
      <w:r>
        <w:t xml:space="preserve"> </w:t>
      </w:r>
      <w:r>
        <w:t xml:space="preserve">and differing only in the seeding protocol: a single seed shared by all five</w:t>
      </w:r>
      <w:r>
        <w:t xml:space="preserve"> </w:t>
      </w:r>
      <w:r>
        <w:t xml:space="preserve">agents in a cell (</w:t>
      </w:r>
      <m:oMath>
        <m:r>
          <m:t>0.485</m:t>
        </m:r>
      </m:oMath>
      <w:r>
        <w:t xml:space="preserve">) against an independent seed per agent (</w:t>
      </w:r>
      <m:oMath>
        <m:r>
          <m:t>0.113</m:t>
        </m:r>
      </m:oMath>
      <w:r>
        <w:t xml:space="preserve">). Under</w:t>
      </w:r>
      <w:r>
        <w:t xml:space="preserve"> </w:t>
      </w:r>
      <w:r>
        <w:t xml:space="preserve">shared seeding the five agents returned byte-identical completions, so</w:t>
      </w:r>
      <w:r>
        <w:t xml:space="preserve"> </w:t>
      </w:r>
      <m:oMath>
        <m:sSub>
          <m:e>
            <m:r>
              <m:t>κ</m:t>
            </m:r>
          </m:e>
          <m:sub>
            <m:r>
              <m:rPr>
                <m:sty m:val="p"/>
              </m:rPr>
              <m:t>H</m:t>
            </m:r>
            <m:r>
              <m:rPr>
                <m:sty m:val="p"/>
              </m:rPr>
              <m:t>O</m:t>
            </m:r>
            <m:r>
              <m:rPr>
                <m:sty m:val="p"/>
              </m:rPr>
              <m:t>M</m:t>
            </m:r>
          </m:sub>
        </m:sSub>
      </m:oMath>
      <w:r>
        <w:t xml:space="preserve"> </w:t>
      </w:r>
      <w:r>
        <w:t xml:space="preserve">was exactly</w:t>
      </w:r>
      <w:r>
        <w:t xml:space="preserve"> </w:t>
      </w:r>
      <m:oMath>
        <m:r>
          <m:t>1.0</m:t>
        </m:r>
      </m:oMath>
      <w:r>
        <w:t xml:space="preserve"> </w:t>
      </w:r>
      <w:r>
        <w:t xml:space="preserve">and the ensemble measured one draw five</w:t>
      </w:r>
      <w:r>
        <w:t xml:space="preserve"> </w:t>
      </w:r>
      <w:r>
        <w:t xml:space="preserve">times. The confirmatory study’s within-minus-cross-run</w:t>
      </w:r>
      <w:r>
        <w:t xml:space="preserve"> </w:t>
      </w:r>
      <m:oMath>
        <m:r>
          <m:t>κ</m:t>
        </m:r>
      </m:oMath>
      <w:r>
        <w:t xml:space="preserve"> </w:t>
      </w:r>
      <w:r>
        <w:t xml:space="preserve">diagnostic is a</w:t>
      </w:r>
      <w:r>
        <w:t xml:space="preserve"> </w:t>
      </w:r>
      <w:r>
        <w:t xml:space="preserve">different quantity and is reported in Table </w:t>
      </w:r>
      <w:hyperlink w:anchor="tab:nondet">
        <w:r>
          <w:rPr>
            <w:rStyle w:val="Hyperlink"/>
          </w:rPr>
          <w:t xml:space="preserve">6</w:t>
        </w:r>
      </w:hyperlink>
      <w:r>
        <w:t xml:space="preserve">; the</w:t>
      </w:r>
      <w:r>
        <w:t xml:space="preserve"> </w:t>
      </w:r>
      <w:r>
        <w:t xml:space="preserve">confirmatory study’s own HOM</w:t>
      </w:r>
      <m:oMath>
        <m:r>
          <m:rPr>
            <m:sty m:val="p"/>
          </m:rPr>
          <m:t>−</m:t>
        </m:r>
      </m:oMath>
      <w:r>
        <w:t xml:space="preserve">HET contrast is</w:t>
      </w:r>
      <w:r>
        <w:t xml:space="preserve"> </w:t>
      </w:r>
      <m:oMath>
        <m:r>
          <m:t>0.336</m:t>
        </m:r>
      </m:oMath>
      <w:r>
        <w:t xml:space="preserve"> </w:t>
      </w:r>
      <w:r>
        <w:t xml:space="preserve">and is reported under</w:t>
      </w:r>
      <w:r>
        <w:t xml:space="preserve"> </w:t>
      </w:r>
      <w:r>
        <w:t xml:space="preserve">“Heterogeneity de-correlates ensembles”</w:t>
      </w:r>
      <w:r>
        <w:t xml:space="preserve">.</w:t>
      </w:r>
    </w:p>
    <w:bookmarkEnd w:id="47"/>
    <w:bookmarkEnd w:id="48"/>
    <w:bookmarkStart w:id="49" w:name="sensitivity-agreement-by-pair-type"/>
    <w:p>
      <w:pPr>
        <w:pStyle w:val="Heading4"/>
      </w:pPr>
      <w:r>
        <w:t xml:space="preserve">Sensitivity: agreement by pair type</w:t>
      </w:r>
    </w:p>
    <w:p>
      <w:pPr>
        <w:pStyle w:val="FirstParagraph"/>
      </w:pPr>
      <w:r>
        <w:t xml:space="preserve">The diagnostic above is strongest for HOM, where all five agents share a model,</w:t>
      </w:r>
      <w:r>
        <w:t xml:space="preserve"> </w:t>
      </w:r>
      <w:r>
        <w:t xml:space="preserve">and the heterogeneous cross-run comparison is confounded because pooling across</w:t>
      </w:r>
      <w:r>
        <w:t xml:space="preserve"> </w:t>
      </w:r>
      <w:r>
        <w:t xml:space="preserve">runs adds further draws from the same models. We therefore decompose pairwise</w:t>
      </w:r>
      <w:r>
        <w:t xml:space="preserve"> </w:t>
      </w:r>
      <w:r>
        <w:t xml:space="preserve">agreement by whether the two agents share a model. Same-model pairs agree at</w:t>
      </w:r>
      <w:r>
        <w:t xml:space="preserve"> </w:t>
      </w:r>
      <w:r>
        <w:t xml:space="preserve">0.800 in HOM, 0.794 in HET-LITE, and 0.862 in HET, whereas different-model</w:t>
      </w:r>
      <w:r>
        <w:t xml:space="preserve"> </w:t>
      </w:r>
      <w:r>
        <w:t xml:space="preserve">pairs agree at 0.455 and 0.490 respectively. Same-model agreement is stable</w:t>
      </w:r>
      <w:r>
        <w:t xml:space="preserve"> </w:t>
      </w:r>
      <w:r>
        <w:t xml:space="preserve">across configurations, so the fall in</w:t>
      </w:r>
      <w:r>
        <w:t xml:space="preserve"> </w:t>
      </w:r>
      <m:oMath>
        <m:r>
          <m:t>κ</m:t>
        </m:r>
      </m:oMath>
      <w:r>
        <w:t xml:space="preserve"> </w:t>
      </w:r>
      <w:r>
        <w:t xml:space="preserve">with heterogeneity is driven by</w:t>
      </w:r>
      <w:r>
        <w:t xml:space="preserve"> </w:t>
      </w:r>
      <w:r>
        <w:t xml:space="preserve">the introduction of different-model pairs rather than by any change in how</w:t>
      </w:r>
      <w:r>
        <w:t xml:space="preserve"> </w:t>
      </w:r>
      <w:r>
        <w:t xml:space="preserve">same-model pairs behave. This is a sensitivity analysis on the frozen data, not</w:t>
      </w:r>
      <w:r>
        <w:t xml:space="preserve"> </w:t>
      </w:r>
      <w:r>
        <w:t xml:space="preserve">an additional verification of seed support, which the provider APIs do not</w:t>
      </w:r>
      <w:r>
        <w:t xml:space="preserve"> </w:t>
      </w:r>
      <w:r>
        <w:t xml:space="preserve">expose.</w:t>
      </w:r>
    </w:p>
    <w:bookmarkEnd w:id="49"/>
    <w:bookmarkStart w:id="50" w:name="X1ebcf1bbc8ffb8a5c3670468c95fcdb4423b518"/>
    <w:p>
      <w:pPr>
        <w:pStyle w:val="Heading4"/>
      </w:pPr>
      <w:r>
        <w:t xml:space="preserve">What unique seeds do and do not establish</w:t>
      </w:r>
    </w:p>
    <w:p>
      <w:pPr>
        <w:pStyle w:val="FirstParagraph"/>
      </w:pPr>
      <w:r>
        <w:t xml:space="preserve">A distinct seed per agent removes one specific artifact: identical sampling</w:t>
      </w:r>
      <w:r>
        <w:t xml:space="preserve"> </w:t>
      </w:r>
      <w:r>
        <w:t xml:space="preserve">trajectories arising from a shared seed. It does not establish statistical</w:t>
      </w:r>
      <w:r>
        <w:t xml:space="preserve"> </w:t>
      </w:r>
      <w:r>
        <w:t xml:space="preserve">independence of the responses. Commercial inference stacks do not guarantee</w:t>
      </w:r>
      <w:r>
        <w:t xml:space="preserve"> </w:t>
      </w:r>
      <w:r>
        <w:t xml:space="preserve">bitwise-reproducible outputs for a fixed seed, because floating-point reduction</w:t>
      </w:r>
      <w:r>
        <w:t xml:space="preserve"> </w:t>
      </w:r>
      <w:r>
        <w:t xml:space="preserve">order varies with kernel selection and batch composition, and providers may</w:t>
      </w:r>
      <w:r>
        <w:t xml:space="preserve"> </w:t>
      </w:r>
      <w:r>
        <w:t xml:space="preserve">change serving configurations without notice. Seed support is therefore</w:t>
      </w:r>
      <w:r>
        <w:t xml:space="preserve"> </w:t>
      </w:r>
      <w:r>
        <w:t xml:space="preserve">best-effort and is treated in this article as a control against one known</w:t>
      </w:r>
      <w:r>
        <w:t xml:space="preserve"> </w:t>
      </w:r>
      <w:r>
        <w:t xml:space="preserve">dependence mechanism, not as a proof of independence.</w:t>
      </w:r>
    </w:p>
    <w:bookmarkEnd w:id="50"/>
    <w:bookmarkEnd w:id="51"/>
    <w:bookmarkStart w:id="56" w:name="provider-pair-agreement"/>
    <w:p>
      <w:pPr>
        <w:pStyle w:val="Heading2"/>
      </w:pPr>
      <w:r>
        <w:t xml:space="preserve">Provider-pair agreement</w:t>
      </w:r>
    </w:p>
    <w:p>
      <w:pPr>
        <w:pStyle w:val="FirstParagraph"/>
      </w:pPr>
      <w:r>
        <w:t xml:space="preserve">The pairwise directional-agreement matrix in Fig. </w:t>
      </w:r>
      <w:hyperlink w:anchor="fig:provider">
        <w:r>
          <w:rPr>
            <w:rStyle w:val="Hyperlink"/>
          </w:rPr>
          <w:t xml:space="preserve">4</w:t>
        </w:r>
      </w:hyperlink>
      <w:r>
        <w:t xml:space="preserve"> </w:t>
      </w:r>
      <w:r>
        <w:t xml:space="preserve">provides</w:t>
      </w:r>
      <w:r>
        <w:t xml:space="preserve"> </w:t>
      </w:r>
      <w:r>
        <w:t xml:space="preserve">additional evidence regarding the source of ensemble de-correlation.</w:t>
      </w:r>
      <w:r>
        <w:t xml:space="preserve"> </w:t>
      </w:r>
      <w:r>
        <w:t xml:space="preserve">Same-provider agreement is 0.92 for Google agent pairs and 0.80 for OpenAI agent</w:t>
      </w:r>
      <w:r>
        <w:t xml:space="preserve"> </w:t>
      </w:r>
      <w:r>
        <w:t xml:space="preserve">pairs, whereas cross-provider agreement ranges from 0.43 to 0.63. Agents</w:t>
      </w:r>
      <w:r>
        <w:t xml:space="preserve"> </w:t>
      </w:r>
      <w:r>
        <w:t xml:space="preserve">supplied by the same provider therefore agree more frequently than agents</w:t>
      </w:r>
      <w:r>
        <w:t xml:space="preserve"> </w:t>
      </w:r>
      <w:r>
        <w:t xml:space="preserve">supplied by different providers under identical prompt and information</w:t>
      </w:r>
      <w:r>
        <w:t xml:space="preserve"> </w:t>
      </w:r>
      <w:r>
        <w:t xml:space="preserve">conditions.</w:t>
      </w:r>
    </w:p>
    <w:p>
      <w:pPr>
        <w:pStyle w:val="BodyText"/>
      </w:pPr>
      <w:r>
        <w:t xml:space="preserve">This is a configuration-specific observational finding. Provider is not</w:t>
      </w:r>
      <w:r>
        <w:t xml:space="preserve"> </w:t>
      </w:r>
      <w:r>
        <w:t xml:space="preserve">experimentally separable from model identity, parameter count, training corpus,</w:t>
      </w:r>
      <w:r>
        <w:t xml:space="preserve"> </w:t>
      </w:r>
      <w:r>
        <w:t xml:space="preserve">architecture, or alignment procedure in this design, because each provider</w:t>
      </w:r>
      <w:r>
        <w:t xml:space="preserve"> </w:t>
      </w:r>
      <w:r>
        <w:t xml:space="preserve">contributes one model. The comparison therefore identifies the effect of</w:t>
      </w:r>
      <w:r>
        <w:t xml:space="preserve"> </w:t>
      </w:r>
      <w:r>
        <w:t xml:space="preserve">substituting one named model for another, and</w:t>
      </w:r>
      <w:r>
        <w:t xml:space="preserve"> </w:t>
      </w:r>
      <w:r>
        <w:t xml:space="preserve">“provider”</w:t>
      </w:r>
      <w:r>
        <w:t xml:space="preserve"> </w:t>
      </w:r>
      <w:r>
        <w:t xml:space="preserve">should be read</w:t>
      </w:r>
      <w:r>
        <w:t xml:space="preserve"> </w:t>
      </w:r>
      <w:r>
        <w:t xml:space="preserve">throughout as shorthand for that bundle rather than as an isolated causal factor.</w:t>
      </w:r>
      <w:r>
        <w:t xml:space="preserve"> </w:t>
      </w:r>
      <w:r>
        <w:t xml:space="preserve">Section </w:t>
      </w:r>
      <w:hyperlink w:anchor="subsec:crossdomain">
        <w:r>
          <w:rPr>
            <w:rStyle w:val="Hyperlink"/>
          </w:rPr>
          <w:t xml:space="preserve">5.9</w:t>
        </w:r>
      </w:hyperlink>
      <w:r>
        <w:t xml:space="preserve"> </w:t>
      </w:r>
      <w:r>
        <w:t xml:space="preserve">reports a capability-matched version of this</w:t>
      </w:r>
      <w:r>
        <w:t xml:space="preserve"> </w:t>
      </w:r>
      <w:r>
        <w:t xml:space="preserve">comparison on a second domain, in which the two members of each pairing have</w:t>
      </w:r>
      <w:r>
        <w:t xml:space="preserve"> </w:t>
      </w:r>
      <w:r>
        <w:t xml:space="preserve">near-identical accuracy; provider continues to order the result there. A design</w:t>
      </w:r>
      <w:r>
        <w:t xml:space="preserve"> </w:t>
      </w:r>
      <w:r>
        <w:t xml:space="preserve">that varied model identity within provider, and provider within capability tier,</w:t>
      </w:r>
      <w:r>
        <w:t xml:space="preserve"> </w:t>
      </w:r>
      <w:r>
        <w:t xml:space="preserve">would be required to decompose the bundle further, and is not attempted here.</w:t>
      </w:r>
    </w:p>
    <w:bookmarkStart w:id="55" w:name="fig:provider"/>
    <w:p>
      <w:pPr>
        <w:pStyle w:val="CaptionedFigure"/>
      </w:pPr>
      <w:r>
        <w:drawing>
          <wp:inline>
            <wp:extent cx="4389120" cy="3840479"/>
            <wp:effectExtent b="0" l="0" r="0" t="0"/>
            <wp:docPr descr="" title="" id="53" name="Picture"/>
            <a:graphic>
              <a:graphicData uri="http://schemas.openxmlformats.org/drawingml/2006/picture">
                <pic:pic>
                  <pic:nvPicPr>
                    <pic:cNvPr descr="fig3_provider_heatmap.png" id="54" name="Picture"/>
                    <pic:cNvPicPr>
                      <a:picLocks noChangeArrowheads="1" noChangeAspect="1"/>
                    </pic:cNvPicPr>
                  </pic:nvPicPr>
                  <pic:blipFill>
                    <a:blip r:embed="rId52"/>
                    <a:stretch>
                      <a:fillRect/>
                    </a:stretch>
                  </pic:blipFill>
                  <pic:spPr bwMode="auto">
                    <a:xfrm>
                      <a:off x="0" y="0"/>
                      <a:ext cx="4389120" cy="3840479"/>
                    </a:xfrm>
                    <a:prstGeom prst="rect">
                      <a:avLst/>
                    </a:prstGeom>
                    <a:noFill/>
                    <a:ln w="9525">
                      <a:noFill/>
                      <a:headEnd/>
                      <a:tailEnd/>
                    </a:ln>
                  </pic:spPr>
                </pic:pic>
              </a:graphicData>
            </a:graphic>
          </wp:inline>
        </w:drawing>
      </w:r>
    </w:p>
    <w:p>
      <w:pPr>
        <w:pStyle w:val="ImageCaption"/>
      </w:pPr>
      <w:r>
        <w:t xml:space="preserve">Pairwise directional-agreement matrix by provider. Diagonal</w:t>
      </w:r>
      <w:r>
        <w:t xml:space="preserve"> </w:t>
      </w:r>
      <w:r>
        <w:t xml:space="preserve">(within-provider) agreement greatly exceeds off-diagonal (cross-provider), the</w:t>
      </w:r>
      <w:r>
        <w:t xml:space="preserve"> </w:t>
      </w:r>
      <w:r>
        <w:t xml:space="preserve">source of ensemble de-correlation. The xAI–xAI diagonal is undefined (marked</w:t>
      </w:r>
      <w:r>
        <w:t xml:space="preserve"> </w:t>
      </w:r>
      <w:r>
        <w:t xml:space="preserve">N/A, not 0): each HET cell contains a single xAI agent, so no within-xAI agent</w:t>
      </w:r>
      <w:r>
        <w:t xml:space="preserve"> </w:t>
      </w:r>
      <w:r>
        <w:t xml:space="preserve">pair exists.</w:t>
      </w:r>
    </w:p>
    <w:bookmarkEnd w:id="55"/>
    <w:bookmarkEnd w:id="56"/>
    <w:bookmarkStart w:id="58" w:name="secondary-directional-accuracy-analysis"/>
    <w:p>
      <w:pPr>
        <w:pStyle w:val="Heading2"/>
      </w:pPr>
      <w:r>
        <w:t xml:space="preserve">Secondary directional-accuracy analysis</w:t>
      </w:r>
    </w:p>
    <w:p>
      <w:pPr>
        <w:pStyle w:val="FirstParagraph"/>
      </w:pPr>
      <w:r>
        <w:t xml:space="preserve">As a pre-declared secondary analysis, we compare each ensemble’s majority-vote</w:t>
      </w:r>
      <w:r>
        <w:t xml:space="preserve"> </w:t>
      </w:r>
      <w:r>
        <w:t xml:space="preserve">direction with the sign of the realized 20-trading-day forward return. HOLD</w:t>
      </w:r>
      <w:r>
        <w:t xml:space="preserve"> </w:t>
      </w:r>
      <w:r>
        <w:t xml:space="preserve">decisions are treated as abstentions and excluded from the corresponding</w:t>
      </w:r>
      <w:r>
        <w:t xml:space="preserve"> </w:t>
      </w:r>
      <w:r>
        <w:t xml:space="preserve">hit-rate calculation. The estimated directional hit rates are 0.438 for HOM,</w:t>
      </w:r>
      <w:r>
        <w:t xml:space="preserve"> </w:t>
      </w:r>
      <w:r>
        <w:t xml:space="preserve">0.463 for HET-LITE, and 0.488 for HET (Table </w:t>
      </w:r>
      <w:hyperlink w:anchor="tab:acc">
        <w:r>
          <w:rPr>
            <w:rStyle w:val="Hyperlink"/>
          </w:rPr>
          <w:t xml:space="preserve">7</w:t>
        </w:r>
      </w:hyperlink>
      <w:r>
        <w:t xml:space="preserve">). The associated</w:t>
      </w:r>
      <w:r>
        <w:t xml:space="preserve"> </w:t>
      </w:r>
      <w:r>
        <w:t xml:space="preserve">Wilson confidence intervals </w:t>
      </w:r>
      <w:r>
        <w:t xml:space="preserve">(Wilson 1927)</w:t>
      </w:r>
      <w:r>
        <w:t xml:space="preserve"> </w:t>
      </w:r>
      <w:r>
        <w:t xml:space="preserve">are wide and overlapping.</w:t>
      </w:r>
      <w:r>
        <w:t xml:space="preserve"> </w:t>
      </w:r>
      <w:r>
        <w:t xml:space="preserve">Moreover, the experiment was powered for the agreement endpoint rather than for</w:t>
      </w:r>
      <w:r>
        <w:t xml:space="preserve"> </w:t>
      </w:r>
      <w:r>
        <w:t xml:space="preserve">differences in directional accuracy. The estimates therefore do not provide</w:t>
      </w:r>
      <w:r>
        <w:t xml:space="preserve"> </w:t>
      </w:r>
      <w:r>
        <w:t xml:space="preserve">sufficient evidence that cross-provider heterogeneity improves average</w:t>
      </w:r>
      <w:r>
        <w:t xml:space="preserve"> </w:t>
      </w:r>
      <w:r>
        <w:t xml:space="preserve">directional accuracy. The numerical upward trend is reported descriptively and</w:t>
      </w:r>
      <w:r>
        <w:t xml:space="preserve"> </w:t>
      </w:r>
      <w:r>
        <w:t xml:space="preserve">should not be interpreted as a demonstrated performance improvement.</w:t>
      </w:r>
    </w:p>
    <w:p>
      <w:pPr>
        <w:pStyle w:val="BodyText"/>
      </w:pPr>
      <w:r>
        <w:t xml:space="preserve">Hit rates at or modestly below 0.5 are the expected baseline for this task</w:t>
      </w:r>
      <w:r>
        <w:t xml:space="preserve"> </w:t>
      </w:r>
      <w:r>
        <w:t xml:space="preserve">rather than a defect of the design: 20-trading-day directional forecasting from</w:t>
      </w:r>
      <w:r>
        <w:t xml:space="preserve"> </w:t>
      </w:r>
      <w:r>
        <w:t xml:space="preserve">public price history alone is approximately unpredictable under near-efficient</w:t>
      </w:r>
      <w:r>
        <w:t xml:space="preserve"> </w:t>
      </w:r>
      <w:r>
        <w:t xml:space="preserve">prices, and the abstention rule further shifts the effective base rate by</w:t>
      </w:r>
      <w:r>
        <w:t xml:space="preserve"> </w:t>
      </w:r>
      <w:r>
        <w:t xml:space="preserve">scoring only the subset of cells on which an ensemble commits to a direction.</w:t>
      </w:r>
      <w:r>
        <w:t xml:space="preserve"> </w:t>
      </w:r>
      <w:r>
        <w:t xml:space="preserve">Crucially, the agreement estimand is well-defined independent of task</w:t>
      </w:r>
      <w:r>
        <w:t xml:space="preserve"> </w:t>
      </w:r>
      <w:r>
        <w:t xml:space="preserve">difficulty: Fleiss’</w:t>
      </w:r>
      <w:r>
        <w:t xml:space="preserve"> </w:t>
      </w:r>
      <m:oMath>
        <m:r>
          <m:t>κ</m:t>
        </m:r>
      </m:oMath>
      <w:r>
        <w:t xml:space="preserve"> </w:t>
      </w:r>
      <w:r>
        <w:t xml:space="preserve">and the</w:t>
      </w:r>
      <w:r>
        <w:t xml:space="preserve"> </w:t>
      </w:r>
      <m:oMath>
        <m:r>
          <m:rPr>
            <m:sty m:val="p"/>
          </m:rPr>
          <m:t>Δ</m:t>
        </m:r>
        <m:r>
          <m:t>κ</m:t>
        </m:r>
      </m:oMath>
      <w:r>
        <w:t xml:space="preserve"> </w:t>
      </w:r>
      <w:r>
        <w:t xml:space="preserve">contrasts are functionals of</w:t>
      </w:r>
      <w:r>
        <w:t xml:space="preserve"> </w:t>
      </w:r>
      <w:r>
        <w:t xml:space="preserve">the joint distribution of agent outputs, computed without reference to outcome</w:t>
      </w:r>
      <w:r>
        <w:t xml:space="preserve"> </w:t>
      </w:r>
      <w:r>
        <w:t xml:space="preserve">labels, so the de-correlation results measure how similarly the agents behave</w:t>
      </w:r>
      <w:r>
        <w:t xml:space="preserve"> </w:t>
      </w:r>
      <w:r>
        <w:t xml:space="preserve">regardless of whether the task admits exploitable predictive signal. A</w:t>
      </w:r>
      <w:r>
        <w:t xml:space="preserve"> </w:t>
      </w:r>
      <w:r>
        <w:t xml:space="preserve">low-signal task is, if anything, a conservative setting for the primary</w:t>
      </w:r>
      <w:r>
        <w:t xml:space="preserve"> </w:t>
      </w:r>
      <w:r>
        <w:t xml:space="preserve">question, because agents cannot inflate measured agreement merely by all being</w:t>
      </w:r>
      <w:r>
        <w:t xml:space="preserve"> </w:t>
      </w:r>
      <w:r>
        <w:t xml:space="preserve">correct.</w:t>
      </w:r>
    </w:p>
    <w:bookmarkStart w:id="57" w:name="tab:acc"/>
    <w:p>
      <w:pPr>
        <w:pStyle w:val="TableCaption"/>
      </w:pPr>
      <w:r>
        <w:t xml:space="preserve">Accuracy proxy (SECONDARY; underpowered by design). Hit-rate of</w:t>
      </w:r>
      <w:r>
        <w:t xml:space="preserve"> </w:t>
      </w:r>
      <w:r>
        <w:t xml:space="preserve">majority-vote direction vs. 20-day forward-return sign; HOLD abstains.</w:t>
      </w:r>
    </w:p>
    <w:tbl>
      <w:tblPr>
        <w:tblStyle w:val="Table"/>
        <w:tblW w:type="auto" w:w="0"/>
        <w:tblLook w:firstRow="1" w:lastRow="0" w:firstColumn="0" w:lastColumn="0" w:noHBand="0" w:noVBand="0" w:val="0020"/>
        <w:tblCaption w:val="Accuracy proxy (SECONDARY; underpowered by design). Hit-rate of majority-vote direction vs. 20-day forward-return sign; HOLD abstains."/>
      </w:tblPr>
      <w:tblGrid>
        <w:gridCol w:w="1980"/>
        <w:gridCol w:w="1980"/>
        <w:gridCol w:w="1980"/>
        <w:gridCol w:w="1980"/>
      </w:tblGrid>
      <w:tr>
        <w:trPr>
          <w:tblHeader w:val="on"/>
        </w:trPr>
        <w:tc>
          <w:tcPr/>
          <w:p>
            <w:pPr>
              <w:pStyle w:val="Compact"/>
              <w:jc w:val="left"/>
            </w:pPr>
            <w:r>
              <w:t xml:space="preserve">Config</w:t>
            </w:r>
          </w:p>
        </w:tc>
        <w:tc>
          <w:tcPr/>
          <w:p>
            <w:pPr>
              <w:pStyle w:val="Compact"/>
              <w:jc w:val="center"/>
            </w:pPr>
            <w:r>
              <w:t xml:space="preserve">hit-rate</w:t>
            </w:r>
          </w:p>
        </w:tc>
        <w:tc>
          <w:tcPr/>
          <w:p>
            <w:pPr>
              <w:pStyle w:val="Compact"/>
              <w:jc w:val="center"/>
            </w:pPr>
            <m:oMath>
              <m:r>
                <m:t>n</m:t>
              </m:r>
            </m:oMath>
            <w:r>
              <w:t xml:space="preserve">​</w:t>
            </w:r>
          </w:p>
        </w:tc>
        <w:tc>
          <w:tcPr/>
          <w:p>
            <w:pPr>
              <w:pStyle w:val="Compact"/>
              <w:jc w:val="center"/>
            </w:pPr>
            <w:r>
              <w:t xml:space="preserve">95% CI (Wilson)</w:t>
            </w:r>
          </w:p>
        </w:tc>
      </w:tr>
      <w:tr>
        <w:tc>
          <w:tcPr/>
          <w:p>
            <w:pPr>
              <w:pStyle w:val="Compact"/>
              <w:jc w:val="left"/>
            </w:pPr>
            <w:r>
              <w:t xml:space="preserve">HOM</w:t>
            </w:r>
          </w:p>
        </w:tc>
        <w:tc>
          <w:tcPr/>
          <w:p>
            <w:pPr>
              <w:pStyle w:val="Compact"/>
              <w:jc w:val="center"/>
            </w:pPr>
            <w:r>
              <w:t xml:space="preserve">0.438</w:t>
            </w:r>
          </w:p>
        </w:tc>
        <w:tc>
          <w:tcPr/>
          <w:p>
            <w:pPr>
              <w:pStyle w:val="Compact"/>
              <w:jc w:val="center"/>
            </w:pPr>
            <w:r>
              <w:t xml:space="preserve">315</w:t>
            </w:r>
          </w:p>
        </w:tc>
        <w:tc>
          <w:tcPr/>
          <w:p>
            <w:pPr>
              <w:pStyle w:val="Compact"/>
              <w:jc w:val="center"/>
            </w:pPr>
            <m:oMath>
              <m:r>
                <m:rPr>
                  <m:sty m:val="p"/>
                </m:rPr>
                <m:t>[</m:t>
              </m:r>
              <m:r>
                <m:t>0.384</m:t>
              </m:r>
              <m:r>
                <m:rPr>
                  <m:sty m:val="p"/>
                </m:rPr>
                <m:t>,</m:t>
              </m:r>
              <m:r>
                <m:t> </m:t>
              </m:r>
              <m:r>
                <m:t>0.493</m:t>
              </m:r>
              <m:r>
                <m:rPr>
                  <m:sty m:val="p"/>
                </m:rPr>
                <m:t>]</m:t>
              </m:r>
            </m:oMath>
            <w:r>
              <w:t xml:space="preserve">​</w:t>
            </w:r>
          </w:p>
        </w:tc>
      </w:tr>
      <w:tr>
        <w:tc>
          <w:tcPr/>
          <w:p>
            <w:pPr>
              <w:pStyle w:val="Compact"/>
              <w:jc w:val="left"/>
            </w:pPr>
            <w:r>
              <w:t xml:space="preserve">HET-LITE</w:t>
            </w:r>
          </w:p>
        </w:tc>
        <w:tc>
          <w:tcPr/>
          <w:p>
            <w:pPr>
              <w:pStyle w:val="Compact"/>
              <w:jc w:val="center"/>
            </w:pPr>
            <w:r>
              <w:t xml:space="preserve">0.463</w:t>
            </w:r>
          </w:p>
        </w:tc>
        <w:tc>
          <w:tcPr/>
          <w:p>
            <w:pPr>
              <w:pStyle w:val="Compact"/>
              <w:jc w:val="center"/>
            </w:pPr>
            <w:r>
              <w:t xml:space="preserve">339</w:t>
            </w:r>
          </w:p>
        </w:tc>
        <w:tc>
          <w:tcPr/>
          <w:p>
            <w:pPr>
              <w:pStyle w:val="Compact"/>
              <w:jc w:val="center"/>
            </w:pPr>
            <m:oMath>
              <m:r>
                <m:rPr>
                  <m:sty m:val="p"/>
                </m:rPr>
                <m:t>[</m:t>
              </m:r>
              <m:r>
                <m:t>0.411</m:t>
              </m:r>
              <m:r>
                <m:rPr>
                  <m:sty m:val="p"/>
                </m:rPr>
                <m:t>,</m:t>
              </m:r>
              <m:r>
                <m:t> </m:t>
              </m:r>
              <m:r>
                <m:t>0.516</m:t>
              </m:r>
              <m:r>
                <m:rPr>
                  <m:sty m:val="p"/>
                </m:rPr>
                <m:t>]</m:t>
              </m:r>
            </m:oMath>
            <w:r>
              <w:t xml:space="preserve">​</w:t>
            </w:r>
          </w:p>
        </w:tc>
      </w:tr>
      <w:tr>
        <w:tc>
          <w:tcPr/>
          <w:p>
            <w:pPr>
              <w:pStyle w:val="Compact"/>
              <w:jc w:val="left"/>
            </w:pPr>
            <w:r>
              <w:t xml:space="preserve">HET</w:t>
            </w:r>
          </w:p>
        </w:tc>
        <w:tc>
          <w:tcPr/>
          <w:p>
            <w:pPr>
              <w:pStyle w:val="Compact"/>
              <w:jc w:val="center"/>
            </w:pPr>
            <w:r>
              <w:t xml:space="preserve">0.488</w:t>
            </w:r>
          </w:p>
        </w:tc>
        <w:tc>
          <w:tcPr/>
          <w:p>
            <w:pPr>
              <w:pStyle w:val="Compact"/>
              <w:jc w:val="center"/>
            </w:pPr>
            <w:r>
              <w:t xml:space="preserve">525</w:t>
            </w:r>
          </w:p>
        </w:tc>
        <w:tc>
          <w:tcPr/>
          <w:p>
            <w:pPr>
              <w:pStyle w:val="Compact"/>
              <w:jc w:val="center"/>
            </w:pPr>
            <m:oMath>
              <m:r>
                <m:rPr>
                  <m:sty m:val="p"/>
                </m:rPr>
                <m:t>[</m:t>
              </m:r>
              <m:r>
                <m:t>0.445</m:t>
              </m:r>
              <m:r>
                <m:rPr>
                  <m:sty m:val="p"/>
                </m:rPr>
                <m:t>,</m:t>
              </m:r>
              <m:r>
                <m:t> </m:t>
              </m:r>
              <m:r>
                <m:t>0.530</m:t>
              </m:r>
              <m:r>
                <m:rPr>
                  <m:sty m:val="p"/>
                </m:rPr>
                <m:t>]</m:t>
              </m:r>
            </m:oMath>
            <w:r>
              <w:t xml:space="preserve">​</w:t>
            </w:r>
          </w:p>
        </w:tc>
      </w:tr>
    </w:tbl>
    <w:bookmarkEnd w:id="57"/>
    <w:bookmarkEnd w:id="58"/>
    <w:bookmarkStart w:id="64" w:name="sec:consensus"/>
    <w:p>
      <w:pPr>
        <w:pStyle w:val="Heading2"/>
      </w:pPr>
      <w:r>
        <w:t xml:space="preserve">Exploratory analysis of consensus errors</w:t>
      </w:r>
    </w:p>
    <w:p>
      <w:pPr>
        <w:pStyle w:val="FirstParagraph"/>
      </w:pPr>
      <w:r>
        <w:t xml:space="preserve">Average directional accuracy may conceal differences in how errors are</w:t>
      </w:r>
      <w:r>
        <w:t xml:space="preserve"> </w:t>
      </w:r>
      <w:r>
        <w:t xml:space="preserve">distributed across committee members. We therefore conduct a post hoc</w:t>
      </w:r>
      <w:r>
        <w:t xml:space="preserve"> </w:t>
      </w:r>
      <w:r>
        <w:t xml:space="preserve">exploratory analysis of consensus structure using the same frozen dataset. This</w:t>
      </w:r>
      <w:r>
        <w:t xml:space="preserve"> </w:t>
      </w:r>
      <w:r>
        <w:t xml:space="preserve">analysis was not included in the pre-registered hypotheses, and its results are</w:t>
      </w:r>
      <w:r>
        <w:t xml:space="preserve"> </w:t>
      </w:r>
      <w:r>
        <w:t xml:space="preserve">treated as hypothesis-generating rather than confirmatory. We examine three</w:t>
      </w:r>
      <w:r>
        <w:t xml:space="preserve"> </w:t>
      </w:r>
      <w:r>
        <w:t xml:space="preserve">quantities: the proportion of decisions for which all five agents select the</w:t>
      </w:r>
      <w:r>
        <w:t xml:space="preserve"> </w:t>
      </w:r>
      <w:r>
        <w:t xml:space="preserve">same label; the proportion that are unanimous, directional, and incorrect—the</w:t>
      </w:r>
      <w:r>
        <w:t xml:space="preserve"> </w:t>
      </w:r>
      <w:r>
        <w:t xml:space="preserve">“manufactured-consensus”</w:t>
      </w:r>
      <w:r>
        <w:t xml:space="preserve"> </w:t>
      </w:r>
      <w:r>
        <w:t xml:space="preserve">failure that monoculture warnings</w:t>
      </w:r>
      <w:r>
        <w:t xml:space="preserve"> </w:t>
      </w:r>
      <w:r>
        <w:t xml:space="preserve">describe </w:t>
      </w:r>
      <w:r>
        <w:t xml:space="preserve">(Kim et al. 2025)</w:t>
      </w:r>
      <w:r>
        <w:t xml:space="preserve">; and, conditional on an incorrect majority</w:t>
      </w:r>
      <w:r>
        <w:t xml:space="preserve"> </w:t>
      </w:r>
      <w:r>
        <w:t xml:space="preserve">decision, the proportion of agents endorsing that incorrect majority</w:t>
      </w:r>
      <w:r>
        <w:t xml:space="preserve"> </w:t>
      </w:r>
      <w:r>
        <w:t xml:space="preserve">(Table </w:t>
      </w:r>
      <w:hyperlink w:anchor="tab:consensus">
        <w:r>
          <w:rPr>
            <w:rStyle w:val="Hyperlink"/>
          </w:rPr>
          <w:t xml:space="preserve">8</w:t>
        </w:r>
      </w:hyperlink>
      <w:r>
        <w:t xml:space="preserve">).</w:t>
      </w:r>
    </w:p>
    <w:p>
      <w:pPr>
        <w:pStyle w:val="BodyText"/>
      </w:pPr>
      <w:r>
        <w:t xml:space="preserve">The unanimity rate decreases from 0.591 for HOM to 0.315 for HET-LITE and 0.267</w:t>
      </w:r>
      <w:r>
        <w:t xml:space="preserve"> </w:t>
      </w:r>
      <w:r>
        <w:t xml:space="preserve">for HET. Homogeneous ensembles therefore produce identical five-agent decisions</w:t>
      </w:r>
      <w:r>
        <w:t xml:space="preserve"> </w:t>
      </w:r>
      <w:r>
        <w:t xml:space="preserve">more than twice as frequently as fully heterogeneous ensembles. The proportion</w:t>
      </w:r>
      <w:r>
        <w:t xml:space="preserve"> </w:t>
      </w:r>
      <w:r>
        <w:t xml:space="preserve">of decisions that are unanimous, directional, and incorrect is 0.058 for HOM,</w:t>
      </w:r>
      <w:r>
        <w:t xml:space="preserve"> </w:t>
      </w:r>
      <w:r>
        <w:t xml:space="preserve">0.030 for HET-LITE, and 0.032 for HET. The homogeneous ensemble therefore</w:t>
      </w:r>
      <w:r>
        <w:t xml:space="preserve"> </w:t>
      </w:r>
      <w:r>
        <w:t xml:space="preserve">produces this form of collective error at approximately</w:t>
      </w:r>
      <w:r>
        <w:t xml:space="preserve"> </w:t>
      </w:r>
      <m:oMath>
        <m:r>
          <m:t>1.84</m:t>
        </m:r>
        <m:r>
          <m:rPr>
            <m:sty m:val="p"/>
          </m:rPr>
          <m:t>×</m:t>
        </m:r>
      </m:oMath>
      <w:r>
        <w:t xml:space="preserve"> </w:t>
      </w:r>
      <w:r>
        <w:t xml:space="preserve">the rate of</w:t>
      </w:r>
      <w:r>
        <w:t xml:space="preserve"> </w:t>
      </w:r>
      <w:r>
        <w:t xml:space="preserve">the fully heterogeneous ensemble; the equity-clustered bootstrap gives a 95%</w:t>
      </w:r>
      <w:r>
        <w:t xml:space="preserve"> </w:t>
      </w:r>
      <w:r>
        <w:t xml:space="preserve">confidence interval of</w:t>
      </w:r>
      <w:r>
        <w:t xml:space="preserve"> </w:t>
      </w:r>
      <m:oMath>
        <m:r>
          <m:rPr>
            <m:sty m:val="p"/>
          </m:rPr>
          <m:t>[</m:t>
        </m:r>
        <m:r>
          <m:t>1.51</m:t>
        </m:r>
        <m:r>
          <m:rPr>
            <m:sty m:val="p"/>
          </m:rPr>
          <m:t>,</m:t>
        </m:r>
        <m:r>
          <m:t> </m:t>
        </m:r>
        <m:r>
          <m:t>2.35</m:t>
        </m:r>
        <m:r>
          <m:rPr>
            <m:sty m:val="p"/>
          </m:rPr>
          <m:t>]</m:t>
        </m:r>
      </m:oMath>
      <w:r>
        <w:t xml:space="preserve"> </w:t>
      </w:r>
      <w:r>
        <w:t xml:space="preserve">for that ratio, which excludes unity.</w:t>
      </w:r>
      <w:r>
        <w:t xml:space="preserve"> </w:t>
      </w:r>
      <w:r>
        <w:t xml:space="preserve">HET-LITE achieves a reduction comparable to HET at an approximately</w:t>
      </w:r>
      <w:r>
        <w:t xml:space="preserve"> </w:t>
      </w:r>
      <m:oMath>
        <m:r>
          <m:t>2.3</m:t>
        </m:r>
        <m:r>
          <m:rPr>
            <m:sty m:val="p"/>
          </m:rPr>
          <m:t>×</m:t>
        </m:r>
      </m:oMath>
      <w:r>
        <w:t xml:space="preserve">, rather than</w:t>
      </w:r>
      <w:r>
        <w:t xml:space="preserve"> </w:t>
      </w:r>
      <m:oMath>
        <m:r>
          <m:t>4.4</m:t>
        </m:r>
        <m:r>
          <m:rPr>
            <m:sty m:val="p"/>
          </m:rPr>
          <m:t>×</m:t>
        </m:r>
      </m:oMath>
      <w:r>
        <w:t xml:space="preserve">, cost premium.</w:t>
      </w:r>
    </w:p>
    <w:p>
      <w:pPr>
        <w:pStyle w:val="BodyText"/>
      </w:pPr>
      <w:r>
        <w:t xml:space="preserve">These quantities are exploratory in the sense defined above. They were not</w:t>
      </w:r>
      <w:r>
        <w:t xml:space="preserve"> </w:t>
      </w:r>
      <w:r>
        <w:t xml:space="preserve">pre-registered, the configuration compared and the statistic reported were both</w:t>
      </w:r>
      <w:r>
        <w:t xml:space="preserve"> </w:t>
      </w:r>
      <w:r>
        <w:t xml:space="preserve">chosen after inspecting the data, and several such comparisons are available</w:t>
      </w:r>
      <w:r>
        <w:t xml:space="preserve"> </w:t>
      </w:r>
      <w:r>
        <w:t xml:space="preserve">within this section; no multiplicity adjustment is applied and none of the</w:t>
      </w:r>
      <w:r>
        <w:t xml:space="preserve"> </w:t>
      </w:r>
      <w:r>
        <w:t xml:space="preserve">intervals in this subsection should be read as confirmatory evidence. We</w:t>
      </w:r>
      <w:r>
        <w:t xml:space="preserve"> </w:t>
      </w:r>
      <w:r>
        <w:t xml:space="preserve">therefore do not offer HET-LITE as a design recommendation. The observation that</w:t>
      </w:r>
      <w:r>
        <w:t xml:space="preserve"> </w:t>
      </w:r>
      <w:r>
        <w:t xml:space="preserve">it attains a comparable reduction at roughly half the cost premium is recorded as</w:t>
      </w:r>
      <w:r>
        <w:t xml:space="preserve"> </w:t>
      </w:r>
      <w:r>
        <w:t xml:space="preserve">a hypothesis for a future confirmatory study, not as guidance for deployment.</w:t>
      </w:r>
    </w:p>
    <w:p>
      <w:pPr>
        <w:pStyle w:val="BodyText"/>
      </w:pPr>
      <w:r>
        <w:t xml:space="preserve">Conditional on an incorrect majority vote, the proportion of agents endorsing</w:t>
      </w:r>
      <w:r>
        <w:t xml:space="preserve"> </w:t>
      </w:r>
      <w:r>
        <w:t xml:space="preserve">the incorrect majority decreases from 0.824 for HOM to 0.761 for HET-LITE and</w:t>
      </w:r>
      <w:r>
        <w:t xml:space="preserve"> </w:t>
      </w:r>
      <w:r>
        <w:t xml:space="preserve">0.636 for HET. A paired equity-clustered bootstrap over the same 100 equities</w:t>
      </w:r>
      <w:r>
        <w:t xml:space="preserve"> </w:t>
      </w:r>
      <w:r>
        <w:t xml:space="preserve">(2</w:t>
      </w:r>
      <w:r>
        <w:t xml:space="preserve">,</w:t>
      </w:r>
      <w:r>
        <w:t xml:space="preserve">000 draws, the resampling scheme used for the primary endpoint) gives a</w:t>
      </w:r>
      <w:r>
        <w:t xml:space="preserve"> </w:t>
      </w:r>
      <w:r>
        <w:t xml:space="preserve">HOM</w:t>
      </w:r>
      <m:oMath>
        <m:r>
          <m:rPr>
            <m:sty m:val="p"/>
          </m:rPr>
          <m:t>−</m:t>
        </m:r>
      </m:oMath>
      <w:r>
        <w:t xml:space="preserve">HET difference of</w:t>
      </w:r>
      <w:r>
        <w:t xml:space="preserve"> </w:t>
      </w:r>
      <m:oMath>
        <m:r>
          <m:t>0.189</m:t>
        </m:r>
      </m:oMath>
      <w:r>
        <w:t xml:space="preserve"> </w:t>
      </w:r>
      <w:r>
        <w:t xml:space="preserve">(95% CI</w:t>
      </w:r>
      <w:r>
        <w:t xml:space="preserve"> </w:t>
      </w:r>
      <m:oMath>
        <m:r>
          <m:rPr>
            <m:sty m:val="p"/>
          </m:rPr>
          <m:t>[</m:t>
        </m:r>
        <m:r>
          <m:t>0.160</m:t>
        </m:r>
        <m:r>
          <m:rPr>
            <m:sty m:val="p"/>
          </m:rPr>
          <m:t>,</m:t>
        </m:r>
        <m:r>
          <m:t> </m:t>
        </m:r>
        <m:r>
          <m:t>0.216</m:t>
        </m:r>
        <m:r>
          <m:rPr>
            <m:sty m:val="p"/>
          </m:rPr>
          <m:t>]</m:t>
        </m:r>
      </m:oMath>
      <w:r>
        <w:t xml:space="preserve">), so the gap is</w:t>
      </w:r>
      <w:r>
        <w:t xml:space="preserve"> </w:t>
      </w:r>
      <w:r>
        <w:t xml:space="preserve">distinguishable from zero at the equity level. Errors in the heterogeneous</w:t>
      </w:r>
      <w:r>
        <w:t xml:space="preserve"> </w:t>
      </w:r>
      <w:r>
        <w:t xml:space="preserve">ensembles therefore contain more</w:t>
      </w:r>
      <w:r>
        <w:t xml:space="preserve"> </w:t>
      </w:r>
      <w:r>
        <w:t xml:space="preserve">within-committee dissent, which may provide an observable signal for escalation,</w:t>
      </w:r>
      <w:r>
        <w:t xml:space="preserve"> </w:t>
      </w:r>
      <w:r>
        <w:t xml:space="preserve">abstention, or further review. These findings suggest that heterogeneity may</w:t>
      </w:r>
      <w:r>
        <w:t xml:space="preserve"> </w:t>
      </w:r>
      <w:r>
        <w:t xml:space="preserve">affect the concentration of collective errors even when it does not produce a</w:t>
      </w:r>
      <w:r>
        <w:t xml:space="preserve"> </w:t>
      </w:r>
      <w:r>
        <w:t xml:space="preserve">detectable improvement in mean directional accuracy. However, they do not</w:t>
      </w:r>
      <w:r>
        <w:t xml:space="preserve"> </w:t>
      </w:r>
      <w:r>
        <w:t xml:space="preserve">establish a reduction in financial tail risk, because the analysis measures</w:t>
      </w:r>
      <w:r>
        <w:t xml:space="preserve"> </w:t>
      </w:r>
      <w:r>
        <w:t xml:space="preserve">decision-error structure rather than the distribution of realized monetary</w:t>
      </w:r>
      <w:r>
        <w:t xml:space="preserve"> </w:t>
      </w:r>
      <w:r>
        <w:t xml:space="preserve">losses.</w:t>
      </w:r>
    </w:p>
    <w:p>
      <w:pPr>
        <w:pStyle w:val="BodyText"/>
      </w:pPr>
      <w:r>
        <w:t xml:space="preserve">Self-reported conviction does not exhibit a reliable positive relationship with</w:t>
      </w:r>
      <w:r>
        <w:t xml:space="preserve"> </w:t>
      </w:r>
      <w:r>
        <w:t xml:space="preserve">per-agent directional accuracy in any configuration (Fig. </w:t>
      </w:r>
      <w:hyperlink w:anchor="fig:cal">
        <w:r>
          <w:rPr>
            <w:rStyle w:val="Hyperlink"/>
          </w:rPr>
          <w:t xml:space="preserve">5</w:t>
        </w:r>
      </w:hyperlink>
      <w:r>
        <w:t xml:space="preserve">).</w:t>
      </w:r>
      <w:r>
        <w:t xml:space="preserve"> </w:t>
      </w:r>
      <w:r>
        <w:t xml:space="preserve">Higher-conviction responses do not consistently achieve higher hit rates, and no</w:t>
      </w:r>
      <w:r>
        <w:t xml:space="preserve"> </w:t>
      </w:r>
      <w:r>
        <w:t xml:space="preserve">conviction category produces a reliably above-chance result. Consequently, the</w:t>
      </w:r>
      <w:r>
        <w:t xml:space="preserve"> </w:t>
      </w:r>
      <w:r>
        <w:t xml:space="preserve">exploratory benefit of heterogeneity appears in the structure of collective</w:t>
      </w:r>
      <w:r>
        <w:t xml:space="preserve"> </w:t>
      </w:r>
      <w:r>
        <w:t xml:space="preserve">agreement and dissent rather than in the calibration of individual agents’</w:t>
      </w:r>
      <w:r>
        <w:t xml:space="preserve"> </w:t>
      </w:r>
      <w:r>
        <w:t xml:space="preserve">reported conviction. These findings motivate a separate, appropriately powered</w:t>
      </w:r>
      <w:r>
        <w:t xml:space="preserve"> </w:t>
      </w:r>
      <w:r>
        <w:t xml:space="preserve">evaluation of calibration and collective-error risk.</w:t>
      </w:r>
    </w:p>
    <w:bookmarkStart w:id="59" w:name="tab:consensus"/>
    <w:p>
      <w:pPr>
        <w:pStyle w:val="TableCaption"/>
      </w:pPr>
      <w:r>
        <w:t xml:space="preserve">Consensus structure by heterogeneity (exploratory; 3</w:t>
      </w:r>
      <w:r>
        <w:t xml:space="preserve">,</w:t>
      </w:r>
      <w:r>
        <w:t xml:space="preserve">600 scoreable</w:t>
      </w:r>
      <w:r>
        <w:t xml:space="preserve"> </w:t>
      </w:r>
      <w:r>
        <w:t xml:space="preserve">five-agent decisions per config).</w:t>
      </w:r>
      <w:r>
        <w:t xml:space="preserve"> </w:t>
      </w:r>
      <w:r>
        <w:t xml:space="preserve">“Unan. wrong”</w:t>
      </w:r>
      <w:r>
        <w:t xml:space="preserve"> </w:t>
      </w:r>
      <m:oMath>
        <m:r>
          <m:rPr>
            <m:sty m:val="p"/>
          </m:rPr>
          <m:t>=</m:t>
        </m:r>
      </m:oMath>
      <w:r>
        <w:t xml:space="preserve"> </w:t>
      </w:r>
      <w:r>
        <w:t xml:space="preserve">all five agents agree on</w:t>
      </w:r>
      <w:r>
        <w:t xml:space="preserve"> </w:t>
      </w:r>
      <w:r>
        <w:t xml:space="preserve">one directional call that is wrong;</w:t>
      </w:r>
      <w:r>
        <w:t xml:space="preserve"> </w:t>
      </w:r>
      <w:r>
        <w:t xml:space="preserve">“pile-on”</w:t>
      </w:r>
      <w:r>
        <w:t xml:space="preserve"> </w:t>
      </w:r>
      <m:oMath>
        <m:r>
          <m:rPr>
            <m:sty m:val="p"/>
          </m:rPr>
          <m:t>=</m:t>
        </m:r>
      </m:oMath>
      <w:r>
        <w:t xml:space="preserve"> </w:t>
      </w:r>
      <m:oMath>
        <m:r>
          <m:t>P</m:t>
        </m:r>
        <m:r>
          <m:rPr>
            <m:sty m:val="p"/>
          </m:rPr>
          <m:t>(</m:t>
        </m:r>
        <m:r>
          <m:rPr>
            <m:sty m:val="p"/>
          </m:rPr>
          <m:t>a</m:t>
        </m:r>
        <m:r>
          <m:rPr>
            <m:sty m:val="p"/>
          </m:rPr>
          <m:t>g</m:t>
        </m:r>
        <m:r>
          <m:rPr>
            <m:sty m:val="p"/>
          </m:rPr>
          <m:t>e</m:t>
        </m:r>
        <m:r>
          <m:rPr>
            <m:sty m:val="p"/>
          </m:rPr>
          <m:t>n</m:t>
        </m:r>
        <m:r>
          <m:rPr>
            <m:sty m:val="p"/>
          </m:rPr>
          <m:t>t</m:t>
        </m:r>
        <m:r>
          <m:rPr>
            <m:sty m:val="p"/>
          </m:rPr>
          <m:t> </m:t>
        </m:r>
        <m:r>
          <m:rPr>
            <m:sty m:val="p"/>
          </m:rPr>
          <m:t>e</m:t>
        </m:r>
        <m:r>
          <m:rPr>
            <m:sty m:val="p"/>
          </m:rPr>
          <m:t>n</m:t>
        </m:r>
        <m:r>
          <m:rPr>
            <m:sty m:val="p"/>
          </m:rPr>
          <m:t>d</m:t>
        </m:r>
        <m:r>
          <m:rPr>
            <m:sty m:val="p"/>
          </m:rPr>
          <m:t>o</m:t>
        </m:r>
        <m:r>
          <m:rPr>
            <m:sty m:val="p"/>
          </m:rPr>
          <m:t>r</m:t>
        </m:r>
        <m:r>
          <m:rPr>
            <m:sty m:val="p"/>
          </m:rPr>
          <m:t>s</m:t>
        </m:r>
        <m:r>
          <m:rPr>
            <m:sty m:val="p"/>
          </m:rPr>
          <m:t>e</m:t>
        </m:r>
        <m:r>
          <m:rPr>
            <m:sty m:val="p"/>
          </m:rPr>
          <m:t>s</m:t>
        </m:r>
        <m:r>
          <m:rPr>
            <m:sty m:val="p"/>
          </m:rPr>
          <m:t> </m:t>
        </m:r>
        <m:r>
          <m:rPr>
            <m:sty m:val="p"/>
          </m:rPr>
          <m:t>m</m:t>
        </m:r>
        <m:r>
          <m:rPr>
            <m:sty m:val="p"/>
          </m:rPr>
          <m:t>a</m:t>
        </m:r>
        <m:r>
          <m:rPr>
            <m:sty m:val="p"/>
          </m:rPr>
          <m:t>j</m:t>
        </m:r>
        <m:r>
          <m:rPr>
            <m:sty m:val="p"/>
          </m:rPr>
          <m:t>o</m:t>
        </m:r>
        <m:r>
          <m:rPr>
            <m:sty m:val="p"/>
          </m:rPr>
          <m:t>r</m:t>
        </m:r>
        <m:r>
          <m:rPr>
            <m:sty m:val="p"/>
          </m:rPr>
          <m:t>i</m:t>
        </m:r>
        <m:r>
          <m:rPr>
            <m:sty m:val="p"/>
          </m:rPr>
          <m:t>t</m:t>
        </m:r>
        <m:r>
          <m:rPr>
            <m:sty m:val="p"/>
          </m:rPr>
          <m:t>y</m:t>
        </m:r>
        <m:r>
          <m:rPr>
            <m:sty m:val="p"/>
          </m:rPr>
          <m:t>∣</m:t>
        </m:r>
        <m:r>
          <m:rPr>
            <m:sty m:val="p"/>
          </m:rPr>
          <m:t>m</m:t>
        </m:r>
        <m:r>
          <m:rPr>
            <m:sty m:val="p"/>
          </m:rPr>
          <m:t>a</m:t>
        </m:r>
        <m:r>
          <m:rPr>
            <m:sty m:val="p"/>
          </m:rPr>
          <m:t>j</m:t>
        </m:r>
        <m:r>
          <m:rPr>
            <m:sty m:val="p"/>
          </m:rPr>
          <m:t>o</m:t>
        </m:r>
        <m:r>
          <m:rPr>
            <m:sty m:val="p"/>
          </m:rPr>
          <m:t>r</m:t>
        </m:r>
        <m:r>
          <m:rPr>
            <m:sty m:val="p"/>
          </m:rPr>
          <m:t>i</m:t>
        </m:r>
        <m:r>
          <m:rPr>
            <m:sty m:val="p"/>
          </m:rPr>
          <m:t>t</m:t>
        </m:r>
        <m:r>
          <m:rPr>
            <m:sty m:val="p"/>
          </m:rPr>
          <m:t>y</m:t>
        </m:r>
        <m:r>
          <m:rPr>
            <m:sty m:val="p"/>
          </m:rPr>
          <m:t> </m:t>
        </m:r>
        <m:r>
          <m:rPr>
            <m:sty m:val="p"/>
          </m:rPr>
          <m:t>w</m:t>
        </m:r>
        <m:r>
          <m:rPr>
            <m:sty m:val="p"/>
          </m:rPr>
          <m:t>r</m:t>
        </m:r>
        <m:r>
          <m:rPr>
            <m:sty m:val="p"/>
          </m:rPr>
          <m:t>o</m:t>
        </m:r>
        <m:r>
          <m:rPr>
            <m:sty m:val="p"/>
          </m:rPr>
          <m:t>n</m:t>
        </m:r>
        <m:r>
          <m:rPr>
            <m:sty m:val="p"/>
          </m:rPr>
          <m:t>g</m:t>
        </m:r>
        <m:r>
          <m:rPr>
            <m:sty m:val="p"/>
          </m:rPr>
          <m:t>)</m:t>
        </m:r>
      </m:oMath>
      <w:r>
        <w:t xml:space="preserve">.</w:t>
      </w:r>
    </w:p>
    <w:tbl>
      <w:tblPr>
        <w:tblStyle w:val="Table"/>
        <w:tblW w:type="auto" w:w="0"/>
        <w:tblLook w:firstRow="1" w:lastRow="0" w:firstColumn="0" w:lastColumn="0" w:noHBand="0" w:noVBand="0" w:val="0020"/>
        <w:tblCaption w:val="Consensus structure by heterogeneity (exploratory; 3,600 scoreable five-agent decisions per config). “Unan. wrong” = all five agents agree on one directional call that is wrong; “pile-on” = P(\mathrm{agent\ endorses\ majority}\mid\mathrm{majority\ wrong})."/>
      </w:tblPr>
      <w:tblGrid>
        <w:gridCol w:w="1980"/>
        <w:gridCol w:w="1980"/>
        <w:gridCol w:w="1980"/>
        <w:gridCol w:w="1980"/>
      </w:tblGrid>
      <w:tr>
        <w:trPr>
          <w:tblHeader w:val="on"/>
        </w:trPr>
        <w:tc>
          <w:tcPr/>
          <w:p>
            <w:pPr>
              <w:pStyle w:val="Compact"/>
              <w:jc w:val="left"/>
            </w:pPr>
            <w:r>
              <w:t xml:space="preserve">Config</w:t>
            </w:r>
          </w:p>
        </w:tc>
        <w:tc>
          <w:tcPr/>
          <w:p>
            <w:pPr>
              <w:pStyle w:val="Compact"/>
              <w:jc w:val="center"/>
            </w:pPr>
            <w:r>
              <w:t xml:space="preserve">unanimity</w:t>
            </w:r>
          </w:p>
        </w:tc>
        <w:tc>
          <w:tcPr/>
          <w:p>
            <w:pPr>
              <w:pStyle w:val="Compact"/>
              <w:jc w:val="center"/>
            </w:pPr>
            <w:r>
              <w:t xml:space="preserve">unan. wrong</w:t>
            </w:r>
          </w:p>
        </w:tc>
        <w:tc>
          <w:tcPr/>
          <w:p>
            <w:pPr>
              <w:pStyle w:val="Compact"/>
              <w:jc w:val="center"/>
            </w:pPr>
            <w:r>
              <w:t xml:space="preserve">pile-on</w:t>
            </w:r>
          </w:p>
        </w:tc>
      </w:tr>
      <w:tr>
        <w:tc>
          <w:tcPr/>
          <w:p>
            <w:pPr>
              <w:pStyle w:val="Compact"/>
              <w:jc w:val="left"/>
            </w:pPr>
            <w:r>
              <w:t xml:space="preserve">HOM</w:t>
            </w:r>
          </w:p>
        </w:tc>
        <w:tc>
          <w:tcPr/>
          <w:p>
            <w:pPr>
              <w:pStyle w:val="Compact"/>
              <w:jc w:val="center"/>
            </w:pPr>
            <w:r>
              <w:t xml:space="preserve">0.591</w:t>
            </w:r>
          </w:p>
        </w:tc>
        <w:tc>
          <w:tcPr/>
          <w:p>
            <w:pPr>
              <w:pStyle w:val="Compact"/>
              <w:jc w:val="center"/>
            </w:pPr>
            <w:r>
              <w:t xml:space="preserve">0.058</w:t>
            </w:r>
          </w:p>
        </w:tc>
        <w:tc>
          <w:tcPr/>
          <w:p>
            <w:pPr>
              <w:pStyle w:val="Compact"/>
              <w:jc w:val="center"/>
            </w:pPr>
            <w:r>
              <w:t xml:space="preserve">0.824</w:t>
            </w:r>
          </w:p>
        </w:tc>
      </w:tr>
      <w:tr>
        <w:tc>
          <w:tcPr/>
          <w:p>
            <w:pPr>
              <w:pStyle w:val="Compact"/>
              <w:jc w:val="left"/>
            </w:pPr>
            <w:r>
              <w:t xml:space="preserve">HET-LITE</w:t>
            </w:r>
          </w:p>
        </w:tc>
        <w:tc>
          <w:tcPr/>
          <w:p>
            <w:pPr>
              <w:pStyle w:val="Compact"/>
              <w:jc w:val="center"/>
            </w:pPr>
            <w:r>
              <w:t xml:space="preserve">0.315</w:t>
            </w:r>
          </w:p>
        </w:tc>
        <w:tc>
          <w:tcPr/>
          <w:p>
            <w:pPr>
              <w:pStyle w:val="Compact"/>
              <w:jc w:val="center"/>
            </w:pPr>
            <w:r>
              <w:t xml:space="preserve">0.030</w:t>
            </w:r>
          </w:p>
        </w:tc>
        <w:tc>
          <w:tcPr/>
          <w:p>
            <w:pPr>
              <w:pStyle w:val="Compact"/>
              <w:jc w:val="center"/>
            </w:pPr>
            <w:r>
              <w:t xml:space="preserve">0.761</w:t>
            </w:r>
          </w:p>
        </w:tc>
      </w:tr>
      <w:tr>
        <w:tc>
          <w:tcPr/>
          <w:p>
            <w:pPr>
              <w:pStyle w:val="Compact"/>
              <w:jc w:val="left"/>
            </w:pPr>
            <w:r>
              <w:t xml:space="preserve">HET</w:t>
            </w:r>
          </w:p>
        </w:tc>
        <w:tc>
          <w:tcPr/>
          <w:p>
            <w:pPr>
              <w:pStyle w:val="Compact"/>
              <w:jc w:val="center"/>
            </w:pPr>
            <w:r>
              <w:t xml:space="preserve">0.267</w:t>
            </w:r>
          </w:p>
        </w:tc>
        <w:tc>
          <w:tcPr/>
          <w:p>
            <w:pPr>
              <w:pStyle w:val="Compact"/>
              <w:jc w:val="center"/>
            </w:pPr>
            <w:r>
              <w:t xml:space="preserve">0.032</w:t>
            </w:r>
          </w:p>
        </w:tc>
        <w:tc>
          <w:tcPr/>
          <w:p>
            <w:pPr>
              <w:pStyle w:val="Compact"/>
              <w:jc w:val="center"/>
            </w:pPr>
            <w:r>
              <w:t xml:space="preserve">0.636</w:t>
            </w:r>
          </w:p>
        </w:tc>
      </w:tr>
    </w:tbl>
    <w:bookmarkEnd w:id="59"/>
    <w:bookmarkStart w:id="63" w:name="fig:cal"/>
    <w:p>
      <w:pPr>
        <w:pStyle w:val="CaptionedFigure"/>
      </w:pPr>
      <w:r>
        <w:drawing>
          <wp:inline>
            <wp:extent cx="4572000" cy="2926080"/>
            <wp:effectExtent b="0" l="0" r="0" t="0"/>
            <wp:docPr descr="" title="" id="61" name="Picture"/>
            <a:graphic>
              <a:graphicData uri="http://schemas.openxmlformats.org/drawingml/2006/picture">
                <pic:pic>
                  <pic:nvPicPr>
                    <pic:cNvPr descr="fig5_calibration.png" id="62" name="Picture"/>
                    <pic:cNvPicPr>
                      <a:picLocks noChangeArrowheads="1" noChangeAspect="1"/>
                    </pic:cNvPicPr>
                  </pic:nvPicPr>
                  <pic:blipFill>
                    <a:blip r:embed="rId60"/>
                    <a:stretch>
                      <a:fillRect/>
                    </a:stretch>
                  </pic:blipFill>
                  <pic:spPr bwMode="auto">
                    <a:xfrm>
                      <a:off x="0" y="0"/>
                      <a:ext cx="4572000" cy="2926080"/>
                    </a:xfrm>
                    <a:prstGeom prst="rect">
                      <a:avLst/>
                    </a:prstGeom>
                    <a:noFill/>
                    <a:ln w="9525">
                      <a:noFill/>
                      <a:headEnd/>
                      <a:tailEnd/>
                    </a:ln>
                  </pic:spPr>
                </pic:pic>
              </a:graphicData>
            </a:graphic>
          </wp:inline>
        </w:drawing>
      </w:r>
    </w:p>
    <w:p>
      <w:pPr>
        <w:pStyle w:val="ImageCaption"/>
      </w:pPr>
      <w:r>
        <w:t xml:space="preserve">Self-reported conviction does not predict directional accuracy.</w:t>
      </w:r>
      <w:r>
        <w:t xml:space="preserve"> </w:t>
      </w:r>
      <w:r>
        <w:t xml:space="preserve">Per-agent directional hit-rate by self-reported conviction bucket; no</w:t>
      </w:r>
      <w:r>
        <w:t xml:space="preserve"> </w:t>
      </w:r>
      <w:r>
        <w:t xml:space="preserve">configuration rises reliably above chance (</w:t>
      </w:r>
      <m:oMath>
        <m:r>
          <m:t>0.5</m:t>
        </m:r>
      </m:oMath>
      <w:r>
        <w:t xml:space="preserve">, dashed), consistent with the</w:t>
      </w:r>
      <w:r>
        <w:t xml:space="preserve"> </w:t>
      </w:r>
      <w:r>
        <w:t xml:space="preserve">secondary directional-accuracy analysis.</w:t>
      </w:r>
    </w:p>
    <w:bookmarkEnd w:id="63"/>
    <w:bookmarkEnd w:id="64"/>
    <w:bookmarkStart w:id="66" w:name="subsec:crossdomain"/>
    <w:p>
      <w:pPr>
        <w:pStyle w:val="Heading2"/>
      </w:pPr>
      <w:r>
        <w:t xml:space="preserve">Cross-domain replication: clinical decisions</w:t>
      </w:r>
    </w:p>
    <w:p>
      <w:pPr>
        <w:pStyle w:val="FirstParagraph"/>
      </w:pPr>
      <w:r>
        <w:t xml:space="preserve">The confirmatory study measures one financial task. To test whether the effect is</w:t>
      </w:r>
      <w:r>
        <w:t xml:space="preserve"> </w:t>
      </w:r>
      <w:r>
        <w:t xml:space="preserve">a property of that task, the entire protocol was repeated on a domain chosen to</w:t>
      </w:r>
      <w:r>
        <w:t xml:space="preserve"> </w:t>
      </w:r>
      <w:r>
        <w:t xml:space="preserve">be as unlike it as possible: expert clinical decision-making. Items are the</w:t>
      </w:r>
      <w:r>
        <w:t xml:space="preserve"> </w:t>
      </w:r>
      <w:r>
        <w:t xml:space="preserve">MMLU professional-medicine and clinical-knowledge subsets (MIT licence, no</w:t>
      </w:r>
      <w:r>
        <w:t xml:space="preserve"> </w:t>
      </w:r>
      <w:r>
        <w:t xml:space="preserve">personal data), 537 four-option questions with a single correct answer.</w:t>
      </w:r>
      <w:r>
        <w:t xml:space="preserve"> </w:t>
      </w:r>
      <w:r>
        <w:t xml:space="preserve">Choice order is shuffled deterministically per item, because the published answer</w:t>
      </w:r>
      <w:r>
        <w:t xml:space="preserve"> </w:t>
      </w:r>
      <w:r>
        <w:t xml:space="preserve">key is skewed toward one position and a model could otherwise beat chance on</w:t>
      </w:r>
      <w:r>
        <w:t xml:space="preserve"> </w:t>
      </w:r>
      <w:r>
        <w:t xml:space="preserve">position alone. The five agents, three configurations, per-agent independent-draw</w:t>
      </w:r>
      <w:r>
        <w:t xml:space="preserve"> </w:t>
      </w:r>
      <w:r>
        <w:t xml:space="preserve">seeding, temperature, number of runs, and estimators are unchanged; only the</w:t>
      </w:r>
      <w:r>
        <w:t xml:space="preserve"> </w:t>
      </w:r>
      <w:r>
        <w:t xml:space="preserve">domain differs, so any change in the endpoint is attributable to domain rather</w:t>
      </w:r>
      <w:r>
        <w:t xml:space="preserve"> </w:t>
      </w:r>
      <w:r>
        <w:t xml:space="preserve">than to a redesign. The design, the predicted direction, and the decision rule</w:t>
      </w:r>
      <w:r>
        <w:t xml:space="preserve"> </w:t>
      </w:r>
      <w:r>
        <w:t xml:space="preserve">were registered before collection.</w:t>
      </w:r>
    </w:p>
    <w:p>
      <w:pPr>
        <w:pStyle w:val="BodyText"/>
      </w:pPr>
      <w:r>
        <w:t xml:space="preserve">The prediction was that the effect would replicate in direction but be</w:t>
      </w:r>
      <w:r>
        <w:t xml:space="preserve"> </w:t>
      </w:r>
      <w:r>
        <w:rPr>
          <w:i/>
          <w:iCs/>
        </w:rPr>
        <w:t xml:space="preserve">smaller</w:t>
      </w:r>
      <w:r>
        <w:t xml:space="preserve"> </w:t>
      </w:r>
      <w:r>
        <w:t xml:space="preserve">than in finance, because agents answer these items far more</w:t>
      </w:r>
      <w:r>
        <w:t xml:space="preserve"> </w:t>
      </w:r>
      <w:r>
        <w:t xml:space="preserve">accurately and agents that are more often correct necessarily agree more. Both</w:t>
      </w:r>
      <w:r>
        <w:t xml:space="preserve"> </w:t>
      </w:r>
      <w:r>
        <w:t xml:space="preserve">parts hold. Agreement falls from</w:t>
      </w:r>
      <w:r>
        <w:t xml:space="preserve"> </w:t>
      </w:r>
      <m:oMath>
        <m:r>
          <m:t>κ</m:t>
        </m:r>
        <m:r>
          <m:rPr>
            <m:sty m:val="p"/>
          </m:rPr>
          <m:t>=</m:t>
        </m:r>
        <m:r>
          <m:t>0.881</m:t>
        </m:r>
      </m:oMath>
      <w:r>
        <w:t xml:space="preserve"> </w:t>
      </w:r>
      <w:r>
        <w:t xml:space="preserve">for HOM to</w:t>
      </w:r>
      <w:r>
        <w:t xml:space="preserve"> </w:t>
      </w:r>
      <m:oMath>
        <m:r>
          <m:t>0.809</m:t>
        </m:r>
      </m:oMath>
      <w:r>
        <w:t xml:space="preserve"> </w:t>
      </w:r>
      <w:r>
        <w:t xml:space="preserve">for HET,</w:t>
      </w:r>
      <w:r>
        <w:t xml:space="preserve"> </w:t>
      </w:r>
      <w:r>
        <w:t xml:space="preserve">giving</w:t>
      </w:r>
      <w:r>
        <w:t xml:space="preserve"> </w:t>
      </w:r>
      <m:oMath>
        <m:r>
          <m:rPr>
            <m:sty m:val="p"/>
          </m:rPr>
          <m:t>Δ</m:t>
        </m:r>
        <m:sSub>
          <m:e>
            <m:r>
              <m:t>κ</m:t>
            </m:r>
          </m:e>
          <m:sub>
            <m:r>
              <m:rPr>
                <m:sty m:val="p"/>
              </m:rPr>
              <m:t>H</m:t>
            </m:r>
            <m:r>
              <m:rPr>
                <m:sty m:val="p"/>
              </m:rPr>
              <m:t>O</m:t>
            </m:r>
            <m:r>
              <m:rPr>
                <m:sty m:val="p"/>
              </m:rPr>
              <m:t>M</m:t>
            </m:r>
            <m:r>
              <m:rPr>
                <m:sty m:val="p"/>
              </m:rPr>
              <m:t>−</m:t>
            </m:r>
            <m:r>
              <m:rPr>
                <m:sty m:val="p"/>
              </m:rPr>
              <m:t>H</m:t>
            </m:r>
            <m:r>
              <m:rPr>
                <m:sty m:val="p"/>
              </m:rPr>
              <m:t>E</m:t>
            </m:r>
            <m:r>
              <m:rPr>
                <m:sty m:val="p"/>
              </m:rPr>
              <m:t>T</m:t>
            </m:r>
          </m:sub>
        </m:sSub>
        <m:r>
          <m:rPr>
            <m:sty m:val="p"/>
          </m:rPr>
          <m:t>=</m:t>
        </m:r>
        <m:r>
          <m:t>0.072</m:t>
        </m:r>
      </m:oMath>
      <w:r>
        <w:t xml:space="preserve"> </w:t>
      </w:r>
      <w:r>
        <w:t xml:space="preserve">(95% CI</w:t>
      </w:r>
      <w:r>
        <w:t xml:space="preserve"> </w:t>
      </w:r>
      <m:oMath>
        <m:r>
          <m:rPr>
            <m:sty m:val="p"/>
          </m:rPr>
          <m:t>[</m:t>
        </m:r>
        <m:r>
          <m:t>0.040</m:t>
        </m:r>
        <m:r>
          <m:rPr>
            <m:sty m:val="p"/>
          </m:rPr>
          <m:t>,</m:t>
        </m:r>
        <m:r>
          <m:t> </m:t>
        </m:r>
        <m:r>
          <m:t>0.104</m:t>
        </m:r>
        <m:r>
          <m:rPr>
            <m:sty m:val="p"/>
          </m:rPr>
          <m:t>]</m:t>
        </m:r>
      </m:oMath>
      <w:r>
        <w:t xml:space="preserve">),</w:t>
      </w:r>
      <w:r>
        <w:t xml:space="preserve"> </w:t>
      </w:r>
      <w:r>
        <w:t xml:space="preserve">roughly a fifth of the financial estimate of</w:t>
      </w:r>
      <w:r>
        <w:t xml:space="preserve"> </w:t>
      </w:r>
      <m:oMath>
        <m:r>
          <m:t>0.336</m:t>
        </m:r>
      </m:oMath>
      <w:r>
        <w:t xml:space="preserve">. Error correlation, by</w:t>
      </w:r>
      <w:r>
        <w:t xml:space="preserve"> </w:t>
      </w:r>
      <w:r>
        <w:t xml:space="preserve">contrast, barely attenuates:</w:t>
      </w:r>
      <w:r>
        <w:t xml:space="preserve"> </w:t>
      </w:r>
      <m:oMath>
        <m:r>
          <m:rPr>
            <m:sty m:val="p"/>
          </m:rPr>
          <m:t>Δ</m:t>
        </m:r>
        <m:sSub>
          <m:e>
            <m:r>
              <m:t>ϕ</m:t>
            </m:r>
          </m:e>
          <m:sub>
            <m:r>
              <m:rPr>
                <m:sty m:val="p"/>
              </m:rPr>
              <m:t>H</m:t>
            </m:r>
            <m:r>
              <m:rPr>
                <m:sty m:val="p"/>
              </m:rPr>
              <m:t>O</m:t>
            </m:r>
            <m:r>
              <m:rPr>
                <m:sty m:val="p"/>
              </m:rPr>
              <m:t>M</m:t>
            </m:r>
            <m:r>
              <m:rPr>
                <m:sty m:val="p"/>
              </m:rPr>
              <m:t>−</m:t>
            </m:r>
            <m:r>
              <m:rPr>
                <m:sty m:val="p"/>
              </m:rPr>
              <m:t>H</m:t>
            </m:r>
            <m:r>
              <m:rPr>
                <m:sty m:val="p"/>
              </m:rPr>
              <m:t>E</m:t>
            </m:r>
            <m:r>
              <m:rPr>
                <m:sty m:val="p"/>
              </m:rPr>
              <m:t>T</m:t>
            </m:r>
          </m:sub>
        </m:sSub>
        <m:r>
          <m:rPr>
            <m:sty m:val="p"/>
          </m:rPr>
          <m:t>=</m:t>
        </m:r>
        <m:r>
          <m:t>0.393</m:t>
        </m:r>
      </m:oMath>
      <w:r>
        <w:t xml:space="preserve"> </w:t>
      </w:r>
      <w:r>
        <w:t xml:space="preserve">(95% CI</w:t>
      </w:r>
      <w:r>
        <w:t xml:space="preserve"> </w:t>
      </w:r>
      <m:oMath>
        <m:r>
          <m:rPr>
            <m:sty m:val="p"/>
          </m:rPr>
          <m:t>[</m:t>
        </m:r>
        <m:r>
          <m:t>0.325</m:t>
        </m:r>
        <m:r>
          <m:rPr>
            <m:sty m:val="p"/>
          </m:rPr>
          <m:t>,</m:t>
        </m:r>
        <m:r>
          <m:t> </m:t>
        </m:r>
        <m:r>
          <m:t>0.459</m:t>
        </m:r>
        <m:r>
          <m:rPr>
            <m:sty m:val="p"/>
          </m:rPr>
          <m:t>]</m:t>
        </m:r>
      </m:oMath>
      <w:r>
        <w:t xml:space="preserve">), against</w:t>
      </w:r>
      <w:r>
        <w:t xml:space="preserve"> </w:t>
      </w:r>
      <m:oMath>
        <m:r>
          <m:t>0.454</m:t>
        </m:r>
      </m:oMath>
      <w:r>
        <w:t xml:space="preserve"> </w:t>
      </w:r>
      <w:r>
        <w:t xml:space="preserve">in finance. Agreement is thus the</w:t>
      </w:r>
      <w:r>
        <w:t xml:space="preserve"> </w:t>
      </w:r>
      <w:r>
        <w:t xml:space="preserve">accuracy-sensitive quantity and error correlation the portable one, which is why</w:t>
      </w:r>
      <w:r>
        <w:t xml:space="preserve"> </w:t>
      </w:r>
      <w:r>
        <w:t xml:space="preserve">the de-correlation claim of Section </w:t>
      </w:r>
      <w:hyperlink w:anchor="subsec:errcorr">
        <w:r>
          <w:rPr>
            <w:rStyle w:val="Hyperlink"/>
          </w:rPr>
          <w:t xml:space="preserve">5.3</w:t>
        </w:r>
      </w:hyperlink>
      <w:r>
        <w:t xml:space="preserve"> </w:t>
      </w:r>
      <w:r>
        <w:t xml:space="preserve">is stated in terms of</w:t>
      </w:r>
      <w:r>
        <w:t xml:space="preserve"> </w:t>
      </w:r>
      <m:oMath>
        <m:r>
          <m:t>ϕ</m:t>
        </m:r>
      </m:oMath>
      <w:r>
        <w:t xml:space="preserve">.</w:t>
      </w:r>
    </w:p>
    <w:p>
      <w:pPr>
        <w:pStyle w:val="BodyText"/>
      </w:pPr>
      <w:r>
        <w:t xml:space="preserve">Because the three providers are not capability-matched on this domain — the two</w:t>
      </w:r>
      <w:r>
        <w:t xml:space="preserve"> </w:t>
      </w:r>
      <w:r>
        <w:t xml:space="preserve">non-OpenAI models answer these items more accurately — the pooled contrast</w:t>
      </w:r>
      <w:r>
        <w:t xml:space="preserve"> </w:t>
      </w:r>
      <w:r>
        <w:t xml:space="preserve">confounds provider with capability. The design admits a direct test. Within the</w:t>
      </w:r>
      <w:r>
        <w:t xml:space="preserve"> </w:t>
      </w:r>
      <w:r>
        <w:t xml:space="preserve">fully heterogeneous configuration, agent pairs drawn from the same provider can</w:t>
      </w:r>
      <w:r>
        <w:t xml:space="preserve"> </w:t>
      </w:r>
      <w:r>
        <w:t xml:space="preserve">be compared with pairs drawn from different providers while holding the item set</w:t>
      </w:r>
      <w:r>
        <w:t xml:space="preserve"> </w:t>
      </w:r>
      <w:r>
        <w:t xml:space="preserve">and the ensemble composition fixed; and among those, one same-provider and one</w:t>
      </w:r>
      <w:r>
        <w:t xml:space="preserve"> </w:t>
      </w:r>
      <w:r>
        <w:t xml:space="preserve">cross-provider pairing have near-identical member accuracy</w:t>
      </w:r>
      <w:r>
        <w:t xml:space="preserve"> </w:t>
      </w:r>
      <w:r>
        <w:t xml:space="preserve">(</w:t>
      </w:r>
      <m:oMath>
        <m:r>
          <m:t>0.951</m:t>
        </m:r>
      </m:oMath>
      <w:r>
        <w:t xml:space="preserve"> </w:t>
      </w:r>
      <w:r>
        <w:t xml:space="preserve">and</w:t>
      </w:r>
      <w:r>
        <w:t xml:space="preserve"> </w:t>
      </w:r>
      <m:oMath>
        <m:r>
          <m:t>0.955</m:t>
        </m:r>
      </m:oMath>
      <w:r>
        <w:t xml:space="preserve">). For that capability-matched contrast, error correlation</w:t>
      </w:r>
      <w:r>
        <w:t xml:space="preserve"> </w:t>
      </w:r>
      <w:r>
        <w:t xml:space="preserve">is</w:t>
      </w:r>
      <w:r>
        <w:t xml:space="preserve"> </w:t>
      </w:r>
      <m:oMath>
        <m:r>
          <m:t>0.954</m:t>
        </m:r>
      </m:oMath>
      <w:r>
        <w:t xml:space="preserve"> </w:t>
      </w:r>
      <w:r>
        <w:t xml:space="preserve">within a provider and</w:t>
      </w:r>
      <w:r>
        <w:t xml:space="preserve"> </w:t>
      </w:r>
      <m:oMath>
        <m:r>
          <m:t>0.607</m:t>
        </m:r>
      </m:oMath>
      <w:r>
        <w:t xml:space="preserve"> </w:t>
      </w:r>
      <w:r>
        <w:t xml:space="preserve">across providers, a difference of</w:t>
      </w:r>
      <w:r>
        <w:t xml:space="preserve"> </w:t>
      </w:r>
      <m:oMath>
        <m:r>
          <m:t>0.347</m:t>
        </m:r>
      </m:oMath>
      <w:r>
        <w:t xml:space="preserve"> </w:t>
      </w:r>
      <w:r>
        <w:t xml:space="preserve">(95% CI</w:t>
      </w:r>
      <w:r>
        <w:t xml:space="preserve"> </w:t>
      </w:r>
      <m:oMath>
        <m:r>
          <m:rPr>
            <m:sty m:val="p"/>
          </m:rPr>
          <m:t>[</m:t>
        </m:r>
        <m:r>
          <m:t>0.207</m:t>
        </m:r>
        <m:r>
          <m:rPr>
            <m:sty m:val="p"/>
          </m:rPr>
          <m:t>,</m:t>
        </m:r>
        <m:r>
          <m:t> </m:t>
        </m:r>
        <m:r>
          <m:t>0.507</m:t>
        </m:r>
        <m:r>
          <m:rPr>
            <m:sty m:val="p"/>
          </m:rPr>
          <m:t>]</m:t>
        </m:r>
      </m:oMath>
      <w:r>
        <w:t xml:space="preserve">). Every same-provider pairing shows</w:t>
      </w:r>
      <w:r>
        <w:t xml:space="preserve"> </w:t>
      </w:r>
      <w:r>
        <w:t xml:space="preserve">higher error correlation than every cross-provider pairing, at both accuracy</w:t>
      </w:r>
      <w:r>
        <w:t xml:space="preserve"> </w:t>
      </w:r>
      <w:r>
        <w:t xml:space="preserve">levels present in the ensemble. Provider, not capability, orders the result.</w:t>
      </w:r>
    </w:p>
    <w:p>
      <w:pPr>
        <w:pStyle w:val="BodyText"/>
      </w:pPr>
      <w:r>
        <w:t xml:space="preserve">This arm is a replication of the mechanism on a second domain; it is not a claim</w:t>
      </w:r>
      <w:r>
        <w:t xml:space="preserve"> </w:t>
      </w:r>
      <w:r>
        <w:t xml:space="preserve">that heterogeneity improves accuracy. Per-agent accuracy is unchanged by</w:t>
      </w:r>
      <w:r>
        <w:t xml:space="preserve"> </w:t>
      </w:r>
      <w:r>
        <w:t xml:space="preserve">configuration in these data, and the rise in ensemble accuracy across</w:t>
      </w:r>
      <w:r>
        <w:t xml:space="preserve"> </w:t>
      </w:r>
      <w:r>
        <w:t xml:space="preserve">configurations is attributable to the inclusion of individually stronger models.</w:t>
      </w:r>
    </w:p>
    <w:bookmarkStart w:id="65" w:name="selective-prediction"/>
    <w:p>
      <w:pPr>
        <w:pStyle w:val="Heading4"/>
      </w:pPr>
      <w:r>
        <w:t xml:space="preserve">Selective prediction</w:t>
      </w:r>
    </w:p>
    <w:p>
      <w:pPr>
        <w:pStyle w:val="FirstParagraph"/>
      </w:pPr>
      <w:r>
        <w:t xml:space="preserve">Reduced agreement is only valuable if it buys something downstream. Because</w:t>
      </w:r>
      <w:r>
        <w:t xml:space="preserve"> </w:t>
      </w:r>
      <w:r>
        <w:t xml:space="preserve">directional accuracy is measured on differing subsets once HOLD is treated as an</w:t>
      </w:r>
      <w:r>
        <w:t xml:space="preserve"> </w:t>
      </w:r>
      <w:r>
        <w:t xml:space="preserve">abstention, marginal hit-rates with overlapping intervals are not an adequate</w:t>
      </w:r>
      <w:r>
        <w:t xml:space="preserve"> </w:t>
      </w:r>
      <w:r>
        <w:t xml:space="preserve">basis for comparison. We therefore report a selective-prediction analysis:</w:t>
      </w:r>
      <w:r>
        <w:t xml:space="preserve"> </w:t>
      </w:r>
      <w:r>
        <w:t xml:space="preserve">ensemble decisions are ranked by mean agent conviction, coverage is swept from</w:t>
      </w:r>
      <w:r>
        <w:t xml:space="preserve"> </w:t>
      </w:r>
      <w:r>
        <w:t xml:space="preserve">the most confident decision to the full set, and selective risk is the error rate</w:t>
      </w:r>
      <w:r>
        <w:t xml:space="preserve"> </w:t>
      </w:r>
      <w:r>
        <w:t xml:space="preserve">among decisions retained at each coverage level. Summarising the curve by the</w:t>
      </w:r>
      <w:r>
        <w:t xml:space="preserve"> </w:t>
      </w:r>
      <w:r>
        <w:t xml:space="preserve">area under it (AURC, lower is better), the three configurations are</w:t>
      </w:r>
      <w:r>
        <w:t xml:space="preserve"> </w:t>
      </w:r>
      <w:r>
        <w:t xml:space="preserve">0.553 for HOM, 0.568 for HET-LITE, and 0.554 for HET. The HOM</w:t>
      </w:r>
      <m:oMath>
        <m:r>
          <m:rPr>
            <m:sty m:val="p"/>
          </m:rPr>
          <m:t>−</m:t>
        </m:r>
      </m:oMath>
      <w:r>
        <w:t xml:space="preserve">HET difference</w:t>
      </w:r>
      <w:r>
        <w:t xml:space="preserve"> </w:t>
      </w:r>
      <w:r>
        <w:t xml:space="preserve">in AURC, from the same paired equity-clustered bootstrap, is</w:t>
      </w:r>
      <w:r>
        <w:t xml:space="preserve"> </w:t>
      </w:r>
      <m:oMath>
        <m:r>
          <m:rPr>
            <m:sty m:val="p"/>
          </m:rPr>
          <m:t>−</m:t>
        </m:r>
        <m:r>
          <m:t>0.001</m:t>
        </m:r>
      </m:oMath>
      <w:r>
        <w:t xml:space="preserve"> </w:t>
      </w:r>
      <w:r>
        <w:t xml:space="preserve">(95% CI</w:t>
      </w:r>
      <w:r>
        <w:t xml:space="preserve"> </w:t>
      </w:r>
      <m:oMath>
        <m:r>
          <m:rPr>
            <m:sty m:val="p"/>
          </m:rPr>
          <m:t>[</m:t>
        </m:r>
        <m:r>
          <m:rPr>
            <m:sty m:val="p"/>
          </m:rPr>
          <m:t>−</m:t>
        </m:r>
        <m:r>
          <m:t>0.059</m:t>
        </m:r>
        <m:r>
          <m:rPr>
            <m:sty m:val="p"/>
          </m:rPr>
          <m:t>,</m:t>
        </m:r>
        <m:r>
          <m:t> </m:t>
        </m:r>
        <m:r>
          <m:t>0.060</m:t>
        </m:r>
        <m:r>
          <m:rPr>
            <m:sty m:val="p"/>
          </m:rPr>
          <m:t>]</m:t>
        </m:r>
      </m:oMath>
      <w:r>
        <w:t xml:space="preserve">): the interval contains zero, so these data do not establish</w:t>
      </w:r>
      <w:r>
        <w:t xml:space="preserve"> </w:t>
      </w:r>
      <w:r>
        <w:t xml:space="preserve">a difference in selective-prediction quality between the two configurations.</w:t>
      </w:r>
      <w:r>
        <w:t xml:space="preserve"> </w:t>
      </w:r>
      <w:r>
        <w:t xml:space="preserve">These values stand against</w:t>
      </w:r>
      <w:r>
        <w:t xml:space="preserve"> </w:t>
      </w:r>
      <w:r>
        <w:t xml:space="preserve">full-coverage risks of 0.562, 0.537, and 0.512. Restricting to the most</w:t>
      </w:r>
      <w:r>
        <w:t xml:space="preserve"> </w:t>
      </w:r>
      <w:r>
        <w:t xml:space="preserve">confident half of decisions does not materially reduce selective risk in any</w:t>
      </w:r>
      <w:r>
        <w:t xml:space="preserve"> </w:t>
      </w:r>
      <w:r>
        <w:t xml:space="preserve">configuration. Conviction, as elicited here, does not rank errors usefully, and</w:t>
      </w:r>
      <w:r>
        <w:t xml:space="preserve"> </w:t>
      </w:r>
      <w:r>
        <w:t xml:space="preserve">we therefore do not claim a calibration or abstention benefit from</w:t>
      </w:r>
      <w:r>
        <w:t xml:space="preserve"> </w:t>
      </w:r>
      <w:r>
        <w:t xml:space="preserve">heterogeneity. The agreement–cost frontier of</w:t>
      </w:r>
      <w:r>
        <w:t xml:space="preserve"> </w:t>
      </w:r>
      <w:r>
        <w:t xml:space="preserve">Section </w:t>
      </w:r>
      <w:hyperlink w:anchor="subsec:frontier">
        <w:r>
          <w:rPr>
            <w:rStyle w:val="Hyperlink"/>
          </w:rPr>
          <w:t xml:space="preserve">5.4</w:t>
        </w:r>
      </w:hyperlink>
      <w:r>
        <w:t xml:space="preserve"> </w:t>
      </w:r>
      <w:r>
        <w:t xml:space="preserve">is reported as a description of what diversity</w:t>
      </w:r>
      <w:r>
        <w:t xml:space="preserve"> </w:t>
      </w:r>
      <w:r>
        <w:t xml:space="preserve">costs, not as evidence that it improves decision quality.</w:t>
      </w:r>
    </w:p>
    <w:bookmarkEnd w:id="65"/>
    <w:bookmarkEnd w:id="66"/>
    <w:bookmarkStart w:id="67" w:name="sec:control"/>
    <w:p>
      <w:pPr>
        <w:pStyle w:val="Heading2"/>
      </w:pPr>
      <w:r>
        <w:t xml:space="preserve">Robustness: capability-matched control</w:t>
      </w:r>
    </w:p>
    <w:p>
      <w:pPr>
        <w:pStyle w:val="FirstParagraph"/>
      </w:pPr>
      <w:r>
        <w:t xml:space="preserve">The primary ensemble configurations vary both provider identity and model</w:t>
      </w:r>
      <w:r>
        <w:t xml:space="preserve"> </w:t>
      </w:r>
      <w:r>
        <w:t xml:space="preserve">capability tier. To reduce this confounding, we conduct a pre-registered</w:t>
      </w:r>
      <w:r>
        <w:t xml:space="preserve"> </w:t>
      </w:r>
      <w:r>
        <w:t xml:space="preserve">capability-matched control using three OpenAI efficient-tier agents and two</w:t>
      </w:r>
      <w:r>
        <w:t xml:space="preserve"> </w:t>
      </w:r>
      <w:r>
        <w:t xml:space="preserve">Google efficient-tier agents (Het-SameTier). An equivalent efficient-tier xAI</w:t>
      </w:r>
      <w:r>
        <w:t xml:space="preserve"> </w:t>
      </w:r>
      <w:r>
        <w:t xml:space="preserve">model was not available, so this control varies provider across two rather than</w:t>
      </w:r>
      <w:r>
        <w:t xml:space="preserve"> </w:t>
      </w:r>
      <w:r>
        <w:t xml:space="preserve">three model families. Across the same 100-equity and 12-date grid, the</w:t>
      </w:r>
      <w:r>
        <w:t xml:space="preserve"> </w:t>
      </w:r>
      <w:r>
        <w:t xml:space="preserve">homogeneous baseline produces</w:t>
      </w:r>
      <w:r>
        <w:t xml:space="preserve"> </w:t>
      </w:r>
      <m:oMath>
        <m:sSub>
          <m:e>
            <m:r>
              <m:t>κ</m:t>
            </m:r>
          </m:e>
          <m:sub>
            <m:r>
              <m:rPr>
                <m:sty m:val="p"/>
              </m:rPr>
              <m:t>H</m:t>
            </m:r>
            <m:r>
              <m:rPr>
                <m:sty m:val="p"/>
              </m:rPr>
              <m:t>O</m:t>
            </m:r>
            <m:r>
              <m:rPr>
                <m:sty m:val="p"/>
              </m:rPr>
              <m:t>M</m:t>
            </m:r>
          </m:sub>
        </m:sSub>
        <m:r>
          <m:rPr>
            <m:sty m:val="p"/>
          </m:rPr>
          <m:t>=</m:t>
        </m:r>
        <m:r>
          <m:t>0.552</m:t>
        </m:r>
      </m:oMath>
      <w:r>
        <w:t xml:space="preserve">, whereas the</w:t>
      </w:r>
      <w:r>
        <w:t xml:space="preserve"> </w:t>
      </w:r>
      <w:r>
        <w:t xml:space="preserve">capability-matched heterogeneous configuration produces</w:t>
      </w:r>
      <w:r>
        <w:t xml:space="preserve"> </w:t>
      </w:r>
      <m:oMath>
        <m:sSub>
          <m:e>
            <m:r>
              <m:t>κ</m:t>
            </m:r>
          </m:e>
          <m:sub>
            <m:r>
              <m:rPr>
                <m:sty m:val="p"/>
              </m:rPr>
              <m:t>H</m:t>
            </m:r>
            <m:r>
              <m:rPr>
                <m:sty m:val="p"/>
              </m:rPr>
              <m:t>E</m:t>
            </m:r>
            <m:r>
              <m:rPr>
                <m:sty m:val="p"/>
              </m:rPr>
              <m:t>T</m:t>
            </m:r>
            <m:r>
              <m:rPr>
                <m:nor/>
                <m:sty m:val="p"/>
              </m:rPr>
              <m:t>-</m:t>
            </m:r>
            <m:r>
              <m:rPr>
                <m:sty m:val="p"/>
              </m:rPr>
              <m:t>S</m:t>
            </m:r>
            <m:r>
              <m:rPr>
                <m:sty m:val="p"/>
              </m:rPr>
              <m:t>a</m:t>
            </m:r>
            <m:r>
              <m:rPr>
                <m:sty m:val="p"/>
              </m:rPr>
              <m:t>m</m:t>
            </m:r>
            <m:r>
              <m:rPr>
                <m:sty m:val="p"/>
              </m:rPr>
              <m:t>e</m:t>
            </m:r>
            <m:r>
              <m:rPr>
                <m:sty m:val="p"/>
              </m:rPr>
              <m:t>T</m:t>
            </m:r>
            <m:r>
              <m:rPr>
                <m:sty m:val="p"/>
              </m:rPr>
              <m:t>i</m:t>
            </m:r>
            <m:r>
              <m:rPr>
                <m:sty m:val="p"/>
              </m:rPr>
              <m:t>e</m:t>
            </m:r>
            <m:r>
              <m:rPr>
                <m:sty m:val="p"/>
              </m:rPr>
              <m:t>r</m:t>
            </m:r>
          </m:sub>
        </m:sSub>
        <m:r>
          <m:rPr>
            <m:sty m:val="p"/>
          </m:rPr>
          <m:t>=</m:t>
        </m:r>
        <m:r>
          <m:t>0.236</m:t>
        </m:r>
      </m:oMath>
      <w:r>
        <w:t xml:space="preserve">. The resulting contrast is</w:t>
      </w:r>
    </w:p>
    <w:p>
      <w:pPr>
        <w:pStyle w:val="BodyText"/>
      </w:pPr>
      <m:oMathPara>
        <m:oMathParaPr>
          <m:jc m:val="center"/>
        </m:oMathParaPr>
        <m:oMath>
          <m:r>
            <m:rPr>
              <m:sty m:val="p"/>
            </m:rPr>
            <m:t>Δ</m:t>
          </m:r>
          <m:sSub>
            <m:e>
              <m:r>
                <m:t>κ</m:t>
              </m:r>
            </m:e>
            <m:sub>
              <m:r>
                <m:rPr>
                  <m:sty m:val="p"/>
                </m:rPr>
                <m:t>H</m:t>
              </m:r>
              <m:r>
                <m:rPr>
                  <m:sty m:val="p"/>
                </m:rPr>
                <m:t>O</m:t>
              </m:r>
              <m:r>
                <m:rPr>
                  <m:sty m:val="p"/>
                </m:rPr>
                <m:t>M</m:t>
              </m:r>
              <m:r>
                <m:rPr>
                  <m:sty m:val="p"/>
                </m:rPr>
                <m:t>−</m:t>
              </m:r>
              <m:r>
                <m:rPr>
                  <m:sty m:val="p"/>
                </m:rPr>
                <m:t>S</m:t>
              </m:r>
              <m:r>
                <m:rPr>
                  <m:sty m:val="p"/>
                </m:rPr>
                <m:t>a</m:t>
              </m:r>
              <m:r>
                <m:rPr>
                  <m:sty m:val="p"/>
                </m:rPr>
                <m:t>m</m:t>
              </m:r>
              <m:r>
                <m:rPr>
                  <m:sty m:val="p"/>
                </m:rPr>
                <m:t>e</m:t>
              </m:r>
              <m:r>
                <m:rPr>
                  <m:sty m:val="p"/>
                </m:rPr>
                <m:t>T</m:t>
              </m:r>
              <m:r>
                <m:rPr>
                  <m:sty m:val="p"/>
                </m:rPr>
                <m:t>i</m:t>
              </m:r>
              <m:r>
                <m:rPr>
                  <m:sty m:val="p"/>
                </m:rPr>
                <m:t>e</m:t>
              </m:r>
              <m:r>
                <m:rPr>
                  <m:sty m:val="p"/>
                </m:rPr>
                <m:t>r</m:t>
              </m:r>
            </m:sub>
          </m:sSub>
          <m:r>
            <m:rPr>
              <m:sty m:val="p"/>
            </m:rPr>
            <m:t>=</m:t>
          </m:r>
          <m:r>
            <m:t>0.315</m:t>
          </m:r>
          <m:r>
            <m:rPr>
              <m:sty m:val="p"/>
            </m:rPr>
            <m:t>,</m:t>
          </m:r>
          <m:r>
            <m:t> </m:t>
          </m:r>
          <m:r>
            <m:t>95</m:t>
          </m:r>
          <m:r>
            <m:rPr>
              <m:sty m:val="p"/>
            </m:rPr>
            <m:t>%</m:t>
          </m:r>
          <m:r>
            <m:t> </m:t>
          </m:r>
          <m:r>
            <m:rPr>
              <m:sty m:val="p"/>
            </m:rPr>
            <m:t>C</m:t>
          </m:r>
          <m:r>
            <m:rPr>
              <m:sty m:val="p"/>
            </m:rPr>
            <m:t>I</m:t>
          </m:r>
          <m:r>
            <m:t> </m:t>
          </m:r>
          <m:r>
            <m:rPr>
              <m:sty m:val="p"/>
            </m:rPr>
            <m:t>[</m:t>
          </m:r>
          <m:r>
            <m:t>0.288</m:t>
          </m:r>
          <m:r>
            <m:rPr>
              <m:sty m:val="p"/>
            </m:rPr>
            <m:t>,</m:t>
          </m:r>
          <m:r>
            <m:t> </m:t>
          </m:r>
          <m:r>
            <m:t>0.341</m:t>
          </m:r>
          <m:r>
            <m:rPr>
              <m:sty m:val="p"/>
            </m:rPr>
            <m:t>]</m:t>
          </m:r>
          <m:r>
            <m:rPr>
              <m:sty m:val="p"/>
            </m:rPr>
            <m:t>,</m:t>
          </m:r>
        </m:oMath>
      </m:oMathPara>
    </w:p>
    <w:p>
      <w:pPr>
        <w:pStyle w:val="FirstParagraph"/>
      </w:pPr>
      <w:r>
        <w:t xml:space="preserve">which excludes zero. This capability-matched estimate is approximately 94% of</w:t>
      </w:r>
      <w:r>
        <w:t xml:space="preserve"> </w:t>
      </w:r>
      <w:r>
        <w:t xml:space="preserve">the primary HOM-to-HET contrast. The result indicates that the observed</w:t>
      </w:r>
      <w:r>
        <w:t xml:space="preserve"> </w:t>
      </w:r>
      <w:r>
        <w:t xml:space="preserve">de-correlation is largely preserved when model tier is held approximately</w:t>
      </w:r>
      <w:r>
        <w:t xml:space="preserve"> </w:t>
      </w:r>
      <w:r>
        <w:t xml:space="preserve">constant, supporting provider identity as a major contributor to the primary</w:t>
      </w:r>
      <w:r>
        <w:t xml:space="preserve"> </w:t>
      </w:r>
      <w:r>
        <w:t xml:space="preserve">effect. The control substantially reduces the capability-tier concern but does</w:t>
      </w:r>
      <w:r>
        <w:t xml:space="preserve"> </w:t>
      </w:r>
      <w:r>
        <w:t xml:space="preserve">not eliminate it completely, because matching is approximate and covers only two</w:t>
      </w:r>
      <w:r>
        <w:t xml:space="preserve"> </w:t>
      </w:r>
      <w:r>
        <w:t xml:space="preserve">providers. (The reproduction of</w:t>
      </w:r>
      <w:r>
        <w:t xml:space="preserve"> </w:t>
      </w:r>
      <m:oMath>
        <m:sSub>
          <m:e>
            <m:r>
              <m:t>κ</m:t>
            </m:r>
          </m:e>
          <m:sub>
            <m:r>
              <m:rPr>
                <m:sty m:val="p"/>
              </m:rPr>
              <m:t>H</m:t>
            </m:r>
            <m:r>
              <m:rPr>
                <m:sty m:val="p"/>
              </m:rPr>
              <m:t>O</m:t>
            </m:r>
            <m:r>
              <m:rPr>
                <m:sty m:val="p"/>
              </m:rPr>
              <m:t>M</m:t>
            </m:r>
          </m:sub>
        </m:sSub>
        <m:r>
          <m:rPr>
            <m:sty m:val="p"/>
          </m:rPr>
          <m:t>=</m:t>
        </m:r>
        <m:r>
          <m:t>0.552</m:t>
        </m:r>
      </m:oMath>
      <w:r>
        <w:t xml:space="preserve"> </w:t>
      </w:r>
      <w:r>
        <w:t xml:space="preserve">to four decimals</w:t>
      </w:r>
      <w:r>
        <w:t xml:space="preserve"> </w:t>
      </w:r>
      <w:r>
        <w:t xml:space="preserve">across two independently collected datasets also re-confirms determinism of the</w:t>
      </w:r>
      <w:r>
        <w:t xml:space="preserve"> </w:t>
      </w:r>
      <w:r>
        <w:t xml:space="preserve">homogeneous baseline.)</w:t>
      </w:r>
    </w:p>
    <w:bookmarkEnd w:id="67"/>
    <w:bookmarkStart w:id="69" w:name="robustness-temperature-sensitivity"/>
    <w:p>
      <w:pPr>
        <w:pStyle w:val="Heading2"/>
      </w:pPr>
      <w:r>
        <w:t xml:space="preserve">Robustness: temperature sensitivity</w:t>
      </w:r>
    </w:p>
    <w:p>
      <w:pPr>
        <w:pStyle w:val="FirstParagraph"/>
      </w:pPr>
      <w:r>
        <w:t xml:space="preserve">Agreement can vary with sampling temperature, raising the possibility that the</w:t>
      </w:r>
      <w:r>
        <w:t xml:space="preserve"> </w:t>
      </w:r>
      <w:r>
        <w:t xml:space="preserve">primary result is specific to the main operating point of</w:t>
      </w:r>
      <w:r>
        <w:t xml:space="preserve"> </w:t>
      </w:r>
      <m:oMath>
        <m:r>
          <m:t>T</m:t>
        </m:r>
        <m:r>
          <m:rPr>
            <m:sty m:val="p"/>
          </m:rPr>
          <m:t>=</m:t>
        </m:r>
        <m:r>
          <m:t>0.7</m:t>
        </m:r>
      </m:oMath>
      <w:r>
        <w:t xml:space="preserve">. We therefore</w:t>
      </w:r>
      <w:r>
        <w:t xml:space="preserve"> </w:t>
      </w:r>
      <w:r>
        <w:t xml:space="preserve">evaluated a separate stratified subgrid comprising eight equities, two analysis</w:t>
      </w:r>
      <w:r>
        <w:t xml:space="preserve"> </w:t>
      </w:r>
      <w:r>
        <w:t xml:space="preserve">dates, three ensemble configurations, and three independent runs at</w:t>
      </w:r>
      <w:r>
        <w:t xml:space="preserve"> </w:t>
      </w:r>
      <m:oMath>
        <m:r>
          <m:t>T</m:t>
        </m:r>
        <m:r>
          <m:rPr>
            <m:sty m:val="p"/>
          </m:rPr>
          <m:t>∈</m:t>
        </m:r>
        <m:r>
          <m:rPr>
            <m:sty m:val="p"/>
          </m:rPr>
          <m:t>{</m:t>
        </m:r>
        <m:r>
          <m:t>0.0</m:t>
        </m:r>
        <m:r>
          <m:rPr>
            <m:sty m:val="p"/>
          </m:rPr>
          <m:t>,</m:t>
        </m:r>
        <m:r>
          <m:t>0.7</m:t>
        </m:r>
        <m:r>
          <m:rPr>
            <m:sty m:val="p"/>
          </m:rPr>
          <m:t>,</m:t>
        </m:r>
        <m:r>
          <m:t>1.0</m:t>
        </m:r>
        <m:r>
          <m:rPr>
            <m:sty m:val="p"/>
          </m:rPr>
          <m:t>}</m:t>
        </m:r>
      </m:oMath>
      <w:r>
        <w:t xml:space="preserve">. These observations were stored separately from the frozen</w:t>
      </w:r>
      <w:r>
        <w:t xml:space="preserve"> </w:t>
      </w:r>
      <w:r>
        <w:t xml:space="preserve">confirmatory dataset and analyzed using the same seeded estimator. The ordering</w:t>
      </w:r>
      <w:r>
        <w:t xml:space="preserve"> </w:t>
      </w:r>
      <m:oMath>
        <m:sSub>
          <m:e>
            <m:r>
              <m:t>κ</m:t>
            </m:r>
          </m:e>
          <m:sub>
            <m:r>
              <m:rPr>
                <m:sty m:val="p"/>
              </m:rPr>
              <m:t>H</m:t>
            </m:r>
            <m:r>
              <m:rPr>
                <m:sty m:val="p"/>
              </m:rPr>
              <m:t>O</m:t>
            </m:r>
            <m:r>
              <m:rPr>
                <m:sty m:val="p"/>
              </m:rPr>
              <m:t>M</m:t>
            </m:r>
          </m:sub>
        </m:sSub>
        <m:r>
          <m:rPr>
            <m:sty m:val="p"/>
          </m:rPr>
          <m:t>&gt;</m:t>
        </m:r>
        <m:sSub>
          <m:e>
            <m:r>
              <m:t>κ</m:t>
            </m:r>
          </m:e>
          <m:sub>
            <m:r>
              <m:rPr>
                <m:sty m:val="p"/>
              </m:rPr>
              <m:t>H</m:t>
            </m:r>
            <m:r>
              <m:rPr>
                <m:sty m:val="p"/>
              </m:rPr>
              <m:t>E</m:t>
            </m:r>
            <m:r>
              <m:rPr>
                <m:sty m:val="p"/>
              </m:rPr>
              <m:t>T</m:t>
            </m:r>
            <m:r>
              <m:rPr>
                <m:nor/>
                <m:sty m:val="p"/>
              </m:rPr>
              <m:t>-</m:t>
            </m:r>
            <m:r>
              <m:rPr>
                <m:sty m:val="p"/>
              </m:rPr>
              <m:t>L</m:t>
            </m:r>
            <m:r>
              <m:rPr>
                <m:sty m:val="p"/>
              </m:rPr>
              <m:t>I</m:t>
            </m:r>
            <m:r>
              <m:rPr>
                <m:sty m:val="p"/>
              </m:rPr>
              <m:t>T</m:t>
            </m:r>
            <m:r>
              <m:rPr>
                <m:sty m:val="p"/>
              </m:rPr>
              <m:t>E</m:t>
            </m:r>
          </m:sub>
        </m:sSub>
        <m:r>
          <m:rPr>
            <m:sty m:val="p"/>
          </m:rPr>
          <m:t>&gt;</m:t>
        </m:r>
        <m:sSub>
          <m:e>
            <m:r>
              <m:t>κ</m:t>
            </m:r>
          </m:e>
          <m:sub>
            <m:r>
              <m:rPr>
                <m:sty m:val="p"/>
              </m:rPr>
              <m:t>H</m:t>
            </m:r>
            <m:r>
              <m:rPr>
                <m:sty m:val="p"/>
              </m:rPr>
              <m:t>E</m:t>
            </m:r>
            <m:r>
              <m:rPr>
                <m:sty m:val="p"/>
              </m:rPr>
              <m:t>T</m:t>
            </m:r>
          </m:sub>
        </m:sSub>
      </m:oMath>
      <w:r>
        <w:t xml:space="preserve"> </w:t>
      </w:r>
      <w:r>
        <w:t xml:space="preserve">is preserved at every tested temperature. The corresponding HOM-to-HET contrasts</w:t>
      </w:r>
      <w:r>
        <w:t xml:space="preserve"> </w:t>
      </w:r>
      <w:r>
        <w:t xml:space="preserve">are 0.299, 0.509, and 0.385 at</w:t>
      </w:r>
      <w:r>
        <w:t xml:space="preserve"> </w:t>
      </w:r>
      <m:oMath>
        <m:r>
          <m:t>T</m:t>
        </m:r>
        <m:r>
          <m:rPr>
            <m:sty m:val="p"/>
          </m:rPr>
          <m:t>=</m:t>
        </m:r>
        <m:r>
          <m:t>0.0</m:t>
        </m:r>
      </m:oMath>
      <w:r>
        <w:t xml:space="preserve">,</w:t>
      </w:r>
      <w:r>
        <w:t xml:space="preserve"> </w:t>
      </w:r>
      <m:oMath>
        <m:r>
          <m:t>0.7</m:t>
        </m:r>
      </m:oMath>
      <w:r>
        <w:t xml:space="preserve">, and</w:t>
      </w:r>
      <w:r>
        <w:t xml:space="preserve"> </w:t>
      </w:r>
      <m:oMath>
        <m:r>
          <m:t>1.0</m:t>
        </m:r>
      </m:oMath>
      <w:r>
        <w:t xml:space="preserve">, respectively, with</w:t>
      </w:r>
      <w:r>
        <w:t xml:space="preserve"> </w:t>
      </w:r>
      <w:r>
        <w:t xml:space="preserve">95% confidence intervals excluding zero in each case (Table </w:t>
      </w:r>
      <w:hyperlink w:anchor="tab:temp">
        <w:r>
          <w:rPr>
            <w:rStyle w:val="Hyperlink"/>
          </w:rPr>
          <w:t xml:space="preserve">9</w:t>
        </w:r>
      </w:hyperlink>
      <w:r>
        <w:t xml:space="preserve">).</w:t>
      </w:r>
      <w:r>
        <w:t xml:space="preserve"> </w:t>
      </w:r>
      <w:r>
        <w:t xml:space="preserve">Absolute agreement levels, however, vary non-monotonically with temperature; for</w:t>
      </w:r>
      <w:r>
        <w:t xml:space="preserve"> </w:t>
      </w:r>
      <w:r>
        <w:t xml:space="preserve">example,</w:t>
      </w:r>
      <w:r>
        <w:t xml:space="preserve"> </w:t>
      </w:r>
      <m:oMath>
        <m:sSub>
          <m:e>
            <m:r>
              <m:t>κ</m:t>
            </m:r>
          </m:e>
          <m:sub>
            <m:r>
              <m:rPr>
                <m:sty m:val="p"/>
              </m:rPr>
              <m:t>H</m:t>
            </m:r>
            <m:r>
              <m:rPr>
                <m:sty m:val="p"/>
              </m:rPr>
              <m:t>O</m:t>
            </m:r>
            <m:r>
              <m:rPr>
                <m:sty m:val="p"/>
              </m:rPr>
              <m:t>M</m:t>
            </m:r>
          </m:sub>
        </m:sSub>
      </m:oMath>
      <w:r>
        <w:t xml:space="preserve"> </w:t>
      </w:r>
      <w:r>
        <w:t xml:space="preserve">ranges from approximately 0.33 to 0.67. This</w:t>
      </w:r>
      <w:r>
        <w:t xml:space="preserve"> </w:t>
      </w:r>
      <w:r>
        <w:t xml:space="preserve">variation reflects changes in both within-cell concordance and the marginal</w:t>
      </w:r>
      <w:r>
        <w:t xml:space="preserve"> </w:t>
      </w:r>
      <w:r>
        <w:t xml:space="preserve">distribution of BUY, HOLD, and SELL responses. At</w:t>
      </w:r>
      <w:r>
        <w:t xml:space="preserve"> </w:t>
      </w:r>
      <m:oMath>
        <m:r>
          <m:t>T</m:t>
        </m:r>
        <m:r>
          <m:rPr>
            <m:sty m:val="p"/>
          </m:rPr>
          <m:t>=</m:t>
        </m:r>
        <m:r>
          <m:t>0</m:t>
        </m:r>
      </m:oMath>
      <w:r>
        <w:t xml:space="preserve">, the homogeneous</w:t>
      </w:r>
      <w:r>
        <w:t xml:space="preserve"> </w:t>
      </w:r>
      <w:r>
        <w:t xml:space="preserve">configuration produces a more nearly uniform label distribution, whereas at</w:t>
      </w:r>
      <w:r>
        <w:t xml:space="preserve"> </w:t>
      </w:r>
      <m:oMath>
        <m:r>
          <m:t>T</m:t>
        </m:r>
        <m:r>
          <m:rPr>
            <m:sty m:val="p"/>
          </m:rPr>
          <m:t>=</m:t>
        </m:r>
        <m:r>
          <m:t>0.7</m:t>
        </m:r>
      </m:oMath>
      <w:r>
        <w:t xml:space="preserve"> </w:t>
      </w:r>
      <w:r>
        <w:t xml:space="preserve">and</w:t>
      </w:r>
      <w:r>
        <w:t xml:space="preserve"> </w:t>
      </w:r>
      <m:oMath>
        <m:r>
          <m:t>T</m:t>
        </m:r>
        <m:r>
          <m:rPr>
            <m:sty m:val="p"/>
          </m:rPr>
          <m:t>=</m:t>
        </m:r>
        <m:r>
          <m:t>1.0</m:t>
        </m:r>
      </m:oMath>
      <w:r>
        <w:t xml:space="preserve">, responses are more concentrated in HOLD. The results</w:t>
      </w:r>
      <w:r>
        <w:t xml:space="preserve"> </w:t>
      </w:r>
      <w:r>
        <w:t xml:space="preserve">therefore indicate that the relative reduction in agreement associated with</w:t>
      </w:r>
      <w:r>
        <w:t xml:space="preserve"> </w:t>
      </w:r>
      <w:r>
        <w:t xml:space="preserve">provider heterogeneity is robust within the tested subgrid, while absolute</w:t>
      </w:r>
      <w:r>
        <w:t xml:space="preserve"> </w:t>
      </w:r>
      <w:r>
        <w:t xml:space="preserve">agreement remains temperature-dependent. We note that the subgrid’s contrast at</w:t>
      </w:r>
      <w:r>
        <w:t xml:space="preserve"> </w:t>
      </w:r>
      <w:r>
        <w:t xml:space="preserve">the main operating point (</w:t>
      </w:r>
      <m:oMath>
        <m:r>
          <m:t>0.509</m:t>
        </m:r>
      </m:oMath>
      <w:r>
        <w:t xml:space="preserve"> </w:t>
      </w:r>
      <w:r>
        <w:t xml:space="preserve">at</w:t>
      </w:r>
      <w:r>
        <w:t xml:space="preserve"> </w:t>
      </w:r>
      <m:oMath>
        <m:r>
          <m:t>T</m:t>
        </m:r>
        <m:r>
          <m:rPr>
            <m:sty m:val="p"/>
          </m:rPr>
          <m:t>=</m:t>
        </m:r>
        <m:r>
          <m:t>0.7</m:t>
        </m:r>
      </m:oMath>
      <w:r>
        <w:t xml:space="preserve">) differs from the full-grid</w:t>
      </w:r>
      <w:r>
        <w:t xml:space="preserve"> </w:t>
      </w:r>
      <w:r>
        <w:t xml:space="preserve">estimate (</w:t>
      </w:r>
      <m:oMath>
        <m:r>
          <m:t>0.336</m:t>
        </m:r>
      </m:oMath>
      <w:r>
        <w:t xml:space="preserve">) at the same temperature; this discrepancy is attributable to</w:t>
      </w:r>
      <w:r>
        <w:t xml:space="preserve"> </w:t>
      </w:r>
      <w:r>
        <w:t xml:space="preserve">the sampling variance of the small</w:t>
      </w:r>
      <w:r>
        <w:t xml:space="preserve"> </w:t>
      </w:r>
      <m:oMath>
        <m:r>
          <m:t>8</m:t>
        </m:r>
        <m:r>
          <m:rPr>
            <m:sty m:val="p"/>
          </m:rPr>
          <m:t>×</m:t>
        </m:r>
        <m:r>
          <m:t>2</m:t>
        </m:r>
      </m:oMath>
      <w:r>
        <w:t xml:space="preserve"> </w:t>
      </w:r>
      <w:r>
        <w:t xml:space="preserve">subgrid, whose wide confidence</w:t>
      </w:r>
      <w:r>
        <w:t xml:space="preserve"> </w:t>
      </w:r>
      <w:r>
        <w:t xml:space="preserve">interval (</w:t>
      </w:r>
      <m:oMath>
        <m:r>
          <m:rPr>
            <m:sty m:val="p"/>
          </m:rPr>
          <m:t>[</m:t>
        </m:r>
        <m:r>
          <m:t>0.21</m:t>
        </m:r>
        <m:r>
          <m:rPr>
            <m:sty m:val="p"/>
          </m:rPr>
          <m:t>,</m:t>
        </m:r>
        <m:r>
          <m:t> </m:t>
        </m:r>
        <m:r>
          <m:t>0.78</m:t>
        </m:r>
        <m:r>
          <m:rPr>
            <m:sty m:val="p"/>
          </m:rPr>
          <m:t>]</m:t>
        </m:r>
      </m:oMath>
      <w:r>
        <w:t xml:space="preserve">) comfortably contains the full-grid estimate. The</w:t>
      </w:r>
      <w:r>
        <w:t xml:space="preserve"> </w:t>
      </w:r>
      <w:r>
        <w:t xml:space="preserve">subgrid is accordingly informative about the sign and ordering of the effect,</w:t>
      </w:r>
      <w:r>
        <w:t xml:space="preserve"> </w:t>
      </w:r>
      <w:r>
        <w:t xml:space="preserve">not its magnitude. Because this analysis uses a substantially smaller grid than</w:t>
      </w:r>
      <w:r>
        <w:t xml:space="preserve"> </w:t>
      </w:r>
      <w:r>
        <w:t xml:space="preserve">the primary experiment, it is interpreted as supporting evidence rather than an</w:t>
      </w:r>
      <w:r>
        <w:t xml:space="preserve"> </w:t>
      </w:r>
      <w:r>
        <w:t xml:space="preserve">independent replication. The temperature</w:t>
      </w:r>
      <w:r>
        <w:t xml:space="preserve"> </w:t>
      </w:r>
      <w:r>
        <w:t xml:space="preserve">analysis was conducted under a documented protocol amendment and does not alter</w:t>
      </w:r>
      <w:r>
        <w:t xml:space="preserve"> </w:t>
      </w:r>
      <w:r>
        <w:t xml:space="preserve">the frozen confirmatory dataset.</w:t>
      </w:r>
    </w:p>
    <w:bookmarkStart w:id="68" w:name="tab:temp"/>
    <w:p>
      <w:pPr>
        <w:pStyle w:val="TableCaption"/>
      </w:pPr>
      <w:r>
        <w:t xml:space="preserve">Temperature-sensitivity robustness (</w:t>
      </w:r>
      <m:oMath>
        <m:r>
          <m:t>8</m:t>
        </m:r>
        <m:r>
          <m:rPr>
            <m:sty m:val="p"/>
          </m:rPr>
          <m:t>×</m:t>
        </m:r>
        <m:r>
          <m:t>2</m:t>
        </m:r>
      </m:oMath>
      <w:r>
        <w:t xml:space="preserve"> </w:t>
      </w:r>
      <w:r>
        <w:t xml:space="preserve">subgrid, 3 runs per</w:t>
      </w:r>
      <w:r>
        <w:t xml:space="preserve"> </w:t>
      </w:r>
      <w:r>
        <w:t xml:space="preserve">cell). The ordering (</w:t>
      </w:r>
      <m:oMath>
        <m:sSub>
          <m:e>
            <m:r>
              <m:t>κ</m:t>
            </m:r>
          </m:e>
          <m:sub>
            <m:r>
              <m:rPr>
                <m:sty m:val="p"/>
              </m:rPr>
              <m:t>H</m:t>
            </m:r>
            <m:r>
              <m:rPr>
                <m:sty m:val="p"/>
              </m:rPr>
              <m:t>O</m:t>
            </m:r>
            <m:r>
              <m:rPr>
                <m:sty m:val="p"/>
              </m:rPr>
              <m:t>M</m:t>
            </m:r>
          </m:sub>
        </m:sSub>
        <m:r>
          <m:rPr>
            <m:sty m:val="p"/>
          </m:rPr>
          <m:t>&gt;</m:t>
        </m:r>
        <m:sSub>
          <m:e>
            <m:r>
              <m:t>κ</m:t>
            </m:r>
          </m:e>
          <m:sub>
            <m:r>
              <m:rPr>
                <m:sty m:val="p"/>
              </m:rPr>
              <m:t>H</m:t>
            </m:r>
            <m:r>
              <m:rPr>
                <m:sty m:val="p"/>
              </m:rPr>
              <m:t>E</m:t>
            </m:r>
            <m:r>
              <m:rPr>
                <m:sty m:val="p"/>
              </m:rPr>
              <m:t>T</m:t>
            </m:r>
            <m:r>
              <m:rPr>
                <m:nor/>
                <m:sty m:val="p"/>
              </m:rPr>
              <m:t>-</m:t>
            </m:r>
            <m:r>
              <m:rPr>
                <m:sty m:val="p"/>
              </m:rPr>
              <m:t>L</m:t>
            </m:r>
            <m:r>
              <m:rPr>
                <m:sty m:val="p"/>
              </m:rPr>
              <m:t>I</m:t>
            </m:r>
            <m:r>
              <m:rPr>
                <m:sty m:val="p"/>
              </m:rPr>
              <m:t>T</m:t>
            </m:r>
            <m:r>
              <m:rPr>
                <m:sty m:val="p"/>
              </m:rPr>
              <m:t>E</m:t>
            </m:r>
          </m:sub>
        </m:sSub>
        <m:r>
          <m:rPr>
            <m:sty m:val="p"/>
          </m:rPr>
          <m:t>&gt;</m:t>
        </m:r>
        <m:sSub>
          <m:e>
            <m:r>
              <m:t>κ</m:t>
            </m:r>
          </m:e>
          <m:sub>
            <m:r>
              <m:rPr>
                <m:sty m:val="p"/>
              </m:rPr>
              <m:t>H</m:t>
            </m:r>
            <m:r>
              <m:rPr>
                <m:sty m:val="p"/>
              </m:rPr>
              <m:t>E</m:t>
            </m:r>
            <m:r>
              <m:rPr>
                <m:sty m:val="p"/>
              </m:rPr>
              <m:t>T</m:t>
            </m:r>
          </m:sub>
        </m:sSub>
      </m:oMath>
      <w:r>
        <w:t xml:space="preserve">)</w:t>
      </w:r>
      <w:r>
        <w:t xml:space="preserve"> </w:t>
      </w:r>
      <w:r>
        <w:t xml:space="preserve">and the primary contrast</w:t>
      </w:r>
      <w:r>
        <w:t xml:space="preserve"> </w:t>
      </w:r>
      <m:oMath>
        <m:r>
          <m:rPr>
            <m:sty m:val="p"/>
          </m:rPr>
          <m:t>Δ</m:t>
        </m:r>
        <m:sSub>
          <m:e>
            <m:r>
              <m:t>κ</m:t>
            </m:r>
          </m:e>
          <m:sub>
            <m:r>
              <m:rPr>
                <m:sty m:val="p"/>
              </m:rPr>
              <m:t>H</m:t>
            </m:r>
            <m:r>
              <m:rPr>
                <m:sty m:val="p"/>
              </m:rPr>
              <m:t>O</m:t>
            </m:r>
            <m:r>
              <m:rPr>
                <m:sty m:val="p"/>
              </m:rPr>
              <m:t>M</m:t>
            </m:r>
            <m:r>
              <m:rPr>
                <m:sty m:val="p"/>
              </m:rPr>
              <m:t>−</m:t>
            </m:r>
            <m:r>
              <m:rPr>
                <m:sty m:val="p"/>
              </m:rPr>
              <m:t>H</m:t>
            </m:r>
            <m:r>
              <m:rPr>
                <m:sty m:val="p"/>
              </m:rPr>
              <m:t>E</m:t>
            </m:r>
            <m:r>
              <m:rPr>
                <m:sty m:val="p"/>
              </m:rPr>
              <m:t>T</m:t>
            </m:r>
          </m:sub>
        </m:sSub>
      </m:oMath>
      <w:r>
        <w:t xml:space="preserve"> </w:t>
      </w:r>
      <w:r>
        <w:t xml:space="preserve">(positive, CI excludes</w:t>
      </w:r>
      <w:r>
        <w:t xml:space="preserve"> </w:t>
      </w:r>
      <w:r>
        <w:t xml:space="preserve">0) hold at every temperature; absolute</w:t>
      </w:r>
      <w:r>
        <w:t xml:space="preserve"> </w:t>
      </w:r>
      <m:oMath>
        <m:r>
          <m:t>κ</m:t>
        </m:r>
      </m:oMath>
      <w:r>
        <w:t xml:space="preserve"> </w:t>
      </w:r>
      <w:r>
        <w:t xml:space="preserve">levels vary non-monotonically, so</w:t>
      </w:r>
      <w:r>
        <w:t xml:space="preserve"> </w:t>
      </w:r>
      <w:r>
        <w:t xml:space="preserve">it is the contrast, not the absolute agreement, that is temperature-stable.</w:t>
      </w:r>
    </w:p>
    <w:tbl>
      <w:tblPr>
        <w:tblStyle w:val="Table"/>
        <w:tblW w:type="auto" w:w="0"/>
        <w:tblLook w:firstRow="1" w:lastRow="0" w:firstColumn="0" w:lastColumn="0" w:noHBand="0" w:noVBand="0" w:val="0020"/>
        <w:tblCaption w:val="Temperature-sensitivity robustness (8\times 2 subgrid, 3 runs per cell). The ordering (\kappa_{\mathrm{HOM}}&gt;\kappa_{\mathrm{HET\text{-}LITE}}&gt;\kappa_{\mathrm{HET}}) and the primary contrast \Delta\kappa_{\mathrm{HOM-HET}} (positive, CI excludes 0) hold at every temperature; absolute \kappa levels vary non-monotonically, so it is the contrast, not the absolute agreement, that is temperature-stable."/>
      </w:tblPr>
      <w:tblGrid>
        <w:gridCol w:w="1584"/>
        <w:gridCol w:w="1584"/>
        <w:gridCol w:w="1584"/>
        <w:gridCol w:w="1584"/>
        <w:gridCol w:w="1584"/>
      </w:tblGrid>
      <w:tr>
        <w:trPr>
          <w:tblHeader w:val="on"/>
        </w:trPr>
        <w:tc>
          <w:tcPr/>
          <w:p>
            <w:pPr>
              <w:pStyle w:val="Compact"/>
              <w:jc w:val="left"/>
            </w:pPr>
            <m:oMath>
              <m:r>
                <m:t>T</m:t>
              </m:r>
            </m:oMath>
            <w:r>
              <w:t xml:space="preserve">​</w:t>
            </w:r>
          </w:p>
        </w:tc>
        <w:tc>
          <w:tcPr/>
          <w:p>
            <w:pPr>
              <w:pStyle w:val="Compact"/>
              <w:jc w:val="center"/>
            </w:pPr>
            <m:oMath>
              <m:sSub>
                <m:e>
                  <m:r>
                    <m:t>κ</m:t>
                  </m:r>
                </m:e>
                <m:sub>
                  <m:r>
                    <m:rPr>
                      <m:sty m:val="p"/>
                    </m:rPr>
                    <m:t>H</m:t>
                  </m:r>
                  <m:r>
                    <m:rPr>
                      <m:sty m:val="p"/>
                    </m:rPr>
                    <m:t>O</m:t>
                  </m:r>
                  <m:r>
                    <m:rPr>
                      <m:sty m:val="p"/>
                    </m:rPr>
                    <m:t>M</m:t>
                  </m:r>
                </m:sub>
              </m:sSub>
            </m:oMath>
            <w:r>
              <w:t xml:space="preserve">​</w:t>
            </w:r>
          </w:p>
        </w:tc>
        <w:tc>
          <w:tcPr/>
          <w:p>
            <w:pPr>
              <w:pStyle w:val="Compact"/>
              <w:jc w:val="center"/>
            </w:pPr>
            <m:oMath>
              <m:sSub>
                <m:e>
                  <m:r>
                    <m:t>κ</m:t>
                  </m:r>
                </m:e>
                <m:sub>
                  <m:r>
                    <m:rPr>
                      <m:sty m:val="p"/>
                    </m:rPr>
                    <m:t>H</m:t>
                  </m:r>
                  <m:r>
                    <m:rPr>
                      <m:sty m:val="p"/>
                    </m:rPr>
                    <m:t>E</m:t>
                  </m:r>
                  <m:r>
                    <m:rPr>
                      <m:sty m:val="p"/>
                    </m:rPr>
                    <m:t>T</m:t>
                  </m:r>
                  <m:r>
                    <m:rPr>
                      <m:nor/>
                      <m:sty m:val="p"/>
                    </m:rPr>
                    <m:t>-</m:t>
                  </m:r>
                  <m:r>
                    <m:rPr>
                      <m:sty m:val="p"/>
                    </m:rPr>
                    <m:t>L</m:t>
                  </m:r>
                  <m:r>
                    <m:rPr>
                      <m:sty m:val="p"/>
                    </m:rPr>
                    <m:t>I</m:t>
                  </m:r>
                  <m:r>
                    <m:rPr>
                      <m:sty m:val="p"/>
                    </m:rPr>
                    <m:t>T</m:t>
                  </m:r>
                  <m:r>
                    <m:rPr>
                      <m:sty m:val="p"/>
                    </m:rPr>
                    <m:t>E</m:t>
                  </m:r>
                </m:sub>
              </m:sSub>
            </m:oMath>
            <w:r>
              <w:t xml:space="preserve">​</w:t>
            </w:r>
          </w:p>
        </w:tc>
        <w:tc>
          <w:tcPr/>
          <w:p>
            <w:pPr>
              <w:pStyle w:val="Compact"/>
              <w:jc w:val="center"/>
            </w:pPr>
            <m:oMath>
              <m:sSub>
                <m:e>
                  <m:r>
                    <m:t>κ</m:t>
                  </m:r>
                </m:e>
                <m:sub>
                  <m:r>
                    <m:rPr>
                      <m:sty m:val="p"/>
                    </m:rPr>
                    <m:t>H</m:t>
                  </m:r>
                  <m:r>
                    <m:rPr>
                      <m:sty m:val="p"/>
                    </m:rPr>
                    <m:t>E</m:t>
                  </m:r>
                  <m:r>
                    <m:rPr>
                      <m:sty m:val="p"/>
                    </m:rPr>
                    <m:t>T</m:t>
                  </m:r>
                </m:sub>
              </m:sSub>
            </m:oMath>
            <w:r>
              <w:t xml:space="preserve">​</w:t>
            </w:r>
          </w:p>
        </w:tc>
        <w:tc>
          <w:tcPr/>
          <w:p>
            <w:pPr>
              <w:pStyle w:val="Compact"/>
              <w:jc w:val="center"/>
            </w:pPr>
            <m:oMath>
              <m:r>
                <m:rPr>
                  <m:sty m:val="p"/>
                </m:rPr>
                <m:t>Δ</m:t>
              </m:r>
              <m:r>
                <m:t>κ</m:t>
              </m:r>
            </m:oMath>
            <w:r>
              <w:t xml:space="preserve"> </w:t>
            </w:r>
            <w:r>
              <w:t xml:space="preserve">[95% CI]</w:t>
            </w:r>
          </w:p>
        </w:tc>
      </w:tr>
      <w:tr>
        <w:tc>
          <w:tcPr/>
          <w:p>
            <w:pPr>
              <w:pStyle w:val="Compact"/>
              <w:jc w:val="left"/>
            </w:pPr>
            <w:r>
              <w:t xml:space="preserve">0.0</w:t>
            </w:r>
          </w:p>
        </w:tc>
        <w:tc>
          <w:tcPr/>
          <w:p>
            <w:pPr>
              <w:pStyle w:val="Compact"/>
              <w:jc w:val="center"/>
            </w:pPr>
            <w:r>
              <w:t xml:space="preserve">0.33</w:t>
            </w:r>
          </w:p>
        </w:tc>
        <w:tc>
          <w:tcPr/>
          <w:p>
            <w:pPr>
              <w:pStyle w:val="Compact"/>
              <w:jc w:val="center"/>
            </w:pPr>
            <w:r>
              <w:t xml:space="preserve">0.17</w:t>
            </w:r>
          </w:p>
        </w:tc>
        <w:tc>
          <w:tcPr/>
          <w:p>
            <w:pPr>
              <w:pStyle w:val="Compact"/>
              <w:jc w:val="center"/>
            </w:pPr>
            <w:r>
              <w:t xml:space="preserve">0.03</w:t>
            </w:r>
          </w:p>
        </w:tc>
        <w:tc>
          <w:tcPr/>
          <w:p>
            <w:pPr>
              <w:pStyle w:val="Compact"/>
              <w:jc w:val="center"/>
            </w:pPr>
            <w:r>
              <w:t xml:space="preserve">0.30</w:t>
            </w:r>
            <w:r>
              <w:t xml:space="preserve"> </w:t>
            </w:r>
            <m:oMath>
              <m:r>
                <m:rPr>
                  <m:sty m:val="p"/>
                </m:rPr>
                <m:t>[</m:t>
              </m:r>
              <m:r>
                <m:t>0.16</m:t>
              </m:r>
              <m:r>
                <m:rPr>
                  <m:sty m:val="p"/>
                </m:rPr>
                <m:t>,</m:t>
              </m:r>
              <m:r>
                <m:t> </m:t>
              </m:r>
              <m:r>
                <m:t>0.44</m:t>
              </m:r>
              <m:r>
                <m:rPr>
                  <m:sty m:val="p"/>
                </m:rPr>
                <m:t>]</m:t>
              </m:r>
            </m:oMath>
          </w:p>
        </w:tc>
      </w:tr>
      <w:tr>
        <w:tc>
          <w:tcPr/>
          <w:p>
            <w:pPr>
              <w:pStyle w:val="Compact"/>
              <w:jc w:val="left"/>
            </w:pPr>
            <w:r>
              <w:t xml:space="preserve">0.7</w:t>
            </w:r>
          </w:p>
        </w:tc>
        <w:tc>
          <w:tcPr/>
          <w:p>
            <w:pPr>
              <w:pStyle w:val="Compact"/>
              <w:jc w:val="center"/>
            </w:pPr>
            <w:r>
              <w:t xml:space="preserve">0.67</w:t>
            </w:r>
          </w:p>
        </w:tc>
        <w:tc>
          <w:tcPr/>
          <w:p>
            <w:pPr>
              <w:pStyle w:val="Compact"/>
              <w:jc w:val="center"/>
            </w:pPr>
            <w:r>
              <w:t xml:space="preserve">0.38</w:t>
            </w:r>
          </w:p>
        </w:tc>
        <w:tc>
          <w:tcPr/>
          <w:p>
            <w:pPr>
              <w:pStyle w:val="Compact"/>
              <w:jc w:val="center"/>
            </w:pPr>
            <w:r>
              <w:t xml:space="preserve">0.16</w:t>
            </w:r>
          </w:p>
        </w:tc>
        <w:tc>
          <w:tcPr/>
          <w:p>
            <w:pPr>
              <w:pStyle w:val="Compact"/>
              <w:jc w:val="center"/>
            </w:pPr>
            <w:r>
              <w:t xml:space="preserve">0.51</w:t>
            </w:r>
            <w:r>
              <w:t xml:space="preserve"> </w:t>
            </w:r>
            <m:oMath>
              <m:r>
                <m:rPr>
                  <m:sty m:val="p"/>
                </m:rPr>
                <m:t>[</m:t>
              </m:r>
              <m:r>
                <m:t>0.21</m:t>
              </m:r>
              <m:r>
                <m:rPr>
                  <m:sty m:val="p"/>
                </m:rPr>
                <m:t>,</m:t>
              </m:r>
              <m:r>
                <m:t> </m:t>
              </m:r>
              <m:r>
                <m:t>0.78</m:t>
              </m:r>
              <m:r>
                <m:rPr>
                  <m:sty m:val="p"/>
                </m:rPr>
                <m:t>]</m:t>
              </m:r>
            </m:oMath>
          </w:p>
        </w:tc>
      </w:tr>
      <w:tr>
        <w:tc>
          <w:tcPr/>
          <w:p>
            <w:pPr>
              <w:pStyle w:val="Compact"/>
              <w:jc w:val="left"/>
            </w:pPr>
            <w:r>
              <w:t xml:space="preserve">1.0</w:t>
            </w:r>
          </w:p>
        </w:tc>
        <w:tc>
          <w:tcPr/>
          <w:p>
            <w:pPr>
              <w:pStyle w:val="Compact"/>
              <w:jc w:val="center"/>
            </w:pPr>
            <w:r>
              <w:t xml:space="preserve">0.53</w:t>
            </w:r>
          </w:p>
        </w:tc>
        <w:tc>
          <w:tcPr/>
          <w:p>
            <w:pPr>
              <w:pStyle w:val="Compact"/>
              <w:jc w:val="center"/>
            </w:pPr>
            <w:r>
              <w:t xml:space="preserve">0.27</w:t>
            </w:r>
          </w:p>
        </w:tc>
        <w:tc>
          <w:tcPr/>
          <w:p>
            <w:pPr>
              <w:pStyle w:val="Compact"/>
              <w:jc w:val="center"/>
            </w:pPr>
            <w:r>
              <w:t xml:space="preserve">0.15</w:t>
            </w:r>
          </w:p>
        </w:tc>
        <w:tc>
          <w:tcPr/>
          <w:p>
            <w:pPr>
              <w:pStyle w:val="Compact"/>
              <w:jc w:val="center"/>
            </w:pPr>
            <w:r>
              <w:t xml:space="preserve">0.38</w:t>
            </w:r>
            <w:r>
              <w:t xml:space="preserve"> </w:t>
            </w:r>
            <m:oMath>
              <m:r>
                <m:rPr>
                  <m:sty m:val="p"/>
                </m:rPr>
                <m:t>[</m:t>
              </m:r>
              <m:r>
                <m:t>0.19</m:t>
              </m:r>
              <m:r>
                <m:rPr>
                  <m:sty m:val="p"/>
                </m:rPr>
                <m:t>,</m:t>
              </m:r>
              <m:r>
                <m:t> </m:t>
              </m:r>
              <m:r>
                <m:t>0.54</m:t>
              </m:r>
              <m:r>
                <m:rPr>
                  <m:sty m:val="p"/>
                </m:rPr>
                <m:t>]</m:t>
              </m:r>
            </m:oMath>
          </w:p>
        </w:tc>
      </w:tr>
    </w:tbl>
    <w:bookmarkEnd w:id="68"/>
    <w:bookmarkEnd w:id="69"/>
    <w:bookmarkStart w:id="70" w:name="X7bd62297a2166cd7adc4d4882931d087dd0a9ab"/>
    <w:p>
      <w:pPr>
        <w:pStyle w:val="Heading2"/>
      </w:pPr>
      <w:r>
        <w:t xml:space="preserve">Relation to state-of-the-art ensemble methods</w:t>
      </w:r>
    </w:p>
    <w:p>
      <w:pPr>
        <w:pStyle w:val="FirstParagraph"/>
      </w:pPr>
      <w:r>
        <w:t xml:space="preserve">This article does not propose an ensemble method and therefore does not report a</w:t>
      </w:r>
      <w:r>
        <w:t xml:space="preserve"> </w:t>
      </w:r>
      <w:r>
        <w:t xml:space="preserve">head-to-head benchmark against one. Methods such as mixture-of-agents, multi-agent</w:t>
      </w:r>
      <w:r>
        <w:t xml:space="preserve"> </w:t>
      </w:r>
      <w:r>
        <w:t xml:space="preserve">debate, and diversity-maximising ensemble selection are evaluated on task</w:t>
      </w:r>
      <w:r>
        <w:t xml:space="preserve"> </w:t>
      </w:r>
      <w:r>
        <w:t xml:space="preserve">performance: the comparison that matters for them is accuracy or win-rate against</w:t>
      </w:r>
      <w:r>
        <w:t xml:space="preserve"> </w:t>
      </w:r>
      <w:r>
        <w:t xml:space="preserve">a baseline on a shared benchmark </w:t>
      </w:r>
      <w:r>
        <w:t xml:space="preserve">(Wang et al. 2024; Du et al. 2023; Tekin et al. 2024)</w:t>
      </w:r>
      <w:r>
        <w:t xml:space="preserve">. The</w:t>
      </w:r>
      <w:r>
        <w:t xml:space="preserve"> </w:t>
      </w:r>
      <w:r>
        <w:t xml:space="preserve">object of study here is different. We measure how much genuine behavioral</w:t>
      </w:r>
      <w:r>
        <w:t xml:space="preserve"> </w:t>
      </w:r>
      <w:r>
        <w:t xml:space="preserve">de-correlation a given ensemble composition buys and what it costs, holding the</w:t>
      </w:r>
      <w:r>
        <w:t xml:space="preserve"> </w:t>
      </w:r>
      <w:r>
        <w:t xml:space="preserve">task, prompt, and information set fixed. Accuracy is a secondary axis, and the</w:t>
      </w:r>
      <w:r>
        <w:t xml:space="preserve"> </w:t>
      </w:r>
      <w:r>
        <w:t xml:space="preserve">study is not powered for it.</w:t>
      </w:r>
    </w:p>
    <w:p>
      <w:pPr>
        <w:pStyle w:val="BodyText"/>
      </w:pPr>
      <w:r>
        <w:t xml:space="preserve">A fair comparison is therefore one of measurement rather than of performance.</w:t>
      </w:r>
      <w:r>
        <w:t xml:space="preserve"> </w:t>
      </w:r>
      <w:r>
        <w:t xml:space="preserve">Prior work that reports ensemble diversity typically does so with a single</w:t>
      </w:r>
      <w:r>
        <w:t xml:space="preserve"> </w:t>
      </w:r>
      <w:r>
        <w:t xml:space="preserve">agreement or diversity index computed on pooled outputs, without separating</w:t>
      </w:r>
      <w:r>
        <w:t xml:space="preserve"> </w:t>
      </w:r>
      <w:r>
        <w:t xml:space="preserve">agreement from error correlation, without an independent-draw protocol, and</w:t>
      </w:r>
      <w:r>
        <w:t xml:space="preserve"> </w:t>
      </w:r>
      <w:r>
        <w:t xml:space="preserve">without interval estimates. Section </w:t>
      </w:r>
      <w:hyperlink w:anchor="subsec:errcorr">
        <w:r>
          <w:rPr>
            <w:rStyle w:val="Hyperlink"/>
          </w:rPr>
          <w:t xml:space="preserve">5.3</w:t>
        </w:r>
      </w:hyperlink>
      <w:r>
        <w:t xml:space="preserve"> </w:t>
      </w:r>
      <w:r>
        <w:t xml:space="preserve">shows that the first of</w:t>
      </w:r>
      <w:r>
        <w:t xml:space="preserve"> </w:t>
      </w:r>
      <w:r>
        <w:t xml:space="preserve">these distinctions changes the interpretation, Section </w:t>
      </w:r>
      <w:hyperlink w:anchor="subsec:estimand">
        <w:r>
          <w:rPr>
            <w:rStyle w:val="Hyperlink"/>
          </w:rPr>
          <w:t xml:space="preserve">3.3</w:t>
        </w:r>
      </w:hyperlink>
      <w:r>
        <w:t xml:space="preserve"> </w:t>
      </w:r>
      <w:r>
        <w:t xml:space="preserve">shows that the second changes the estimate by roughly fourfold in our pilot, and</w:t>
      </w:r>
      <w:r>
        <w:t xml:space="preserve"> </w:t>
      </w:r>
      <w:r>
        <w:t xml:space="preserve">the intervals reported throughout show that the third determines whether a</w:t>
      </w:r>
      <w:r>
        <w:t xml:space="preserve"> </w:t>
      </w:r>
      <w:r>
        <w:t xml:space="preserve">reported difference is resolvable at all. The contribution is that measurement</w:t>
      </w:r>
      <w:r>
        <w:t xml:space="preserve"> </w:t>
      </w:r>
      <w:r>
        <w:t xml:space="preserve">protocol and the frontier it makes it possible to state, not a competitor to the</w:t>
      </w:r>
      <w:r>
        <w:t xml:space="preserve"> </w:t>
      </w:r>
      <w:r>
        <w:t xml:space="preserve">methods above.</w:t>
      </w:r>
    </w:p>
    <w:bookmarkEnd w:id="70"/>
    <w:bookmarkEnd w:id="71"/>
    <w:bookmarkStart w:id="73" w:name="discussion"/>
    <w:p>
      <w:pPr>
        <w:pStyle w:val="Heading1"/>
      </w:pPr>
      <w:r>
        <w:t xml:space="preserve">Discussion</w:t>
      </w:r>
    </w:p>
    <w:p>
      <w:pPr>
        <w:pStyle w:val="FirstParagraph"/>
      </w:pPr>
      <w:r>
        <w:t xml:space="preserve">The results provide a quantitative characterization of the relationship between</w:t>
      </w:r>
      <w:r>
        <w:t xml:space="preserve"> </w:t>
      </w:r>
      <w:r>
        <w:t xml:space="preserve">provider heterogeneity, ensemble agreement, and inference cost. Within-ensemble</w:t>
      </w:r>
      <w:r>
        <w:t xml:space="preserve"> </w:t>
      </w:r>
      <w:r>
        <w:t xml:space="preserve">agreement decreases from</w:t>
      </w:r>
      <w:r>
        <w:t xml:space="preserve"> </w:t>
      </w:r>
      <m:oMath>
        <m:r>
          <m:t>κ</m:t>
        </m:r>
        <m:r>
          <m:rPr>
            <m:sty m:val="p"/>
          </m:rPr>
          <m:t>=</m:t>
        </m:r>
        <m:r>
          <m:t>0.552</m:t>
        </m:r>
      </m:oMath>
      <w:r>
        <w:t xml:space="preserve"> </w:t>
      </w:r>
      <w:r>
        <w:t xml:space="preserve">for the homogeneous configuration to</w:t>
      </w:r>
      <w:r>
        <w:t xml:space="preserve"> </w:t>
      </w:r>
      <m:oMath>
        <m:r>
          <m:t>κ</m:t>
        </m:r>
        <m:r>
          <m:rPr>
            <m:sty m:val="p"/>
          </m:rPr>
          <m:t>=</m:t>
        </m:r>
        <m:r>
          <m:t>0.215</m:t>
        </m:r>
      </m:oMath>
      <w:r>
        <w:t xml:space="preserve"> </w:t>
      </w:r>
      <w:r>
        <w:t xml:space="preserve">for the fully heterogeneous configuration, while inference cost</w:t>
      </w:r>
      <w:r>
        <w:t xml:space="preserve"> </w:t>
      </w:r>
      <w:r>
        <w:t xml:space="preserve">increases by approximately</w:t>
      </w:r>
      <w:r>
        <w:t xml:space="preserve"> </w:t>
      </w:r>
      <m:oMath>
        <m:r>
          <m:t>4.4</m:t>
        </m:r>
        <m:r>
          <m:rPr>
            <m:sty m:val="p"/>
          </m:rPr>
          <m:t>×</m:t>
        </m:r>
      </m:oMath>
      <w:r>
        <w:t xml:space="preserve">. The provider-pair analysis further shows</w:t>
      </w:r>
      <w:r>
        <w:t xml:space="preserve"> </w:t>
      </w:r>
      <w:r>
        <w:t xml:space="preserve">that agents from the same provider agree more frequently than agents from</w:t>
      </w:r>
      <w:r>
        <w:t xml:space="preserve"> </w:t>
      </w:r>
      <w:r>
        <w:t xml:space="preserve">different providers under identical prompt and information conditions. Together</w:t>
      </w:r>
      <w:r>
        <w:t xml:space="preserve"> </w:t>
      </w:r>
      <w:r>
        <w:t xml:space="preserve">with the capability-matched control, these findings support provider identity as</w:t>
      </w:r>
      <w:r>
        <w:t xml:space="preserve"> </w:t>
      </w:r>
      <w:r>
        <w:t xml:space="preserve">an important source of behavioral similarity within LLM ensembles.</w:t>
      </w:r>
    </w:p>
    <w:p>
      <w:pPr>
        <w:pStyle w:val="BodyText"/>
      </w:pPr>
      <w:r>
        <w:t xml:space="preserve">Reduced agreement is a necessary but not sufficient condition for improved</w:t>
      </w:r>
      <w:r>
        <w:t xml:space="preserve"> </w:t>
      </w:r>
      <w:r>
        <w:t xml:space="preserve">ensemble performance. Greater behavioral diversity is useful only when the</w:t>
      </w:r>
      <w:r>
        <w:t xml:space="preserve"> </w:t>
      </w:r>
      <w:r>
        <w:t xml:space="preserve">additional judgments provide relevant information or enable more reliable</w:t>
      </w:r>
      <w:r>
        <w:t xml:space="preserve"> </w:t>
      </w:r>
      <w:r>
        <w:t xml:space="preserve">downstream decisions. In the present study, cross-provider heterogeneity</w:t>
      </w:r>
      <w:r>
        <w:t xml:space="preserve"> </w:t>
      </w:r>
      <w:r>
        <w:t xml:space="preserve">substantially reduces within-ensemble agreement but does not produce a</w:t>
      </w:r>
      <w:r>
        <w:t xml:space="preserve"> </w:t>
      </w:r>
      <w:r>
        <w:t xml:space="preserve">statistically reliable improvement in average directional accuracy. This result</w:t>
      </w:r>
      <w:r>
        <w:t xml:space="preserve"> </w:t>
      </w:r>
      <w:r>
        <w:t xml:space="preserve">is consistent with the algorithmic-monoculture</w:t>
      </w:r>
      <w:r>
        <w:t xml:space="preserve"> </w:t>
      </w:r>
      <w:r>
        <w:t xml:space="preserve">literature </w:t>
      </w:r>
      <w:r>
        <w:t xml:space="preserve">(Kim et al. 2025)</w:t>
      </w:r>
      <w:r>
        <w:t xml:space="preserve"> </w:t>
      </w:r>
      <w:r>
        <w:t xml:space="preserve">in showing that greater behavioral diversity</w:t>
      </w:r>
      <w:r>
        <w:t xml:space="preserve"> </w:t>
      </w:r>
      <w:r>
        <w:t xml:space="preserve">does not automatically translate into greater correctness. The exploratory</w:t>
      </w:r>
      <w:r>
        <w:t xml:space="preserve"> </w:t>
      </w:r>
      <w:r>
        <w:t xml:space="preserve">consensus analysis nevertheless indicates that heterogeneity changes the</w:t>
      </w:r>
      <w:r>
        <w:t xml:space="preserve"> </w:t>
      </w:r>
      <w:r>
        <w:t xml:space="preserve">structure of collective errors. Homogeneous ensembles produce unanimous</w:t>
      </w:r>
      <w:r>
        <w:t xml:space="preserve"> </w:t>
      </w:r>
      <w:r>
        <w:t xml:space="preserve">incorrect directional decisions at approximately</w:t>
      </w:r>
      <w:r>
        <w:t xml:space="preserve"> </w:t>
      </w:r>
      <m:oMath>
        <m:r>
          <m:t>1.84</m:t>
        </m:r>
        <m:r>
          <m:rPr>
            <m:sty m:val="p"/>
          </m:rPr>
          <m:t>×</m:t>
        </m:r>
      </m:oMath>
      <w:r>
        <w:t xml:space="preserve"> </w:t>
      </w:r>
      <w:r>
        <w:t xml:space="preserve">the rate of fully</w:t>
      </w:r>
      <w:r>
        <w:t xml:space="preserve"> </w:t>
      </w:r>
      <w:r>
        <w:t xml:space="preserve">heterogeneous ensembles and exhibit greater concentration of agents around an</w:t>
      </w:r>
      <w:r>
        <w:t xml:space="preserve"> </w:t>
      </w:r>
      <w:r>
        <w:t xml:space="preserve">incorrect majority decision. These findings suggest that disagreement may</w:t>
      </w:r>
      <w:r>
        <w:t xml:space="preserve"> </w:t>
      </w:r>
      <w:r>
        <w:t xml:space="preserve">provide value through reduced error concentration and increased visibility of</w:t>
      </w:r>
      <w:r>
        <w:t xml:space="preserve"> </w:t>
      </w:r>
      <w:r>
        <w:t xml:space="preserve">dissent, even when mean accuracy does not improve. However, this interpretation</w:t>
      </w:r>
      <w:r>
        <w:t xml:space="preserve"> </w:t>
      </w:r>
      <w:r>
        <w:t xml:space="preserve">remains exploratory and requires confirmatory evaluation using an appropriately</w:t>
      </w:r>
      <w:r>
        <w:t xml:space="preserve"> </w:t>
      </w:r>
      <w:r>
        <w:t xml:space="preserve">powered downstream endpoint.</w:t>
      </w:r>
    </w:p>
    <w:p>
      <w:pPr>
        <w:pStyle w:val="BodyText"/>
      </w:pPr>
      <w:r>
        <w:t xml:space="preserve">The agreement–cost frontier provides a practical framework for ensemble</w:t>
      </w:r>
      <w:r>
        <w:t xml:space="preserve"> </w:t>
      </w:r>
      <w:r>
        <w:t xml:space="preserve">selection. Practitioners should not assume that the additional cost of provider</w:t>
      </w:r>
      <w:r>
        <w:t xml:space="preserve"> </w:t>
      </w:r>
      <w:r>
        <w:t xml:space="preserve">heterogeneity is justified solely because it reduces agreement. Instead, they</w:t>
      </w:r>
      <w:r>
        <w:t xml:space="preserve"> </w:t>
      </w:r>
      <w:r>
        <w:t xml:space="preserve">should evaluate whether the resulting diversity improves a task-relevant</w:t>
      </w:r>
      <w:r>
        <w:t xml:space="preserve"> </w:t>
      </w:r>
      <w:r>
        <w:t xml:space="preserve">objective, such as calibration, robustness, abstention quality, or the frequency</w:t>
      </w:r>
      <w:r>
        <w:t xml:space="preserve"> </w:t>
      </w:r>
      <w:r>
        <w:t xml:space="preserve">of concentrated collective errors. In the exploratory analysis, HET-LITE</w:t>
      </w:r>
      <w:r>
        <w:t xml:space="preserve"> </w:t>
      </w:r>
      <w:r>
        <w:t xml:space="preserve">achieves a reduction in unanimous directional errors comparable to HET at an</w:t>
      </w:r>
      <w:r>
        <w:t xml:space="preserve"> </w:t>
      </w:r>
      <w:r>
        <w:t xml:space="preserve">approximately</w:t>
      </w:r>
      <w:r>
        <w:t xml:space="preserve"> </w:t>
      </w:r>
      <m:oMath>
        <m:r>
          <m:t>2.3</m:t>
        </m:r>
        <m:r>
          <m:rPr>
            <m:sty m:val="p"/>
          </m:rPr>
          <m:t>×</m:t>
        </m:r>
      </m:oMath>
      <w:r>
        <w:t xml:space="preserve">, rather than</w:t>
      </w:r>
      <w:r>
        <w:t xml:space="preserve"> </w:t>
      </w:r>
      <m:oMath>
        <m:r>
          <m:t>4.4</m:t>
        </m:r>
        <m:r>
          <m:rPr>
            <m:sty m:val="p"/>
          </m:rPr>
          <m:t>×</m:t>
        </m:r>
      </m:oMath>
      <w:r>
        <w:t xml:space="preserve">, cost premium. This post hoc pattern motivates prospective evaluation of the</w:t>
      </w:r>
      <w:r>
        <w:t xml:space="preserve"> </w:t>
      </w:r>
      <w:r>
        <w:t xml:space="preserve">HET-LITE configuration; it is hypothesis-generating and is not deployment</w:t>
      </w:r>
      <w:r>
        <w:t xml:space="preserve"> </w:t>
      </w:r>
      <w:r>
        <w:t xml:space="preserve">guidance.</w:t>
      </w:r>
    </w:p>
    <w:p>
      <w:pPr>
        <w:pStyle w:val="BodyText"/>
      </w:pPr>
      <w:r>
        <w:t xml:space="preserve">The shared-seed pilot also has a methodological implication for empirical</w:t>
      </w:r>
      <w:r>
        <w:t xml:space="preserve"> </w:t>
      </w:r>
      <w:r>
        <w:t xml:space="preserve">studies of LLM ensembles. When repeated model instances receive the same seed or</w:t>
      </w:r>
      <w:r>
        <w:t xml:space="preserve"> </w:t>
      </w:r>
      <w:r>
        <w:t xml:space="preserve">otherwise share elements of the sampling trajectory, their outputs may not</w:t>
      </w:r>
      <w:r>
        <w:t xml:space="preserve"> </w:t>
      </w:r>
      <w:r>
        <w:t xml:space="preserve">represent independent draws, causing within-ensemble agreement and configuration</w:t>
      </w:r>
      <w:r>
        <w:t xml:space="preserve"> </w:t>
      </w:r>
      <w:r>
        <w:t xml:space="preserve">contrasts to be materially distorted. Agreement studies should therefore</w:t>
      </w:r>
      <w:r>
        <w:t xml:space="preserve"> </w:t>
      </w:r>
      <w:r>
        <w:t xml:space="preserve">document the sampling context, assign separate reproducible seeds to individual</w:t>
      </w:r>
      <w:r>
        <w:t xml:space="preserve"> </w:t>
      </w:r>
      <w:r>
        <w:t xml:space="preserve">agents when supported, and include a diagnostic for residual within-run</w:t>
      </w:r>
      <w:r>
        <w:t xml:space="preserve"> </w:t>
      </w:r>
      <w:r>
        <w:t xml:space="preserve">dependence.</w:t>
      </w:r>
    </w:p>
    <w:bookmarkStart w:id="72" w:name="subsec:provenance"/>
    <w:p>
      <w:pPr>
        <w:pStyle w:val="Heading2"/>
      </w:pPr>
      <w:r>
        <w:t xml:space="preserve">Collection provenance and retry accounting</w:t>
      </w:r>
    </w:p>
    <w:p>
      <w:pPr>
        <w:pStyle w:val="FirstParagraph"/>
      </w:pPr>
      <w:r>
        <w:t xml:space="preserve">The confirmatory grid comprises 54</w:t>
      </w:r>
      <w:r>
        <w:t xml:space="preserve">,</w:t>
      </w:r>
      <w:r>
        <w:t xml:space="preserve">000 planned calls, all of which returned a</w:t>
      </w:r>
      <w:r>
        <w:t xml:space="preserve"> </w:t>
      </w:r>
      <w:r>
        <w:t xml:space="preserve">valid response. Reaching them required 94</w:t>
      </w:r>
      <w:r>
        <w:t xml:space="preserve">,</w:t>
      </w:r>
      <w:r>
        <w:t xml:space="preserve">566 API requests: 40</w:t>
      </w:r>
      <w:r>
        <w:t xml:space="preserve">,</w:t>
      </w:r>
      <w:r>
        <w:t xml:space="preserve">566 requests</w:t>
      </w:r>
      <w:r>
        <w:t xml:space="preserve"> </w:t>
      </w:r>
      <w:r>
        <w:t xml:space="preserve">did not return a usable completion and were retried, up to six attempts per slot.</w:t>
      </w:r>
      <w:r>
        <w:t xml:space="preserve"> </w:t>
      </w:r>
      <w:r>
        <w:t xml:space="preserve">Of those unsuccessful requests, 40</w:t>
      </w:r>
      <w:r>
        <w:t xml:space="preserve">,</w:t>
      </w:r>
      <w:r>
        <w:t xml:space="preserve">544 were provider rate-limit or quota</w:t>
      </w:r>
      <w:r>
        <w:t xml:space="preserve"> </w:t>
      </w:r>
      <w:r>
        <w:t xml:space="preserve">responses and 22 were transport or schema failures. A rate-limited request is</w:t>
      </w:r>
      <w:r>
        <w:t xml:space="preserve"> </w:t>
      </w:r>
      <w:r>
        <w:t xml:space="preserve">rejected before the model is invoked and returns no content, so retrying it</w:t>
      </w:r>
      <w:r>
        <w:t xml:space="preserve"> </w:t>
      </w:r>
      <w:r>
        <w:t xml:space="preserve">cannot select on the response; the completed grid is therefore the full</w:t>
      </w:r>
      <w:r>
        <w:t xml:space="preserve"> </w:t>
      </w:r>
      <w:r>
        <w:t xml:space="preserve">pre-registered design rather than a subset surviving a content filter. Every</w:t>
      </w:r>
      <w:r>
        <w:t xml:space="preserve"> </w:t>
      </w:r>
      <w:r>
        <w:t xml:space="preserve">attempt, successful or not, is recorded in the released log with its error</w:t>
      </w:r>
      <w:r>
        <w:t xml:space="preserve"> </w:t>
      </w:r>
      <w:r>
        <w:t xml:space="preserve">string, so the accounting can be reconstructed independently.</w:t>
      </w:r>
    </w:p>
    <w:p>
      <w:pPr>
        <w:pStyle w:val="BodyText"/>
      </w:pPr>
      <w:r>
        <w:t xml:space="preserve">Request parameters are fixed across configurations and recorded in the released</w:t>
      </w:r>
      <w:r>
        <w:t xml:space="preserve"> </w:t>
      </w:r>
      <w:r>
        <w:t xml:space="preserve">configuration: temperature</w:t>
      </w:r>
      <w:r>
        <w:t xml:space="preserve"> </w:t>
      </w:r>
      <m:oMath>
        <m:r>
          <m:t>0.7</m:t>
        </m:r>
      </m:oMath>
      <w:r>
        <w:t xml:space="preserve">, a per-agent seed derived from the run seed, a</w:t>
      </w:r>
      <w:r>
        <w:t xml:space="preserve"> </w:t>
      </w:r>
      <w:r>
        <w:t xml:space="preserve">completion cap of 256 tokens, and a strict-JSON response contract. The exact</w:t>
      </w:r>
      <w:r>
        <w:t xml:space="preserve"> </w:t>
      </w:r>
      <w:r>
        <w:t xml:space="preserve">system and user prompt text is released verbatim, and each row of the log carries</w:t>
      </w:r>
      <w:r>
        <w:t xml:space="preserve"> </w:t>
      </w:r>
      <w:r>
        <w:t xml:space="preserve">the SHA-256 hash of the prompt actually sent, so any row can be checked against</w:t>
      </w:r>
      <w:r>
        <w:t xml:space="preserve"> </w:t>
      </w:r>
      <w:r>
        <w:t xml:space="preserve">the frozen template. Model snapshot identifiers, prices, and knowledge cutoffs</w:t>
      </w:r>
      <w:r>
        <w:t xml:space="preserve"> </w:t>
      </w:r>
      <w:r>
        <w:t xml:space="preserve">were probe-verified before collection and are listed in Table </w:t>
      </w:r>
      <w:hyperlink w:anchor="tab:models">
        <w:r>
          <w:rPr>
            <w:rStyle w:val="Hyperlink"/>
          </w:rPr>
          <w:t xml:space="preserve">1</w:t>
        </w:r>
      </w:hyperlink>
      <w:r>
        <w:t xml:space="preserve">.</w:t>
      </w:r>
      <w:r>
        <w:t xml:space="preserve"> </w:t>
      </w:r>
      <w:r>
        <w:t xml:space="preserve">Pre-registration, prompt, configuration, and analysis code were hashed and</w:t>
      </w:r>
      <w:r>
        <w:t xml:space="preserve"> </w:t>
      </w:r>
      <w:r>
        <w:t xml:space="preserve">committed before collection began; the hashes and the commit timestamp are in the</w:t>
      </w:r>
      <w:r>
        <w:t xml:space="preserve"> </w:t>
      </w:r>
      <w:r>
        <w:t xml:space="preserve">released freeze receipt.</w:t>
      </w:r>
    </w:p>
    <w:bookmarkEnd w:id="72"/>
    <w:bookmarkEnd w:id="73"/>
    <w:bookmarkStart w:id="74" w:name="threats-to-validity"/>
    <w:p>
      <w:pPr>
        <w:pStyle w:val="Heading1"/>
      </w:pPr>
      <w:r>
        <w:t xml:space="preserve">Threats to Validity</w:t>
      </w:r>
    </w:p>
    <w:p>
      <w:pPr>
        <w:pStyle w:val="FirstParagraph"/>
      </w:pPr>
      <w:r>
        <w:rPr>
          <w:b/>
          <w:bCs/>
        </w:rPr>
        <w:t xml:space="preserve">Heterogeneity vs. capability confound.</w:t>
      </w:r>
      <w:r>
        <w:t xml:space="preserve"> </w:t>
      </w:r>
      <w:r>
        <w:t xml:space="preserve">The primary ensemble configurations differ in both provider composition and</w:t>
      </w:r>
      <w:r>
        <w:t xml:space="preserve"> </w:t>
      </w:r>
      <w:r>
        <w:t xml:space="preserve">model capability tier. HOM contains five instances of an efficient-tier OpenAI</w:t>
      </w:r>
      <w:r>
        <w:t xml:space="preserve"> </w:t>
      </w:r>
      <w:r>
        <w:t xml:space="preserve">model, whereas the heterogeneous configurations introduce models from other</w:t>
      </w:r>
      <w:r>
        <w:t xml:space="preserve"> </w:t>
      </w:r>
      <w:r>
        <w:t xml:space="preserve">providers, including higher-tier models. Consequently, part of the observed</w:t>
      </w:r>
      <w:r>
        <w:t xml:space="preserve"> </w:t>
      </w:r>
      <w:r>
        <w:t xml:space="preserve">reduction in agreement could reflect capability differences rather than provider</w:t>
      </w:r>
      <w:r>
        <w:t xml:space="preserve"> </w:t>
      </w:r>
      <w:r>
        <w:t xml:space="preserve">identity alone. Two analyses reduce, but do not eliminate, this concern. First,</w:t>
      </w:r>
      <w:r>
        <w:t xml:space="preserve"> </w:t>
      </w:r>
      <w:r>
        <w:t xml:space="preserve">the provider-pair matrix (Fig. </w:t>
      </w:r>
      <w:hyperlink w:anchor="fig:provider">
        <w:r>
          <w:rPr>
            <w:rStyle w:val="Hyperlink"/>
          </w:rPr>
          <w:t xml:space="preserve">4</w:t>
        </w:r>
      </w:hyperlink>
      <w:r>
        <w:t xml:space="preserve">) compares agents evaluating</w:t>
      </w:r>
      <w:r>
        <w:t xml:space="preserve"> </w:t>
      </w:r>
      <w:r>
        <w:t xml:space="preserve">the same equity-date cell under identical prompt and information conditions and</w:t>
      </w:r>
      <w:r>
        <w:t xml:space="preserve"> </w:t>
      </w:r>
      <w:r>
        <w:t xml:space="preserve">shows substantially higher agreement for same-provider pairs (</w:t>
      </w:r>
      <m:oMath>
        <m:r>
          <m:t>0.80</m:t>
        </m:r>
      </m:oMath>
      <w:r>
        <w:t xml:space="preserve">–</w:t>
      </w:r>
      <m:oMath>
        <m:r>
          <m:t>0.92</m:t>
        </m:r>
      </m:oMath>
      <w:r>
        <w:t xml:space="preserve">)</w:t>
      </w:r>
      <w:r>
        <w:t xml:space="preserve"> </w:t>
      </w:r>
      <w:r>
        <w:t xml:space="preserve">than for cross-provider pairs (</w:t>
      </w:r>
      <m:oMath>
        <m:r>
          <m:t>0.43</m:t>
        </m:r>
      </m:oMath>
      <w:r>
        <w:t xml:space="preserve">–</w:t>
      </w:r>
      <m:oMath>
        <m:r>
          <m:t>0.63</m:t>
        </m:r>
      </m:oMath>
      <w:r>
        <w:t xml:space="preserve">). Second, the capability-matched</w:t>
      </w:r>
      <w:r>
        <w:t xml:space="preserve"> </w:t>
      </w:r>
      <w:r>
        <w:t xml:space="preserve">control (Section </w:t>
      </w:r>
      <w:hyperlink w:anchor="sec:control">
        <w:r>
          <w:rPr>
            <w:rStyle w:val="Hyperlink"/>
          </w:rPr>
          <w:t xml:space="preserve">5.10</w:t>
        </w:r>
      </w:hyperlink>
      <w:r>
        <w:t xml:space="preserve">) holds model tier approximately constant</w:t>
      </w:r>
      <w:r>
        <w:t xml:space="preserve"> </w:t>
      </w:r>
      <w:r>
        <w:t xml:space="preserve">across OpenAI and Google and produces a contrast of</w:t>
      </w:r>
      <w:r>
        <w:t xml:space="preserve"> </w:t>
      </w:r>
      <m:oMath>
        <m:r>
          <m:rPr>
            <m:sty m:val="p"/>
          </m:rPr>
          <m:t>Δ</m:t>
        </m:r>
        <m:r>
          <m:t>κ</m:t>
        </m:r>
        <m:r>
          <m:rPr>
            <m:sty m:val="p"/>
          </m:rPr>
          <m:t>=</m:t>
        </m:r>
        <m:r>
          <m:t>0.315</m:t>
        </m:r>
      </m:oMath>
      <w:r>
        <w:t xml:space="preserve">,</w:t>
      </w:r>
      <w:r>
        <w:t xml:space="preserve"> </w:t>
      </w:r>
      <w:r>
        <w:t xml:space="preserve">approximately 94% of the primary HOM-to-HET effect. The de-correlation</w:t>
      </w:r>
      <w:r>
        <w:t xml:space="preserve"> </w:t>
      </w:r>
      <w:r>
        <w:t xml:space="preserve">therefore remains substantial after approximate tier matching. However, the</w:t>
      </w:r>
      <w:r>
        <w:t xml:space="preserve"> </w:t>
      </w:r>
      <w:r>
        <w:t xml:space="preserve">control covers only two providers because an equivalent efficient-tier xAI model</w:t>
      </w:r>
      <w:r>
        <w:t xml:space="preserve"> </w:t>
      </w:r>
      <w:r>
        <w:t xml:space="preserve">was unavailable, and differences in training data, architecture, alignment</w:t>
      </w:r>
      <w:r>
        <w:t xml:space="preserve"> </w:t>
      </w:r>
      <w:r>
        <w:t xml:space="preserve">procedures, and effective capability cannot be completely separated from</w:t>
      </w:r>
      <w:r>
        <w:t xml:space="preserve"> </w:t>
      </w:r>
      <w:r>
        <w:t xml:space="preserve">provider identity.</w:t>
      </w:r>
    </w:p>
    <w:p>
      <w:pPr>
        <w:pStyle w:val="BodyText"/>
      </w:pPr>
      <w:r>
        <w:rPr>
          <w:b/>
          <w:bCs/>
        </w:rPr>
        <w:t xml:space="preserve">Limited domain coverage.</w:t>
      </w:r>
      <w:r>
        <w:t xml:space="preserve"> </w:t>
      </w:r>
      <w:r>
        <w:t xml:space="preserve">The primary experiment evaluates one directional financial-analysis task using a</w:t>
      </w:r>
      <w:r>
        <w:t xml:space="preserve"> </w:t>
      </w:r>
      <w:r>
        <w:t xml:space="preserve">single prompt template and a three-class BUY/HOLD/SELL output space, and</w:t>
      </w:r>
      <w:r>
        <w:t xml:space="preserve"> </w:t>
      </w:r>
      <w:r>
        <w:t xml:space="preserve">Section </w:t>
      </w:r>
      <w:hyperlink w:anchor="subsec:crossdomain">
        <w:r>
          <w:rPr>
            <w:rStyle w:val="Hyperlink"/>
          </w:rPr>
          <w:t xml:space="preserve">5.9</w:t>
        </w:r>
      </w:hyperlink>
      <w:r>
        <w:t xml:space="preserve"> </w:t>
      </w:r>
      <w:r>
        <w:t xml:space="preserve">adds a pre-registered replication on 537 expert</w:t>
      </w:r>
      <w:r>
        <w:t xml:space="preserve"> </w:t>
      </w:r>
      <w:r>
        <w:t xml:space="preserve">clinical-decision items. The ordering reproduces across the two domains, so the</w:t>
      </w:r>
      <w:r>
        <w:t xml:space="preserve"> </w:t>
      </w:r>
      <w:r>
        <w:t xml:space="preserve">effect is not confined to the financial setting; its magnitude is not portable,</w:t>
      </w:r>
      <w:r>
        <w:t xml:space="preserve"> </w:t>
      </w:r>
      <w:r>
        <w:t xml:space="preserve">being roughly a fifth as large in the clinical replication. Coverage nonetheless</w:t>
      </w:r>
      <w:r>
        <w:t xml:space="preserve"> </w:t>
      </w:r>
      <w:r>
        <w:t xml:space="preserve">remains limited along dimensions the design holds fixed: prompt format, ensemble</w:t>
      </w:r>
      <w:r>
        <w:t xml:space="preserve"> </w:t>
      </w:r>
      <w:r>
        <w:t xml:space="preserve">size, the majority-vote aggregation rule, and the particular model mixtures</w:t>
      </w:r>
      <w:r>
        <w:t xml:space="preserve"> </w:t>
      </w:r>
      <w:r>
        <w:t xml:space="preserve">evaluated. Tasks involving factual retrieval, open-ended generation, numerical</w:t>
      </w:r>
      <w:r>
        <w:t xml:space="preserve"> </w:t>
      </w:r>
      <w:r>
        <w:t xml:space="preserve">reasoning, or multi-turn interaction may exhibit different within-provider and</w:t>
      </w:r>
      <w:r>
        <w:t xml:space="preserve"> </w:t>
      </w:r>
      <w:r>
        <w:t xml:space="preserve">cross-provider dependence, and varying the aggregation rule or ensemble size</w:t>
      </w:r>
      <w:r>
        <w:t xml:space="preserve"> </w:t>
      </w:r>
      <w:r>
        <w:t xml:space="preserve">could change the agreement-cost trade-off independently of provider mixture.</w:t>
      </w:r>
    </w:p>
    <w:p>
      <w:pPr>
        <w:pStyle w:val="BodyText"/>
      </w:pPr>
      <w:r>
        <w:rPr>
          <w:b/>
          <w:bCs/>
        </w:rPr>
        <w:t xml:space="preserve">Model-version pinning.</w:t>
      </w:r>
      <w:r>
        <w:t xml:space="preserve"> </w:t>
      </w:r>
      <w:r>
        <w:t xml:space="preserve">Proprietary model endpoints may be updated by their providers without preserving</w:t>
      </w:r>
      <w:r>
        <w:t xml:space="preserve"> </w:t>
      </w:r>
      <w:r>
        <w:t xml:space="preserve">identical behavior under the same product name. We mitigate this limitation by</w:t>
      </w:r>
      <w:r>
        <w:t xml:space="preserve"> </w:t>
      </w:r>
      <w:r>
        <w:t xml:space="preserve">recording the exact model identifiers, timestamps, seeds, prompt hashes, and raw</w:t>
      </w:r>
      <w:r>
        <w:t xml:space="preserve"> </w:t>
      </w:r>
      <w:r>
        <w:t xml:space="preserve">responses associated with every call and by treating the frozen, hash-verified</w:t>
      </w:r>
      <w:r>
        <w:t xml:space="preserve"> </w:t>
      </w:r>
      <w:r>
        <w:t xml:space="preserve">dataset as the empirical object of record. The findings therefore apply to the</w:t>
      </w:r>
      <w:r>
        <w:t xml:space="preserve"> </w:t>
      </w:r>
      <w:r>
        <w:t xml:space="preserve">archived outputs generated during the reported collection period and may not</w:t>
      </w:r>
      <w:r>
        <w:t xml:space="preserve"> </w:t>
      </w:r>
      <w:r>
        <w:t xml:space="preserve">reproduce exactly with later endpoint versions.</w:t>
      </w:r>
    </w:p>
    <w:p>
      <w:pPr>
        <w:pStyle w:val="BodyText"/>
      </w:pPr>
      <w:r>
        <w:rPr>
          <w:b/>
          <w:bCs/>
        </w:rPr>
        <w:t xml:space="preserve">Single-run collection.</w:t>
      </w:r>
      <w:r>
        <w:t xml:space="preserve"> </w:t>
      </w:r>
      <w:r>
        <w:t xml:space="preserve">Although the design contains three independent runs per configuration, the</w:t>
      </w:r>
      <w:r>
        <w:t xml:space="preserve"> </w:t>
      </w:r>
      <w:r>
        <w:t xml:space="preserve">confirmatory responses were collected within a single experimental period.</w:t>
      </w:r>
      <w:r>
        <w:t xml:space="preserve"> </w:t>
      </w:r>
      <w:r>
        <w:t xml:space="preserve">Provider-side updates, transient service conditions, or undocumented inference</w:t>
      </w:r>
      <w:r>
        <w:t xml:space="preserve"> </w:t>
      </w:r>
      <w:r>
        <w:t xml:space="preserve">changes occurring outside that period are therefore not averaged across multiple</w:t>
      </w:r>
      <w:r>
        <w:t xml:space="preserve"> </w:t>
      </w:r>
      <w:r>
        <w:t xml:space="preserve">collection windows. Repeating the experiment at later dates would be necessary</w:t>
      </w:r>
      <w:r>
        <w:t xml:space="preserve"> </w:t>
      </w:r>
      <w:r>
        <w:t xml:space="preserve">to evaluate temporal stability.</w:t>
      </w:r>
    </w:p>
    <w:p>
      <w:pPr>
        <w:pStyle w:val="BodyText"/>
      </w:pPr>
      <w:r>
        <w:rPr>
          <w:b/>
          <w:bCs/>
        </w:rPr>
        <w:t xml:space="preserve">Accuracy underpowered.</w:t>
      </w:r>
      <w:r>
        <w:t xml:space="preserve"> </w:t>
      </w:r>
      <w:r>
        <w:t xml:space="preserve">The experiment was designed and powered for the agreement endpoint rather than</w:t>
      </w:r>
      <w:r>
        <w:t xml:space="preserve"> </w:t>
      </w:r>
      <w:r>
        <w:t xml:space="preserve">for differences in directional accuracy. The accuracy analysis uses a</w:t>
      </w:r>
      <w:r>
        <w:t xml:space="preserve"> </w:t>
      </w:r>
      <w:r>
        <w:t xml:space="preserve">descriptive proxy based on the sign of the 20-trading-day forward return, treats</w:t>
      </w:r>
      <w:r>
        <w:t xml:space="preserve"> </w:t>
      </w:r>
      <w:r>
        <w:t xml:space="preserve">HOLD as an abstention, and produces relatively wide confidence intervals. It</w:t>
      </w:r>
      <w:r>
        <w:t xml:space="preserve"> </w:t>
      </w:r>
      <w:r>
        <w:t xml:space="preserve">therefore cannot establish that heterogeneity improves or fails to improve</w:t>
      </w:r>
      <w:r>
        <w:t xml:space="preserve"> </w:t>
      </w:r>
      <w:r>
        <w:t xml:space="preserve">predictive performance. The reported hit rates should not be interpreted as</w:t>
      </w:r>
      <w:r>
        <w:t xml:space="preserve"> </w:t>
      </w:r>
      <w:r>
        <w:t xml:space="preserve">evidence of investment alpha, trading profitability, or economically significant</w:t>
      </w:r>
      <w:r>
        <w:t xml:space="preserve"> </w:t>
      </w:r>
      <w:r>
        <w:t xml:space="preserve">forecasting ability.</w:t>
      </w:r>
    </w:p>
    <w:p>
      <w:pPr>
        <w:pStyle w:val="BodyText"/>
      </w:pPr>
      <w:r>
        <w:rPr>
          <w:b/>
          <w:bCs/>
        </w:rPr>
        <w:t xml:space="preserve">Generalization.</w:t>
      </w:r>
      <w:r>
        <w:t xml:space="preserve"> </w:t>
      </w:r>
      <w:r>
        <w:t xml:space="preserve">The findings are specific to five-agent ensembles, three provider mixtures, the</w:t>
      </w:r>
      <w:r>
        <w:t xml:space="preserve"> </w:t>
      </w:r>
      <w:r>
        <w:t xml:space="preserve">selected models, and the tested heterogeneity levels. Different ensemble sizes,</w:t>
      </w:r>
      <w:r>
        <w:t xml:space="preserve"> </w:t>
      </w:r>
      <w:r>
        <w:t xml:space="preserve">provider allocations, aggregation rules, model tiers, prompts, or cost</w:t>
      </w:r>
      <w:r>
        <w:t xml:space="preserve"> </w:t>
      </w:r>
      <w:r>
        <w:t xml:space="preserve">structures may produce different agreement–cost frontiers. In addition, lower</w:t>
      </w:r>
      <w:r>
        <w:t xml:space="preserve"> </w:t>
      </w:r>
      <w:r>
        <w:t xml:space="preserve">agreement is not inherently beneficial; its value depends on whether</w:t>
      </w:r>
      <w:r>
        <w:t xml:space="preserve"> </w:t>
      </w:r>
      <w:r>
        <w:t xml:space="preserve">disagreement improves a relevant downstream outcome. Generalization therefore</w:t>
      </w:r>
      <w:r>
        <w:t xml:space="preserve"> </w:t>
      </w:r>
      <w:r>
        <w:t xml:space="preserve">requires replication across alternative ensemble compositions and decision</w:t>
      </w:r>
      <w:r>
        <w:t xml:space="preserve"> </w:t>
      </w:r>
      <w:r>
        <w:t xml:space="preserve">tasks.</w:t>
      </w:r>
    </w:p>
    <w:bookmarkEnd w:id="74"/>
    <w:bookmarkStart w:id="75" w:name="conclusion"/>
    <w:p>
      <w:pPr>
        <w:pStyle w:val="Heading1"/>
      </w:pPr>
      <w:r>
        <w:t xml:space="preserve">Conclusion</w:t>
      </w:r>
    </w:p>
    <w:p>
      <w:pPr>
        <w:pStyle w:val="FirstParagraph"/>
      </w:pPr>
      <w:r>
        <w:t xml:space="preserve">This study presents a pre-registered empirical evaluation of how cross-provider</w:t>
      </w:r>
      <w:r>
        <w:t xml:space="preserve"> </w:t>
      </w:r>
      <w:r>
        <w:t xml:space="preserve">heterogeneity affects agreement and inference cost in LLM ensembles. Across a</w:t>
      </w:r>
      <w:r>
        <w:t xml:space="preserve"> </w:t>
      </w:r>
      <w:r>
        <w:t xml:space="preserve">54</w:t>
      </w:r>
      <w:r>
        <w:t xml:space="preserve">,</w:t>
      </w:r>
      <w:r>
        <w:t xml:space="preserve">000-call primary experiment, within-ensemble agreement decreases</w:t>
      </w:r>
      <w:r>
        <w:t xml:space="preserve"> </w:t>
      </w:r>
      <w:r>
        <w:t xml:space="preserve">monotonically as provider diversity increases, with a primary HOM-to-HET</w:t>
      </w:r>
      <w:r>
        <w:t xml:space="preserve"> </w:t>
      </w:r>
      <w:r>
        <w:t xml:space="preserve">contrast of</w:t>
      </w:r>
      <w:r>
        <w:t xml:space="preserve"> </w:t>
      </w:r>
      <m:oMath>
        <m:r>
          <m:rPr>
            <m:sty m:val="p"/>
          </m:rPr>
          <m:t>Δ</m:t>
        </m:r>
        <m:r>
          <m:t>κ</m:t>
        </m:r>
        <m:r>
          <m:rPr>
            <m:sty m:val="p"/>
          </m:rPr>
          <m:t>=</m:t>
        </m:r>
        <m:r>
          <m:t>0.336</m:t>
        </m:r>
      </m:oMath>
      <w:r>
        <w:t xml:space="preserve"> </w:t>
      </w:r>
      <w:r>
        <w:t xml:space="preserve">(95% CI:</w:t>
      </w:r>
      <w:r>
        <w:t xml:space="preserve"> </w:t>
      </w:r>
      <m:oMath>
        <m:r>
          <m:rPr>
            <m:sty m:val="p"/>
          </m:rPr>
          <m:t>[</m:t>
        </m:r>
        <m:r>
          <m:t>0.304</m:t>
        </m:r>
        <m:r>
          <m:rPr>
            <m:sty m:val="p"/>
          </m:rPr>
          <m:t>,</m:t>
        </m:r>
        <m:r>
          <m:t>0.369</m:t>
        </m:r>
        <m:r>
          <m:rPr>
            <m:sty m:val="p"/>
          </m:rPr>
          <m:t>]</m:t>
        </m:r>
      </m:oMath>
      <w:r>
        <w:t xml:space="preserve">). This reduction is</w:t>
      </w:r>
      <w:r>
        <w:t xml:space="preserve"> </w:t>
      </w:r>
      <w:r>
        <w:t xml:space="preserve">accompanied by an approximately</w:t>
      </w:r>
      <w:r>
        <w:t xml:space="preserve"> </w:t>
      </w:r>
      <m:oMath>
        <m:r>
          <m:t>4.4</m:t>
        </m:r>
        <m:r>
          <m:rPr>
            <m:sty m:val="p"/>
          </m:rPr>
          <m:t>×</m:t>
        </m:r>
      </m:oMath>
      <w:r>
        <w:t xml:space="preserve"> </w:t>
      </w:r>
      <w:r>
        <w:t xml:space="preserve">increase in inference cost,</w:t>
      </w:r>
      <w:r>
        <w:t xml:space="preserve"> </w:t>
      </w:r>
      <w:r>
        <w:t xml:space="preserve">producing an explicit agreement–cost frontier for the evaluated</w:t>
      </w:r>
      <w:r>
        <w:t xml:space="preserve"> </w:t>
      </w:r>
      <w:r>
        <w:t xml:space="preserve">configurations. A capability-matched control preserves approximately 94% of the</w:t>
      </w:r>
      <w:r>
        <w:t xml:space="preserve"> </w:t>
      </w:r>
      <w:r>
        <w:t xml:space="preserve">primary effect, supporting provider identity as a major contributor to ensemble</w:t>
      </w:r>
      <w:r>
        <w:t xml:space="preserve"> </w:t>
      </w:r>
      <w:r>
        <w:t xml:space="preserve">de-correlation while not fully eliminating capability-related confounding. We</w:t>
      </w:r>
      <w:r>
        <w:t xml:space="preserve"> </w:t>
      </w:r>
      <w:r>
        <w:t xml:space="preserve">also introduce an independent-draw measurement protocol that controls dependence</w:t>
      </w:r>
      <w:r>
        <w:t xml:space="preserve"> </w:t>
      </w:r>
      <w:r>
        <w:t xml:space="preserve">caused by shared sampling seeds. In a controlled pilot, shared per-run seeding</w:t>
      </w:r>
      <w:r>
        <w:t xml:space="preserve"> </w:t>
      </w:r>
      <w:r>
        <w:t xml:space="preserve">inflated the estimated de-correlation effect by approximately fourfold,</w:t>
      </w:r>
      <w:r>
        <w:t xml:space="preserve"> </w:t>
      </w:r>
      <w:r>
        <w:t xml:space="preserve">demonstrating the importance of verifying sampling independence in</w:t>
      </w:r>
      <w:r>
        <w:t xml:space="preserve"> </w:t>
      </w:r>
      <w:r>
        <w:t xml:space="preserve">ensemble-agreement studies.</w:t>
      </w:r>
    </w:p>
    <w:p>
      <w:pPr>
        <w:pStyle w:val="BodyText"/>
      </w:pPr>
      <w:r>
        <w:t xml:space="preserve">Cross-provider heterogeneity does not produce a statistically reliable</w:t>
      </w:r>
      <w:r>
        <w:t xml:space="preserve"> </w:t>
      </w:r>
      <w:r>
        <w:t xml:space="preserve">improvement in average directional accuracy at the scale of this experiment.</w:t>
      </w:r>
      <w:r>
        <w:t xml:space="preserve"> </w:t>
      </w:r>
      <w:r>
        <w:t xml:space="preserve">However, exploratory results indicate that homogeneous ensembles generate</w:t>
      </w:r>
      <w:r>
        <w:t xml:space="preserve"> </w:t>
      </w:r>
      <w:r>
        <w:t xml:space="preserve">unanimous incorrect directional decisions at approximately</w:t>
      </w:r>
      <w:r>
        <w:t xml:space="preserve"> </w:t>
      </w:r>
      <m:oMath>
        <m:r>
          <m:t>1.84</m:t>
        </m:r>
        <m:r>
          <m:rPr>
            <m:sty m:val="p"/>
          </m:rPr>
          <m:t>×</m:t>
        </m:r>
      </m:oMath>
      <w:r>
        <w:t xml:space="preserve"> </w:t>
      </w:r>
      <w:r>
        <w:t xml:space="preserve">the rate</w:t>
      </w:r>
      <w:r>
        <w:t xml:space="preserve"> </w:t>
      </w:r>
      <w:r>
        <w:t xml:space="preserve">of fully heterogeneous ensembles and concentrate more agents around incorrect</w:t>
      </w:r>
      <w:r>
        <w:t xml:space="preserve"> </w:t>
      </w:r>
      <w:r>
        <w:t xml:space="preserve">majority decisions. These findings suggest that heterogeneity may provide value</w:t>
      </w:r>
      <w:r>
        <w:t xml:space="preserve"> </w:t>
      </w:r>
      <w:r>
        <w:t xml:space="preserve">by reducing concentrated collective errors and preserving disagreement signals,</w:t>
      </w:r>
      <w:r>
        <w:t xml:space="preserve"> </w:t>
      </w:r>
      <w:r>
        <w:t xml:space="preserve">although this interpretation requires confirmatory evaluation. Overall, the</w:t>
      </w:r>
      <w:r>
        <w:t xml:space="preserve"> </w:t>
      </w:r>
      <w:r>
        <w:t xml:space="preserve">results show that model diversity can reduce output agreement and yield</w:t>
      </w:r>
      <w:r>
        <w:t xml:space="preserve"> </w:t>
      </w:r>
      <w:r>
        <w:t xml:space="preserve">less-correlated judgments, but the practical value of that reduced agreement</w:t>
      </w:r>
      <w:r>
        <w:t xml:space="preserve"> </w:t>
      </w:r>
      <w:r>
        <w:t xml:space="preserve">must be established against a downstream objective such as calibration,</w:t>
      </w:r>
      <w:r>
        <w:t xml:space="preserve"> </w:t>
      </w:r>
      <w:r>
        <w:t xml:space="preserve">robustness, abstention quality, or collective-error reduction. Future work</w:t>
      </w:r>
      <w:r>
        <w:t xml:space="preserve"> </w:t>
      </w:r>
      <w:r>
        <w:t xml:space="preserve">should evaluate the observed agreement ordering across additional tasks,</w:t>
      </w:r>
      <w:r>
        <w:t xml:space="preserve"> </w:t>
      </w:r>
      <w:r>
        <w:t xml:space="preserve">ensemble compositions, and fully tier-matched provider configurations.</w:t>
      </w:r>
    </w:p>
    <w:bookmarkEnd w:id="75"/>
    <w:bookmarkStart w:id="78" w:name="data-and-code-availability"/>
    <w:p>
      <w:pPr>
        <w:pStyle w:val="Heading1"/>
      </w:pPr>
      <w:r>
        <w:t xml:space="preserve">Data and Code Availability</w:t>
      </w:r>
    </w:p>
    <w:p>
      <w:pPr>
        <w:pStyle w:val="FirstParagraph"/>
      </w:pPr>
      <w:r>
        <w:t xml:space="preserve">To support reproduction, we release: (i) the immutable, read-only,</w:t>
      </w:r>
      <w:r>
        <w:t xml:space="preserve"> </w:t>
      </w:r>
      <w:r>
        <w:t xml:space="preserve">SHA-256-stamped raw dataset (</w:t>
      </w:r>
      <w:r>
        <w:rPr>
          <w:rStyle w:val="VerbatimChar"/>
        </w:rPr>
        <w:t xml:space="preserve">runs.csv</w:t>
      </w:r>
      <w:r>
        <w:t xml:space="preserve">), containing 54</w:t>
      </w:r>
      <w:r>
        <w:t xml:space="preserve">,</w:t>
      </w:r>
      <w:r>
        <w:t xml:space="preserve">000 logged</w:t>
      </w:r>
      <w:r>
        <w:t xml:space="preserve"> </w:t>
      </w:r>
      <w:r>
        <w:t xml:space="preserve">calls with the per-call model, seed, prompt hash, timestamp, token usage, cost,</w:t>
      </w:r>
      <w:r>
        <w:t xml:space="preserve"> </w:t>
      </w:r>
      <w:r>
        <w:t xml:space="preserve">and raw response; (ii) the pre-registration materials and the cryptographic</w:t>
      </w:r>
      <w:r>
        <w:t xml:space="preserve"> </w:t>
      </w:r>
      <w:r>
        <w:t xml:space="preserve">freeze receipt; (iii) the deterministic, seeded analysis pipeline that</w:t>
      </w:r>
      <w:r>
        <w:t xml:space="preserve"> </w:t>
      </w:r>
      <w:r>
        <w:t xml:space="preserve">regenerates every table and figure in this paper, together with a replication</w:t>
      </w:r>
      <w:r>
        <w:t xml:space="preserve"> </w:t>
      </w:r>
      <w:r>
        <w:t xml:space="preserve">check; and (iv) the orchestration harness, including the Het-SameTier control</w:t>
      </w:r>
      <w:r>
        <w:t xml:space="preserve"> </w:t>
      </w:r>
      <w:r>
        <w:t xml:space="preserve">configuration. Code and data are available at</w:t>
      </w:r>
      <w:r>
        <w:t xml:space="preserve"> </w:t>
      </w:r>
      <w:hyperlink r:id="rId76">
        <w:r>
          <w:rPr>
            <w:rStyle w:val="Hyperlink"/>
          </w:rPr>
          <w:t xml:space="preserve">https://github.com/samirrc2/price-of-decorrelation</w:t>
        </w:r>
      </w:hyperlink>
      <w:r>
        <w:t xml:space="preserve">.</w:t>
      </w:r>
      <w:r>
        <w:t xml:space="preserve"> </w:t>
      </w:r>
      <w:r>
        <w:t xml:space="preserve">A Code Ocean compute capsule enabling keys-free reproduction is available at</w:t>
      </w:r>
      <w:r>
        <w:t xml:space="preserve"> </w:t>
      </w:r>
      <w:hyperlink r:id="rId77">
        <w:r>
          <w:rPr>
            <w:rStyle w:val="Hyperlink"/>
          </w:rPr>
          <w:t xml:space="preserve">https://doi.org/10.24433/CO.9524962.v1</w:t>
        </w:r>
      </w:hyperlink>
      <w:r>
        <w:t xml:space="preserve"> </w:t>
      </w:r>
      <w:r>
        <w:t xml:space="preserve">(DOI: </w:t>
      </w:r>
      <w:r>
        <w:rPr>
          <w:rStyle w:val="VerbatimChar"/>
        </w:rPr>
        <w:t xml:space="preserve">10.24433/CO.9524962.v1</w:t>
      </w:r>
      <w:r>
        <w:t xml:space="preserve">).</w:t>
      </w:r>
      <w:r>
        <w:t xml:space="preserve"> </w:t>
      </w:r>
      <w:r>
        <w:t xml:space="preserve">The dataset SHA-256 hash and analysis commit hash are recorded in the</w:t>
      </w:r>
      <w:r>
        <w:t xml:space="preserve"> </w:t>
      </w:r>
      <w:r>
        <w:t xml:space="preserve">supplementary manifest.</w:t>
      </w:r>
    </w:p>
    <w:bookmarkEnd w:id="78"/>
    <w:bookmarkStart w:id="79" w:name="acknowledgment"/>
    <w:p>
      <w:pPr>
        <w:pStyle w:val="Heading1"/>
      </w:pPr>
      <w:r>
        <w:t xml:space="preserve">Acknowledgment</w:t>
      </w:r>
    </w:p>
    <w:p>
      <w:pPr>
        <w:pStyle w:val="FirstParagraph"/>
      </w:pPr>
      <w:r>
        <w:t xml:space="preserve">The authors thank colleagues and reviewers for feedback.</w:t>
      </w:r>
    </w:p>
    <w:bookmarkEnd w:id="79"/>
    <w:bookmarkStart w:id="96" w:name="use-of-generative-ai"/>
    <w:p>
      <w:pPr>
        <w:pStyle w:val="Heading1"/>
      </w:pPr>
      <w:r>
        <w:t xml:space="preserve">Use of Generative AI</w:t>
      </w:r>
    </w:p>
    <w:p>
      <w:pPr>
        <w:pStyle w:val="FirstParagraph"/>
      </w:pPr>
      <w:r>
        <w:t xml:space="preserve">The authors acknowledge the use of artificial intelligence (AI) tools for the</w:t>
      </w:r>
      <w:r>
        <w:t xml:space="preserve"> </w:t>
      </w:r>
      <w:r>
        <w:t xml:space="preserve">preparation of this manuscript. Specifically, OpenAI’s ChatGPT (GPT-5, 2025)</w:t>
      </w:r>
      <w:r>
        <w:t xml:space="preserve"> </w:t>
      </w:r>
      <w:r>
        <w:t xml:space="preserve">and Anthropic’s Claude were employed to support tasks such as text drafting,</w:t>
      </w:r>
      <w:r>
        <w:t xml:space="preserve"> </w:t>
      </w:r>
      <w:r>
        <w:t xml:space="preserve">language polishing, formatting guidance, and code review. All outputs from</w:t>
      </w:r>
      <w:r>
        <w:t xml:space="preserve"> </w:t>
      </w:r>
      <w:r>
        <w:t xml:space="preserve">these tools were critically examined, verified, and edited by the authors to</w:t>
      </w:r>
      <w:r>
        <w:t xml:space="preserve"> </w:t>
      </w:r>
      <w:r>
        <w:t xml:space="preserve">ensure accuracy and originality.</w:t>
      </w:r>
    </w:p>
    <w:p>
      <w:pPr>
        <w:pStyle w:val="BodyText"/>
      </w:pPr>
      <w:r>
        <w:t xml:space="preserve">Samir Chincholikar</w:t>
      </w:r>
      <w:r>
        <w:t xml:space="preserve"> </w:t>
      </w:r>
      <w:r>
        <w:t xml:space="preserve">received the B.E. degree from the University of Mumbai, India, in 2013, the</w:t>
      </w:r>
      <w:r>
        <w:t xml:space="preserve"> </w:t>
      </w:r>
      <w:r>
        <w:t xml:space="preserve">M.B.A. degree in finance from the Jamnalal Bajaj Institute of Management</w:t>
      </w:r>
      <w:r>
        <w:t xml:space="preserve"> </w:t>
      </w:r>
      <w:r>
        <w:t xml:space="preserve">Studies, University of Mumbai, in 2016, and the M.S. degree in financial</w:t>
      </w:r>
      <w:r>
        <w:t xml:space="preserve"> </w:t>
      </w:r>
      <w:r>
        <w:t xml:space="preserve">engineering from the University of Illinois at Urbana-Champaign, Urbana, IL, USA,</w:t>
      </w:r>
      <w:r>
        <w:t xml:space="preserve"> </w:t>
      </w:r>
      <w:r>
        <w:t xml:space="preserve">in 2019. He has close to a decade of professional experience in quantitative risk</w:t>
      </w:r>
      <w:r>
        <w:t xml:space="preserve"> </w:t>
      </w:r>
      <w:r>
        <w:t xml:space="preserve">analytics and machine learning in the financial services industry. His research</w:t>
      </w:r>
      <w:r>
        <w:t xml:space="preserve"> </w:t>
      </w:r>
      <w:r>
        <w:t xml:space="preserve">interests include large language models, multi-agent systems, the use of AI to</w:t>
      </w:r>
      <w:r>
        <w:t xml:space="preserve"> </w:t>
      </w:r>
      <w:r>
        <w:t xml:space="preserve">automate engineering workflows, machine learning evaluation, and reproducible</w:t>
      </w:r>
      <w:r>
        <w:t xml:space="preserve"> </w:t>
      </w:r>
      <w:r>
        <w:t xml:space="preserve">empirical methods in computational finance.</w:t>
      </w:r>
    </w:p>
    <w:p>
      <w:pPr>
        <w:pStyle w:val="BodyText"/>
      </w:pPr>
      <w:r>
        <w:t xml:space="preserve">Robin Chawla</w:t>
      </w:r>
      <w:r>
        <w:t xml:space="preserve"> </w:t>
      </w:r>
      <w:r>
        <w:t xml:space="preserve">received the B.Tech. degree in computer science and engineering from the Indian</w:t>
      </w:r>
      <w:r>
        <w:t xml:space="preserve"> </w:t>
      </w:r>
      <w:r>
        <w:t xml:space="preserve">Institute of Technology (BHU), Varanasi, India. He has about eight years of</w:t>
      </w:r>
      <w:r>
        <w:t xml:space="preserve"> </w:t>
      </w:r>
      <w:r>
        <w:t xml:space="preserve">professional experience as a software engineer at a proprietary trading firm,</w:t>
      </w:r>
      <w:r>
        <w:t xml:space="preserve"> </w:t>
      </w:r>
      <w:r>
        <w:t xml:space="preserve">focused on low-latency systems, performance-oriented software, and the use of</w:t>
      </w:r>
      <w:r>
        <w:t xml:space="preserve"> </w:t>
      </w:r>
      <w:r>
        <w:t xml:space="preserve">AI to automate engineering workflows. His research interests include large</w:t>
      </w:r>
      <w:r>
        <w:t xml:space="preserve"> </w:t>
      </w:r>
      <w:r>
        <w:t xml:space="preserve">language models, multi-agent systems, machine learning for engineering</w:t>
      </w:r>
      <w:r>
        <w:t xml:space="preserve"> </w:t>
      </w:r>
      <w:r>
        <w:t xml:space="preserve">workflows and automation, and reproducible evaluation of generative AI</w:t>
      </w:r>
      <w:r>
        <w:t xml:space="preserve"> </w:t>
      </w:r>
      <w:r>
        <w:t xml:space="preserve">for decision-making.</w:t>
      </w:r>
    </w:p>
    <w:bookmarkStart w:id="95" w:name="refs"/>
    <w:bookmarkStart w:id="80" w:name="ref-bugaud2026"/>
    <w:p>
      <w:pPr>
        <w:pStyle w:val="Bibliography"/>
      </w:pPr>
      <w:r>
        <w:t xml:space="preserve">Bugaud, Z. 2026.</w:t>
      </w:r>
      <w:r>
        <w:t xml:space="preserve"> </w:t>
      </w:r>
      <w:r>
        <w:t xml:space="preserve">“Hidden Clones: Exposing and Fixing Family Bias in Vision-Language Model Ensembles.”</w:t>
      </w:r>
      <w:r>
        <w:t xml:space="preserve"> </w:t>
      </w:r>
      <w:r>
        <w:rPr>
          <w:i/>
          <w:iCs/>
        </w:rPr>
        <w:t xml:space="preserve">arXiv Preprint arXiv:2603.17111</w:t>
      </w:r>
      <w:r>
        <w:t xml:space="preserve">.</w:t>
      </w:r>
    </w:p>
    <w:bookmarkEnd w:id="80"/>
    <w:bookmarkStart w:id="81" w:name="ref-chen2025survey"/>
    <w:p>
      <w:pPr>
        <w:pStyle w:val="Bibliography"/>
      </w:pPr>
      <w:r>
        <w:t xml:space="preserve">Chen, Z., J. Li, P. Chen, et al. 2025.</w:t>
      </w:r>
      <w:r>
        <w:t xml:space="preserve"> </w:t>
      </w:r>
      <w:r>
        <w:t xml:space="preserve">“Harnessing Multiple Large Language Models: A Survey on</w:t>
      </w:r>
      <w:r>
        <w:t xml:space="preserve"> </w:t>
      </w:r>
      <w:r>
        <w:t xml:space="preserve">LLM</w:t>
      </w:r>
      <w:r>
        <w:t xml:space="preserve"> </w:t>
      </w:r>
      <w:r>
        <w:t xml:space="preserve">Ensemble.”</w:t>
      </w:r>
      <w:r>
        <w:t xml:space="preserve"> </w:t>
      </w:r>
      <w:r>
        <w:rPr>
          <w:i/>
          <w:iCs/>
        </w:rPr>
        <w:t xml:space="preserve">arXiv Preprint arXiv:2502.18036</w:t>
      </w:r>
      <w:r>
        <w:t xml:space="preserve">.</w:t>
      </w:r>
    </w:p>
    <w:bookmarkEnd w:id="81"/>
    <w:bookmarkStart w:id="82" w:name="ref-dfpe2025"/>
    <w:p>
      <w:pPr>
        <w:pStyle w:val="Bibliography"/>
      </w:pPr>
      <w:r>
        <w:t xml:space="preserve">Cohen, S., N. Goldshlager, N. Cohen-Inger, B. Shapira, and L. Rokach. 2025.</w:t>
      </w:r>
      <w:r>
        <w:t xml:space="preserve"> </w:t>
      </w:r>
      <w:r>
        <w:t xml:space="preserve">“</w:t>
      </w:r>
      <w:r>
        <w:t xml:space="preserve">DFPE</w:t>
      </w:r>
      <w:r>
        <w:t xml:space="preserve">: A Diverse Fingerprint Ensemble for Enhancing</w:t>
      </w:r>
      <w:r>
        <w:t xml:space="preserve"> </w:t>
      </w:r>
      <w:r>
        <w:t xml:space="preserve">LLM</w:t>
      </w:r>
      <w:r>
        <w:t xml:space="preserve"> </w:t>
      </w:r>
      <w:r>
        <w:t xml:space="preserve">Performance.”</w:t>
      </w:r>
      <w:r>
        <w:t xml:space="preserve"> </w:t>
      </w:r>
      <w:r>
        <w:rPr>
          <w:i/>
          <w:iCs/>
        </w:rPr>
        <w:t xml:space="preserve">arXiv Preprint arXiv:2501.17479</w:t>
      </w:r>
      <w:r>
        <w:t xml:space="preserve">.</w:t>
      </w:r>
    </w:p>
    <w:bookmarkEnd w:id="82"/>
    <w:bookmarkStart w:id="83" w:name="ref-du2023debate"/>
    <w:p>
      <w:pPr>
        <w:pStyle w:val="Bibliography"/>
      </w:pPr>
      <w:r>
        <w:t xml:space="preserve">Du, Y., S. Li, A. Torralba, J. B. Tenenbaum, and I. Mordatch. 2023.</w:t>
      </w:r>
      <w:r>
        <w:t xml:space="preserve"> </w:t>
      </w:r>
      <w:r>
        <w:t xml:space="preserve">“Improving Factuality and Reasoning in Language Models Through Multiagent Debate.”</w:t>
      </w:r>
      <w:r>
        <w:t xml:space="preserve"> </w:t>
      </w:r>
      <w:r>
        <w:rPr>
          <w:i/>
          <w:iCs/>
        </w:rPr>
        <w:t xml:space="preserve">arXiv Preprint arXiv:2305.14325</w:t>
      </w:r>
      <w:r>
        <w:t xml:space="preserve">.</w:t>
      </w:r>
    </w:p>
    <w:bookmarkEnd w:id="83"/>
    <w:bookmarkStart w:id="84" w:name="ref-efron1993"/>
    <w:p>
      <w:pPr>
        <w:pStyle w:val="Bibliography"/>
      </w:pPr>
      <w:r>
        <w:t xml:space="preserve">Efron, B., and R. J. Tibshirani. 1993.</w:t>
      </w:r>
      <w:r>
        <w:t xml:space="preserve"> </w:t>
      </w:r>
      <w:r>
        <w:rPr>
          <w:i/>
          <w:iCs/>
        </w:rPr>
        <w:t xml:space="preserve">An Introduction to the Bootstrap</w:t>
      </w:r>
      <w:r>
        <w:t xml:space="preserve">. Chapman &amp; Hall.</w:t>
      </w:r>
    </w:p>
    <w:bookmarkEnd w:id="84"/>
    <w:bookmarkStart w:id="85" w:name="ref-fleiss1971"/>
    <w:p>
      <w:pPr>
        <w:pStyle w:val="Bibliography"/>
      </w:pPr>
      <w:r>
        <w:t xml:space="preserve">Fleiss, J. L. 1971.</w:t>
      </w:r>
      <w:r>
        <w:t xml:space="preserve"> </w:t>
      </w:r>
      <w:r>
        <w:t xml:space="preserve">“Measuring Nominal Scale Agreement Among Many Raters.”</w:t>
      </w:r>
      <w:r>
        <w:t xml:space="preserve"> </w:t>
      </w:r>
      <w:r>
        <w:rPr>
          <w:i/>
          <w:iCs/>
        </w:rPr>
        <w:t xml:space="preserve">Psychol. Bull.</w:t>
      </w:r>
      <w:r>
        <w:t xml:space="preserve"> </w:t>
      </w:r>
      <w:r>
        <w:t xml:space="preserve">76 (5): 378–82.</w:t>
      </w:r>
    </w:p>
    <w:bookmarkEnd w:id="85"/>
    <w:bookmarkStart w:id="86" w:name="ref-gwet2008"/>
    <w:p>
      <w:pPr>
        <w:pStyle w:val="Bibliography"/>
      </w:pPr>
      <w:r>
        <w:t xml:space="preserve">Gwet, K. L. 2008.</w:t>
      </w:r>
      <w:r>
        <w:t xml:space="preserve"> </w:t>
      </w:r>
      <w:r>
        <w:t xml:space="preserve">“Computing Inter-Rater Reliability and Its Variance in the Presence of High Agreement.”</w:t>
      </w:r>
      <w:r>
        <w:t xml:space="preserve"> </w:t>
      </w:r>
      <w:r>
        <w:rPr>
          <w:i/>
          <w:iCs/>
        </w:rPr>
        <w:t xml:space="preserve">Brit. J. Math. Statist. Psychol.</w:t>
      </w:r>
      <w:r>
        <w:t xml:space="preserve"> </w:t>
      </w:r>
      <w:r>
        <w:t xml:space="preserve">61 (1): 29–48.</w:t>
      </w:r>
    </w:p>
    <w:bookmarkEnd w:id="86"/>
    <w:bookmarkStart w:id="87" w:name="ref-kim2025correlated"/>
    <w:p>
      <w:pPr>
        <w:pStyle w:val="Bibliography"/>
      </w:pPr>
      <w:r>
        <w:t xml:space="preserve">Kim, E., A. Garg, K. Peng, and N. Garg. 2025.</w:t>
      </w:r>
      <w:r>
        <w:t xml:space="preserve"> </w:t>
      </w:r>
      <w:r>
        <w:t xml:space="preserve">“Correlated Errors in Large Language Models.”</w:t>
      </w:r>
      <w:r>
        <w:t xml:space="preserve"> </w:t>
      </w:r>
      <w:r>
        <w:rPr>
          <w:i/>
          <w:iCs/>
        </w:rPr>
        <w:t xml:space="preserve">Proc. 42nd Int. Conf. Mach. Learn. (ICML)</w:t>
      </w:r>
      <w:r>
        <w:t xml:space="preserve">, Proc. Mach. Learn. res., vol. 267.</w:t>
      </w:r>
    </w:p>
    <w:bookmarkEnd w:id="87"/>
    <w:bookmarkStart w:id="88" w:name="ref-krippendorff2019"/>
    <w:p>
      <w:pPr>
        <w:pStyle w:val="Bibliography"/>
      </w:pPr>
      <w:r>
        <w:t xml:space="preserve">Krippendorff, K. 2019.</w:t>
      </w:r>
      <w:r>
        <w:t xml:space="preserve"> </w:t>
      </w:r>
      <w:r>
        <w:rPr>
          <w:i/>
          <w:iCs/>
        </w:rPr>
        <w:t xml:space="preserve">Content Analysis: An Introduction to Its Methodology</w:t>
      </w:r>
      <w:r>
        <w:t xml:space="preserve">. 4th ed. Sage.</w:t>
      </w:r>
    </w:p>
    <w:bookmarkEnd w:id="88"/>
    <w:bookmarkStart w:id="89" w:name="ref-landis1977"/>
    <w:p>
      <w:pPr>
        <w:pStyle w:val="Bibliography"/>
      </w:pPr>
      <w:r>
        <w:t xml:space="preserve">Landis, J. R., and G. G. Koch. 1977.</w:t>
      </w:r>
      <w:r>
        <w:t xml:space="preserve"> </w:t>
      </w:r>
      <w:r>
        <w:t xml:space="preserve">“The Measurement of Observer Agreement for Categorical Data.”</w:t>
      </w:r>
      <w:r>
        <w:t xml:space="preserve"> </w:t>
      </w:r>
      <w:r>
        <w:rPr>
          <w:i/>
          <w:iCs/>
        </w:rPr>
        <w:t xml:space="preserve">Biometrics</w:t>
      </w:r>
      <w:r>
        <w:t xml:space="preserve"> </w:t>
      </w:r>
      <w:r>
        <w:t xml:space="preserve">33 (1): 159–74.</w:t>
      </w:r>
    </w:p>
    <w:bookmarkEnd w:id="89"/>
    <w:bookmarkStart w:id="90" w:name="ref-li2024moreagents"/>
    <w:p>
      <w:pPr>
        <w:pStyle w:val="Bibliography"/>
      </w:pPr>
      <w:r>
        <w:t xml:space="preserve">Li, J., Q. Zhang, Y. Yu, Q. Fu, and D. Ye. 2024.</w:t>
      </w:r>
      <w:r>
        <w:t xml:space="preserve"> </w:t>
      </w:r>
      <w:r>
        <w:t xml:space="preserve">“More Agents Is All You Need.”</w:t>
      </w:r>
      <w:r>
        <w:t xml:space="preserve"> </w:t>
      </w:r>
      <w:r>
        <w:rPr>
          <w:i/>
          <w:iCs/>
        </w:rPr>
        <w:t xml:space="preserve">Trans. Mach. Learn. Res.</w:t>
      </w:r>
    </w:p>
    <w:bookmarkEnd w:id="90"/>
    <w:bookmarkStart w:id="91" w:name="ref-tekin2024topla"/>
    <w:p>
      <w:pPr>
        <w:pStyle w:val="Bibliography"/>
      </w:pPr>
      <w:r>
        <w:t xml:space="preserve">Tekin, S. F., F. Ilhan, T. Huang, S. Hu, and L. Liu. 2024.</w:t>
      </w:r>
      <w:r>
        <w:t xml:space="preserve"> </w:t>
      </w:r>
      <w:r>
        <w:t xml:space="preserve">“</w:t>
      </w:r>
      <w:r>
        <w:t xml:space="preserve">LLM-TOPLA</w:t>
      </w:r>
      <w:r>
        <w:t xml:space="preserve">: Efficient</w:t>
      </w:r>
      <w:r>
        <w:t xml:space="preserve"> </w:t>
      </w:r>
      <w:r>
        <w:t xml:space="preserve">LLM</w:t>
      </w:r>
      <w:r>
        <w:t xml:space="preserve"> </w:t>
      </w:r>
      <w:r>
        <w:t xml:space="preserve">Ensemble by Maximising Diversity.”</w:t>
      </w:r>
      <w:r>
        <w:t xml:space="preserve"> </w:t>
      </w:r>
      <w:r>
        <w:rPr>
          <w:i/>
          <w:iCs/>
        </w:rPr>
        <w:t xml:space="preserve">Findings Assoc. Comput. Linguistics: EMNLP</w:t>
      </w:r>
      <w:r>
        <w:t xml:space="preserve">.</w:t>
      </w:r>
    </w:p>
    <w:bookmarkEnd w:id="91"/>
    <w:bookmarkStart w:id="92" w:name="ref-wang2024moa"/>
    <w:p>
      <w:pPr>
        <w:pStyle w:val="Bibliography"/>
      </w:pPr>
      <w:r>
        <w:t xml:space="preserve">Wang, J., J. Wang, B. Athiwaratkun, C. Zhang, and J. Zou. 2024.</w:t>
      </w:r>
      <w:r>
        <w:t xml:space="preserve"> </w:t>
      </w:r>
      <w:r>
        <w:t xml:space="preserve">“Mixture-of-Agents Enhances Large Language Model Capabilities.”</w:t>
      </w:r>
      <w:r>
        <w:t xml:space="preserve"> </w:t>
      </w:r>
      <w:r>
        <w:rPr>
          <w:i/>
          <w:iCs/>
        </w:rPr>
        <w:t xml:space="preserve">arXiv Preprint arXiv:2406.04692</w:t>
      </w:r>
      <w:r>
        <w:t xml:space="preserve">.</w:t>
      </w:r>
    </w:p>
    <w:bookmarkEnd w:id="92"/>
    <w:bookmarkStart w:id="93" w:name="ref-wilson1927"/>
    <w:p>
      <w:pPr>
        <w:pStyle w:val="Bibliography"/>
      </w:pPr>
      <w:r>
        <w:t xml:space="preserve">Wilson, E. B. 1927.</w:t>
      </w:r>
      <w:r>
        <w:t xml:space="preserve"> </w:t>
      </w:r>
      <w:r>
        <w:t xml:space="preserve">“Probable Inference, the Law of Succession, and Statistical Inference.”</w:t>
      </w:r>
      <w:r>
        <w:t xml:space="preserve"> </w:t>
      </w:r>
      <w:r>
        <w:rPr>
          <w:i/>
          <w:iCs/>
        </w:rPr>
        <w:t xml:space="preserve">J. Amer. Statist. Assoc.</w:t>
      </w:r>
      <w:r>
        <w:t xml:space="preserve"> </w:t>
      </w:r>
      <w:r>
        <w:t xml:space="preserve">22 (158): 209–12.</w:t>
      </w:r>
    </w:p>
    <w:bookmarkEnd w:id="93"/>
    <w:bookmarkStart w:id="94" w:name="ref-council2026"/>
    <w:p>
      <w:pPr>
        <w:pStyle w:val="Bibliography"/>
      </w:pPr>
      <w:r>
        <w:t xml:space="preserve">Wu, S., X. Li, Y. Feng, Y. Li, Z. Wang, and R. Wang. 2026.</w:t>
      </w:r>
      <w:r>
        <w:t xml:space="preserve"> </w:t>
      </w:r>
      <w:r>
        <w:t xml:space="preserve">“Council Mode: A Heterogeneous Multi-Agent Consensus Framework for Reducing</w:t>
      </w:r>
      <w:r>
        <w:t xml:space="preserve"> </w:t>
      </w:r>
      <w:r>
        <w:t xml:space="preserve">LLM</w:t>
      </w:r>
      <w:r>
        <w:t xml:space="preserve"> </w:t>
      </w:r>
      <w:r>
        <w:t xml:space="preserve">Hallucination and Bias.”</w:t>
      </w:r>
      <w:r>
        <w:t xml:space="preserve"> </w:t>
      </w:r>
      <w:r>
        <w:rPr>
          <w:i/>
          <w:iCs/>
        </w:rPr>
        <w:t xml:space="preserve">arXiv Preprint arXiv:2604.02923</w:t>
      </w:r>
      <w:r>
        <w:t xml:space="preserve">.</w:t>
      </w:r>
    </w:p>
    <w:bookmarkEnd w:id="94"/>
    <w:bookmarkEnd w:id="95"/>
    <w:bookmarkEnd w:id="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9" Target="media/rId29.png" /><Relationship Type="http://schemas.openxmlformats.org/officeDocument/2006/relationships/image" Id="rId44" Target="media/rId44.png" /><Relationship Type="http://schemas.openxmlformats.org/officeDocument/2006/relationships/image" Id="rId52" Target="media/rId52.png" /><Relationship Type="http://schemas.openxmlformats.org/officeDocument/2006/relationships/image" Id="rId60" Target="media/rId60.png" /><Relationship Type="http://schemas.openxmlformats.org/officeDocument/2006/relationships/hyperlink" Id="rId77" Target="https://doi.org/10.24433/CO.9524962.v1" TargetMode="External" /><Relationship Type="http://schemas.openxmlformats.org/officeDocument/2006/relationships/hyperlink" Id="rId76" Target="https://github.com/samirrc2/price-of-decorrelation" TargetMode="External" /></Relationships>
</file>

<file path=word/_rels/footnotes.xml.rels><?xml version="1.0" encoding="UTF-8"?><Relationships xmlns="http://schemas.openxmlformats.org/package/2006/relationships"><Relationship Type="http://schemas.openxmlformats.org/officeDocument/2006/relationships/hyperlink" Id="rId77" Target="https://doi.org/10.24433/CO.9524962.v1" TargetMode="External" /><Relationship Type="http://schemas.openxmlformats.org/officeDocument/2006/relationships/hyperlink" Id="rId76" Target="https://github.com/samirrc2/price-of-decorrel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Price of De-correlation: Quantifying the Agreement–Cost Trade-off in Heterogeneous Large Language Model Ensembles</dc:title>
  <dc:creator>SAMIR CHINCHOLIKAR, ROBIN CHAWLA</dc:creator>
  <cp:keywords/>
  <dcterms:created xsi:type="dcterms:W3CDTF">2026-10-01T22:12:46Z</dcterms:created>
  <dcterms:modified xsi:type="dcterms:W3CDTF">2026-10-01T22:12:46Z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Large language model (LLM) ensembles are increasingly used as decision-making committees under the assumption that aggregating multiple agents improves reliability. However, ensembles composed of repeated instances of the same model may produce correlated judgments and create an appearance of consensus without genuine independence. This study quantifies the relationship between cross-provider model heterogeneity, ensemble agreement, and inference cost. In a 54,000-call primary experiment, we evaluate three five-agent ensemble configurations with increasing provider diversity on a directional financial-analysis task covering 100 equities across 12 dates. Cross-provider heterogeneity significantly reduces within-ensemble agreement, with a primary reduction of \Delta\kappa=0.336 (95% CI: 0.304–0.369), but increases inference cost by approximately 4.4\times. Because agreement is not by itself a measure of dependence between errors, we also report the correlation between agents’ error indicators, which falls by \Delta\phi=0.454 (95% CI: 0.376–0.534) while per-agent accuracy is essentially unchanged: the effect is a reduction in error dependence, not a by-product of differing capability. The capability-matched analyses suggest that capability differences alone do not explain the observed contrast, although provider remains confounded with model-specific factors. We also introduce an independent-draw measurement protocol that prevents shared sampling conditions from inflating estimated agreement. A pre-registered replication on a substantially different domain—537 expert clinical-decision items—reproduces the effect in direction: agreement falls by a smaller \Delta\kappa=0.072 (95% CI: 0.040–0.104), as predicted for a task on which agents are far more accurate, while error correlation falls by \Delta\phi=0.393 (95% CI: 0.325–0.459), close to the financial estimate. Although heterogeneity does not produce a reliable improvement in average directional accuracy, exploratory results indicate that homogeneous ensembles generate unanimous incorrect decisions at 1.84 times the rate of heterogeneous ensembles (95% CI: 1.51–2.35). These findings show that model diversity provides less-correlated judgments rather than guaranteed correctness, and offer a practical agreement–cost framework for designing LLM ensemble systems.</vt:lpwstr>
  </property>
  <property fmtid="{D5CDD505-2E9C-101B-9397-08002B2CF9AE}" pid="3" name="address">
    <vt:lpwstr>Independent Researcher (e-mail: samir.chincholikar@gmail.com, ORCID: 0009-0007-2779-3492; robin.chawla.cse14@iitbhu.ac.in, ORCID: 0009-0007-2807-3948)</vt:lpwstr>
  </property>
  <property fmtid="{D5CDD505-2E9C-101B-9397-08002B2CF9AE}" pid="4" name="bibliography">
    <vt:lpwstr/>
  </property>
</Properties>
</file>