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Cross-provider</w:t>
      </w:r>
      <w:r>
        <w:t xml:space="preserve"> </w:t>
      </w:r>
      <w:r>
        <w:t xml:space="preserve">heterogeneity significantly reduces within-ensemble agreement, with a primary</w:t>
      </w:r>
      <w:r>
        <w:t xml:space="preserve"> </w:t>
      </w:r>
      <w:r>
        <w:t xml:space="preserve">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Capability-matched analyses further show that capability differences alone do not</w:t>
      </w:r>
      <w:r>
        <w:t xml:space="preserve"> </w:t>
      </w:r>
      <w:r>
        <w:t xml:space="preserve">explain the observed contrast, although provider remains confounded with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1.51</m:t>
        </m:r>
      </m:oMath>
      <w:r>
        <w:t xml:space="preserve"> </w:t>
      </w:r>
      <w:r>
        <w:t xml:space="preserve">to</w:t>
      </w:r>
      <w:r>
        <w:t xml:space="preserve"> </w:t>
      </w:r>
      <m:oMath>
        <m:r>
          <m:t>2.35</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Large language models, multi-agent systems, model heterogeneity, interrater</w:t>
      </w:r>
      <w:r>
        <w:t xml:space="preserve"> </w:t>
      </w:r>
      <w:r>
        <w:t xml:space="preserve">agreement, algorithmic monoculture.</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magnitude of ensemble</w:t>
      </w:r>
      <w:r>
        <w:t xml:space="preserve"> </w:t>
      </w:r>
      <w:r>
        <w:t xml:space="preserve">de-correlation, the associated inference cost, and the effect of</w:t>
      </w:r>
      <w:r>
        <w:t xml:space="preserve"> </w:t>
      </w:r>
      <w:r>
        <w:t xml:space="preserve">independent-draw 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de-correlation</w:t>
      </w:r>
      <w:r>
        <w:t xml:space="preserve"> </w:t>
      </w:r>
      <w:r>
        <w:t xml:space="preserve">effect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uncertainty-quantification"/>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We therefore assess the primary contrast under three resampling schemes: equity</w:t>
      </w:r>
      <w:r>
        <w:t xml:space="preserve"> </w:t>
      </w:r>
      <w:r>
        <w:t xml:space="preserve">clustering with 100 clusters, date clustering with 12 clusters, and a two-way</w:t>
      </w:r>
      <w:r>
        <w:t xml:space="preserve"> </w:t>
      </w:r>
      <w:r>
        <w:t xml:space="preserve">procedure in which equities and dates are resampled independently and their</w:t>
      </w:r>
      <w:r>
        <w:t xml:space="preserve"> </w:t>
      </w:r>
      <w:r>
        <w:t xml:space="preserve">intersections are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de-correlates ensembles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within-ensemble de-correlation</w:t>
      </w:r>
      <w:r>
        <w:t xml:space="preserve"> </w:t>
      </w:r>
      <w:r>
        <w:t xml:space="preserve">in the evaluated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what</w:t>
      </w:r>
      <w:r>
        <w:t xml:space="preserve"> </w:t>
      </w:r>
      <w:r>
        <w:t xml:space="preserve">“decorrelation”</w:t>
      </w:r>
      <w:r>
        <w:t xml:space="preserve"> </w:t>
      </w:r>
      <w:r>
        <w:t xml:space="preserve">denotes</w:t>
      </w:r>
    </w:p>
    <w:p>
      <w:pPr>
        <w:pStyle w:val="FirstParagraph"/>
      </w:pPr>
      <w:r>
        <w:t xml:space="preserve">Fleiss’</w:t>
      </w:r>
      <w:r>
        <w:t xml:space="preserve"> </w:t>
      </w:r>
      <m:oMath>
        <m:r>
          <m:t>κ</m:t>
        </m:r>
      </m:oMath>
      <w:r>
        <w:t xml:space="preserve"> </w:t>
      </w:r>
      <w:r>
        <w:t xml:space="preserve">measures agreement among categorical outputs without regard to</w:t>
      </w:r>
      <w:r>
        <w:t xml:space="preserve"> </w:t>
      </w:r>
      <w:r>
        <w:t xml:space="preserve">whether those outputs are correct. It therefore does not directly measure</w:t>
      </w:r>
      <w:r>
        <w:t xml:space="preserve"> </w:t>
      </w:r>
      <w:r>
        <w:t xml:space="preserve">dependence between model errors. Because this article uses the term</w:t>
      </w:r>
      <w:r>
        <w:t xml:space="preserve"> </w:t>
      </w:r>
      <w:r>
        <w:t xml:space="preserve">decorrelation, we distinguish five related concepts: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w:t>
      </w:r>
      <w:r>
        <w:t xml:space="preserve"> </w:t>
      </w:r>
      <m:oMath>
        <m:r>
          <m:t>κ</m:t>
        </m:r>
      </m:oMath>
      <w:r>
        <w:t xml:space="preserve"> </w:t>
      </w:r>
      <w:r>
        <w:t xml:space="preserve">and constitutes the primary</w:t>
      </w:r>
      <w:r>
        <w:t xml:space="preserve"> </w:t>
      </w:r>
      <w:r>
        <w:t xml:space="preserve">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 This is a</w:t>
      </w:r>
      <w:r>
        <w:t xml:space="preserve"> </w:t>
      </w:r>
      <w:r>
        <w:t xml:space="preserve">property of the measurement procedure rather than of the models.</w:t>
      </w:r>
    </w:p>
    <w:p>
      <w:pPr>
        <w:numPr>
          <w:ilvl w:val="0"/>
          <w:numId w:val="1003"/>
        </w:numPr>
      </w:pPr>
      <w:r>
        <w:rPr>
          <w:i/>
          <w:iCs/>
        </w:rPr>
        <w:t xml:space="preserve">Model diversity</w:t>
      </w:r>
      <w:r>
        <w:t xml:space="preserve">: differences in model weights, architecture,</w:t>
      </w:r>
      <w:r>
        <w:t xml:space="preserve"> </w:t>
      </w:r>
      <w:r>
        <w:t xml:space="preserve">training data, or related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experimental configurations vary provider composition,</w:t>
      </w:r>
      <w:r>
        <w:t xml:space="preserve"> </w:t>
      </w:r>
      <w:r>
        <w:t xml:space="preserve">although provider remains bundled with other model-specific characteristics.</w:t>
      </w:r>
    </w:p>
    <w:p>
      <w:pPr>
        <w:pStyle w:val="FirstParagraph"/>
      </w:pPr>
      <w:r>
        <w:t xml:space="preserve">To determine whether heterogeneity reduces error dependence rather than only</w:t>
      </w:r>
      <w:r>
        <w:t xml:space="preserve"> </w:t>
      </w:r>
      <w:r>
        <w:t xml:space="preserve">output agreement, we compute</w:t>
      </w:r>
      <w:r>
        <w:t xml:space="preserve"> </w:t>
      </w:r>
      <m:oMath>
        <m:r>
          <m:t>ϕ</m:t>
        </m:r>
      </m:oMath>
      <w:r>
        <w:t xml:space="preserve"> </w:t>
      </w:r>
      <w:r>
        <w:t xml:space="preserve">between binary error indicators for every</w:t>
      </w:r>
      <w:r>
        <w:t xml:space="preserve"> </w:t>
      </w:r>
      <w:r>
        <w:t xml:space="preserve">pair of agents within an ensemble cell. Error 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The ordering is therefore preserved under both</w:t>
      </w:r>
      <w:r>
        <w:t xml:space="preserve"> </w:t>
      </w:r>
      <w:r>
        <w:t xml:space="preserve">treatments of HOLD. Mean error rates remain similar across configurations, so the</w:t>
      </w:r>
      <w:r>
        <w:t xml:space="preserve"> </w:t>
      </w:r>
      <w:r>
        <w:t xml:space="preserve">decline reflects lower error dependence rather than differences in average</w:t>
      </w:r>
      <w:r>
        <w:t xml:space="preserve"> </w:t>
      </w:r>
      <w:r>
        <w:t xml:space="preserve">correctness. Throughout this article, decorrelation refers specifically to the</w:t>
      </w:r>
      <w:r>
        <w:t xml:space="preserve"> </w:t>
      </w:r>
      <w:r>
        <w:t xml:space="preserve">reduction in error dependence measured by</w:t>
      </w:r>
      <w:r>
        <w:t xml:space="preserve"> </w:t>
      </w:r>
      <m:oMath>
        <m:r>
          <m:t>ϕ</m:t>
        </m:r>
      </m:oMath>
      <w:r>
        <w:t xml:space="preserve">.</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unique per-agent seed,</w:t>
            </w:r>
            <w:r>
              <w:br/>
            </w:r>
            <w:r>
              <w:rPr>
                <w:rStyle w:val="VerbatimChar"/>
              </w:rPr>
              <w:t xml:space="preserve"># independent draws</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independent draw</w:t>
            </w:r>
          </w:p>
        </w:tc>
      </w:tr>
    </w:tbl>
    <w:p>
      <w:pPr>
        <w:pStyle w:val="ImageCaption"/>
      </w:pPr>
      <w:r>
        <w:t xml:space="preserve">The one-line fix. The pilot derived the seed per run, so all five</w:t>
      </w:r>
      <w:r>
        <w:t xml:space="preserve"> </w:t>
      </w:r>
      <w:r>
        <w:t xml:space="preserve">same-model agents shared a sampling path; the study derives a distinct</w:t>
      </w:r>
      <w:r>
        <w:t xml:space="preserve"> </w:t>
      </w:r>
      <w:r>
        <w:t xml:space="preserve">integer-safe seed per agent, restoring independent draws from the same model.</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de-correlation effect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regarding the source of ensemble de-correlation.</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5.9</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 the</w:t>
      </w:r>
      <w:r>
        <w:t xml:space="preserve"> </w:t>
      </w:r>
      <w:r>
        <w:t xml:space="preserve">source of ensemble de-correlation.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de-correlation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1.51</m:t>
        </m:r>
        <m:r>
          <m:rPr>
            <m:sty m:val="p"/>
          </m:rPr>
          <m:t>,</m:t>
        </m:r>
        <m:r>
          <m:t> </m:t>
        </m:r>
        <m:r>
          <m:t>2.35</m:t>
        </m:r>
        <m:r>
          <m:rPr>
            <m:sty m:val="p"/>
          </m:rPr>
          <m:t>]</m:t>
        </m:r>
      </m:oMath>
      <w:r>
        <w:t xml:space="preserve"> </w:t>
      </w:r>
      <w:r>
        <w:t xml:space="preserve">for this ratio, which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This replication supports the observed ordering across two substantially</w:t>
      </w:r>
      <w:r>
        <w:t xml:space="preserve"> </w:t>
      </w:r>
      <w:r>
        <w:t xml:space="preserve">different domains. It does not establish that heterogeneity improves predictive</w:t>
      </w:r>
      <w:r>
        <w:t xml:space="preserve"> </w:t>
      </w:r>
      <w:r>
        <w:t xml:space="preserve">accuracy.</w:t>
      </w:r>
    </w:p>
    <w:bookmarkStart w:id="66" w:name="selective-prediction"/>
    <w:p>
      <w:pPr>
        <w:pStyle w:val="Heading4"/>
      </w:pPr>
      <w:r>
        <w:t xml:space="preserve">Selective prediction</w:t>
      </w:r>
    </w:p>
    <w:p>
      <w:pPr>
        <w:pStyle w:val="FirstParagraph"/>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de-correlation is largely preserved when model tier is held approximately</w:t>
      </w:r>
      <w:r>
        <w:t xml:space="preserve"> </w:t>
      </w:r>
      <w:r>
        <w:t xml:space="preserve">constant, indicating that capability differences alone do not account for the</w:t>
      </w:r>
      <w:r>
        <w:t xml:space="preserve"> </w:t>
      </w:r>
      <w:r>
        <w:t xml:space="preserve">primary contrast. Provider nevertheless remains confounded with other</w:t>
      </w:r>
      <w:r>
        <w:t xml:space="preserve"> </w:t>
      </w:r>
      <w:r>
        <w:t xml:space="preserve">model-specific characteristics and is not identified as an independent causal</w:t>
      </w:r>
      <w:r>
        <w:t xml:space="preserve"> </w:t>
      </w:r>
      <w:r>
        <w:t xml:space="preserve">factor. The capability-matched control therefore reduces, but does not eliminate,</w:t>
      </w:r>
      <w:r>
        <w:t xml:space="preserve"> </w:t>
      </w:r>
      <w:r>
        <w:t xml:space="preserve">the capability-tier confound,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rPr>
            <m:sty m:val="p"/>
          </m:rP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article does not propose a new ensemble algorithm, so a direct 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contribution is therefore a measurement framework that separates output</w:t>
      </w:r>
      <w:r>
        <w:t xml:space="preserve"> </w:t>
      </w:r>
      <w:r>
        <w:t xml:space="preserve">agreement from error correlation, controls the shared-seed artifact observed in</w:t>
      </w:r>
      <w:r>
        <w:t xml:space="preserve"> </w:t>
      </w:r>
      <w:r>
        <w:t xml:space="preserve">repeated model sampling, quantifies uncertainty, and incorporates inference cost.</w:t>
      </w:r>
      <w:r>
        <w:t xml:space="preserve"> </w:t>
      </w:r>
      <w:r>
        <w:t xml:space="preserve">These measurements complement performance-based evaluations rather than</w:t>
      </w:r>
      <w:r>
        <w:t xml:space="preserve"> </w:t>
      </w:r>
      <w:r>
        <w:t xml:space="preserve">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control, these findings support provider identity as</w:t>
      </w:r>
      <w:r>
        <w:t xml:space="preserve"> </w:t>
      </w:r>
      <w:r>
        <w:t xml:space="preserve">an important source of behavioral similarity within LLM ensembles.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5.10</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de-correlation</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5.9</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p>
      <w:pPr>
        <w:pStyle w:val="BodyText"/>
      </w:pPr>
      <w:r>
        <w:rPr>
          <w:b/>
          <w:bCs/>
        </w:rPr>
        <w:t xml:space="preserve">Generalization.</w:t>
      </w:r>
      <w:r>
        <w:t xml:space="preserve"> </w:t>
      </w:r>
      <w:r>
        <w:t xml:space="preserve">The findings are specific to five-agent ensembles, three provider mixtures, the</w:t>
      </w:r>
      <w:r>
        <w:t xml:space="preserve"> </w:t>
      </w:r>
      <w:r>
        <w:t xml:space="preserve">selected models, and the tested heterogeneity levels. Different ensemble sizes,</w:t>
      </w:r>
      <w:r>
        <w:t xml:space="preserve"> </w:t>
      </w:r>
      <w:r>
        <w:t xml:space="preserve">provider allocations, aggregation rules, model tiers, prompts, or cost</w:t>
      </w:r>
      <w:r>
        <w:t xml:space="preserve"> </w:t>
      </w:r>
      <w:r>
        <w:t xml:space="preserve">structures may produce different agreement–cost frontiers. In addition, lower</w:t>
      </w:r>
      <w:r>
        <w:t xml:space="preserve"> </w:t>
      </w:r>
      <w:r>
        <w:t xml:space="preserve">agreement is not inherently beneficial; its value depends on whether</w:t>
      </w:r>
      <w:r>
        <w:t xml:space="preserve"> </w:t>
      </w:r>
      <w:r>
        <w:t xml:space="preserve">disagreement improves a relevant downstream outcome. Generalization therefore</w:t>
      </w:r>
      <w:r>
        <w:t xml:space="preserve"> </w:t>
      </w:r>
      <w:r>
        <w:t xml:space="preserve">requires replication across alternative ensemble compositions and decision</w:t>
      </w:r>
      <w:r>
        <w:t xml:space="preserve"> </w:t>
      </w:r>
      <w:r>
        <w:t xml:space="preserve">tasks.</w:t>
      </w:r>
    </w:p>
    <w:bookmarkEnd w:id="74"/>
    <w:bookmarkStart w:id="75" w:name="conclusion"/>
    <w:p>
      <w:pPr>
        <w:pStyle w:val="Heading1"/>
      </w:pPr>
      <w:r>
        <w:t xml:space="preserve">Conclusion</w:t>
      </w:r>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indicating that capability differences alone do not account for</w:t>
      </w:r>
      <w:r>
        <w:t xml:space="preserve"> </w:t>
      </w:r>
      <w:r>
        <w:t xml:space="preserve">the observed contrast. Provider nevertheless remains confounded with other</w:t>
      </w:r>
      <w:r>
        <w:t xml:space="preserve"> </w:t>
      </w:r>
      <w:r>
        <w:t xml:space="preserve">model-specific characteristics and is not identified as an independent causal</w:t>
      </w:r>
      <w:r>
        <w:t xml:space="preserve"> </w:t>
      </w:r>
      <w:r>
        <w:t xml:space="preserve">factor.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de-correlation effect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yield</w:t>
      </w:r>
      <w:r>
        <w:t xml:space="preserve"> </w:t>
      </w:r>
      <w:r>
        <w:t xml:space="preserve">less-correlated judgments,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7"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6"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7"/>
    <w:bookmarkStart w:id="88"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8"/>
    <w:bookmarkStart w:id="89"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9"/>
    <w:bookmarkStart w:id="90"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0"/>
    <w:bookmarkStart w:id="91"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1"/>
    <w:bookmarkStart w:id="92"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2"/>
    <w:bookmarkStart w:id="93"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3"/>
    <w:bookmarkStart w:id="94"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4"/>
    <w:bookmarkStart w:id="95"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2026-10-02T02:37:47Z</dcterms:created>
  <dcterms:modified xsi:type="dcterms:W3CDTF">2026-10-02T02:37:47Z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Capability-matched analyses further show that capability differences alone do not explain the observed contrast, although provider remains confounded with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1.51 to 2.35).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