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1.51</m:t>
        </m:r>
      </m:oMath>
      <w:r>
        <w:t xml:space="preserve"> </w:t>
      </w:r>
      <w:r>
        <w:t xml:space="preserve">to</w:t>
      </w:r>
      <w:r>
        <w:t xml:space="preserve"> </w:t>
      </w:r>
      <m:oMath>
        <m:r>
          <m:t>2.35</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among categorical outputs without regard to</w:t>
      </w:r>
      <w:r>
        <w:t xml:space="preserve"> </w:t>
      </w:r>
      <w:r>
        <w:t xml:space="preserve">whether those outputs are correct. It therefore does not directly measure</w:t>
      </w:r>
      <w:r>
        <w:t xml:space="preserve"> </w:t>
      </w:r>
      <w:r>
        <w:t xml:space="preserve">dependence between model errors. Because this article uses the term</w:t>
      </w:r>
      <w:r>
        <w:t xml:space="preserve"> </w:t>
      </w:r>
      <w:r>
        <w:t xml:space="preserve">decorrelation, we distinguish five related concepts: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w:t>
      </w:r>
      <w:r>
        <w:t xml:space="preserve"> </w:t>
      </w:r>
      <m:oMath>
        <m:r>
          <m:t>κ</m:t>
        </m:r>
      </m:oMath>
      <w:r>
        <w:t xml:space="preserve"> </w:t>
      </w:r>
      <w:r>
        <w:t xml:space="preserve">and constitutes the primary</w:t>
      </w:r>
      <w:r>
        <w:t xml:space="preserve"> </w:t>
      </w:r>
      <w:r>
        <w:t xml:space="preserve">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 This is a</w:t>
      </w:r>
      <w:r>
        <w:t xml:space="preserve"> </w:t>
      </w:r>
      <w:r>
        <w:t xml:space="preserve">property of the measurement procedure rather than of the models.</w:t>
      </w:r>
    </w:p>
    <w:p>
      <w:pPr>
        <w:numPr>
          <w:ilvl w:val="0"/>
          <w:numId w:val="1003"/>
        </w:numPr>
      </w:pPr>
      <w:r>
        <w:rPr>
          <w:i/>
          <w:iCs/>
        </w:rPr>
        <w:t xml:space="preserve">Model diversity</w:t>
      </w:r>
      <w:r>
        <w:t xml:space="preserve">: differences in model weights, architecture,</w:t>
      </w:r>
      <w:r>
        <w:t xml:space="preserve"> </w:t>
      </w:r>
      <w:r>
        <w:t xml:space="preserve">training data, or related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experimental configurations vary provider composition,</w:t>
      </w:r>
      <w:r>
        <w:t xml:space="preserve"> </w:t>
      </w:r>
      <w:r>
        <w:t xml:space="preserve">although provider remains bundled with other model-specific characteristics.</w:t>
      </w:r>
    </w:p>
    <w:p>
      <w:pPr>
        <w:pStyle w:val="FirstParagraph"/>
      </w:pPr>
      <w:r>
        <w:t xml:space="preserve">To determine whether heterogeneity reduces error dependence rather than only</w:t>
      </w:r>
      <w:r>
        <w:t xml:space="preserve"> </w:t>
      </w:r>
      <w:r>
        <w:t xml:space="preserve">output agreement, we compute</w:t>
      </w:r>
      <w:r>
        <w:t xml:space="preserve"> </w:t>
      </w:r>
      <m:oMath>
        <m:r>
          <m:t>ϕ</m:t>
        </m:r>
      </m:oMath>
      <w:r>
        <w:t xml:space="preserve"> </w:t>
      </w:r>
      <w:r>
        <w:t xml:space="preserve">between binary error indicators for every</w:t>
      </w:r>
      <w:r>
        <w:t xml:space="preserve"> </w:t>
      </w:r>
      <w:r>
        <w:t xml:space="preserve">pair of agents within an ensemble cell. Error 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The ordering is therefore preserved under both</w:t>
      </w:r>
      <w:r>
        <w:t xml:space="preserve"> </w:t>
      </w:r>
      <w:r>
        <w:t xml:space="preserve">treatments of HOLD. Mean error rates remain similar across configurations, so the</w:t>
      </w:r>
      <w:r>
        <w:t xml:space="preserve"> </w:t>
      </w:r>
      <w:r>
        <w:t xml:space="preserve">decline reflects lower error dependence rather than differences in average</w:t>
      </w:r>
      <w:r>
        <w:t xml:space="preserve"> </w:t>
      </w:r>
      <w:r>
        <w:t xml:space="preserve">correctness. Throughout this article, decorrelation refers specifically to the</w:t>
      </w:r>
      <w:r>
        <w:t xml:space="preserve"> </w:t>
      </w:r>
      <w:r>
        <w:t xml:space="preserve">reduction in error dependence measured by</w:t>
      </w:r>
      <w:r>
        <w:t xml:space="preserve"> </w:t>
      </w:r>
      <m:oMath>
        <m:r>
          <m:t>ϕ</m:t>
        </m:r>
      </m:oMath>
      <w:r>
        <w:t xml:space="preserve">.</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this ratio, which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2026-10-02T02:29:37Z</dcterms:created>
  <dcterms:modified xsi:type="dcterms:W3CDTF">2026-10-02T02:29:37Z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1.51 to 2.35).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