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Capability-matched analyses further show that capability differences alone do not</w:t>
      </w:r>
      <w:r>
        <w:t xml:space="preserve"> </w:t>
      </w:r>
      <w:r>
        <w:t xml:space="preserve">explain the observed contrast, although provider remains confounded with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Algorithmic monoculture, inter-rater agreement, large language models, model</w:t>
      </w:r>
      <w:r>
        <w:t xml:space="preserve"> </w:t>
      </w:r>
      <w:r>
        <w:t xml:space="preserve">heterogeneity, 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effect of</w:t>
      </w:r>
      <w:r>
        <w:t xml:space="preserve"> </w:t>
      </w:r>
      <w:r>
        <w:t xml:space="preserve">cross-provider heterogeneity on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cross-provider heterogeneity affects</w:t>
      </w:r>
      <w:r>
        <w:t xml:space="preserve"> </w:t>
      </w:r>
      <w:r>
        <w:t xml:space="preserve">agreement, statistical uncertainty, and inference cost.</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We therefore assess the primary contrast under three resampling schemes: equity</w:t>
      </w:r>
      <w:r>
        <w:t xml:space="preserve"> </w:t>
      </w:r>
      <w:r>
        <w:t xml:space="preserve">clustering with 100 clusters, date clustering with 12 clusters, and a two-way</w:t>
      </w:r>
      <w:r>
        <w:t xml:space="preserve"> </w:t>
      </w:r>
      <w:r>
        <w:t xml:space="preserve">procedure in which equities and dates are resampled independently and their</w:t>
      </w:r>
      <w:r>
        <w:t xml:space="preserve"> </w:t>
      </w:r>
      <w:r>
        <w:t xml:space="preserve">intersections are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reduces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Clusters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w:r>
              <w:t xml:space="preserve">1200</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Within each evaluation cell, that is each (configuration,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This replication supports the observed ordering across two substantially</w:t>
      </w:r>
      <w:r>
        <w:t xml:space="preserve"> </w:t>
      </w:r>
      <w:r>
        <w:t xml:space="preserve">different domains. It does not establish that heterogeneity improves predictive</w:t>
      </w:r>
      <w:r>
        <w:t xml:space="preserve"> </w:t>
      </w:r>
      <w:r>
        <w:t xml:space="preserve">accuracy.</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indicating that capability differences alone do not account for the</w:t>
      </w:r>
      <w:r>
        <w:t xml:space="preserve"> </w:t>
      </w:r>
      <w:r>
        <w:t xml:space="preserve">primary contrast. Provider nevertheless remains confounded with other</w:t>
      </w:r>
      <w:r>
        <w:t xml:space="preserve"> </w:t>
      </w:r>
      <w:r>
        <w:t xml:space="preserve">model-specific characteristics and is not identified as an independent causal</w:t>
      </w:r>
      <w:r>
        <w:t xml:space="preserve"> </w:t>
      </w:r>
      <w:r>
        <w:t xml:space="preserve">factor. The capability-matched control therefore reduces, but does not eliminate,</w:t>
      </w:r>
      <w:r>
        <w:t xml:space="preserve"> </w:t>
      </w:r>
      <w:r>
        <w:t xml:space="preserve">the capability-tier confound, because matching is approximate and covers only two</w:t>
      </w:r>
      <w:r>
        <w:t xml:space="preserve"> </w:t>
      </w:r>
      <w:r>
        <w:t xml:space="preserve">providers.</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article does not propose a new ensemble algorithm, so a direct 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contribution is therefore a measurement framework that separates output</w:t>
      </w:r>
      <w:r>
        <w:t xml:space="preserve"> </w:t>
      </w:r>
      <w:r>
        <w:t xml:space="preserve">agreement from error correlation, controls the shared-seed artifact observed in</w:t>
      </w:r>
      <w:r>
        <w:t xml:space="preserve"> </w:t>
      </w:r>
      <w:r>
        <w:t xml:space="preserve">repeated model sampling, quantifies uncertainty, and incorporates inference cost.</w:t>
      </w:r>
      <w:r>
        <w:t xml:space="preserve"> </w:t>
      </w:r>
      <w:r>
        <w:t xml:space="preserve">These measurements complement performance-based evaluations rather than</w:t>
      </w:r>
      <w:r>
        <w:t xml:space="preserve"> </w:t>
      </w:r>
      <w:r>
        <w:t xml:space="preserve">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effect, indicating that capability differences alone do not account for</w:t>
      </w:r>
      <w:r>
        <w:t xml:space="preserve"> </w:t>
      </w:r>
      <w:r>
        <w:t xml:space="preserve">the observed contrast. Provider nevertheless remains confounded with other</w:t>
      </w:r>
      <w:r>
        <w:t xml:space="preserve"> </w:t>
      </w:r>
      <w:r>
        <w:t xml:space="preserve">model-specific characteristics and is not identified as an independent causal</w:t>
      </w:r>
      <w:r>
        <w:t xml:space="preserve"> </w:t>
      </w:r>
      <w:r>
        <w:t xml:space="preserve">factor.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54</w:t>
      </w:r>
      <w:r>
        <w:t xml:space="preserve">,</w:t>
      </w:r>
      <w:r>
        <w:t xml:space="preserve">000 logged</w:t>
      </w:r>
      <w:r>
        <w:t xml:space="preserve"> </w:t>
      </w:r>
      <w:r>
        <w:t xml:space="preserve">calls with the per-call model, seed, prompt hash, timestamp, token usage, cost,</w:t>
      </w:r>
      <w:r>
        <w:t xml:space="preserve"> </w:t>
      </w:r>
      <w:r>
        <w:t xml:space="preserve">and raw response; (ii) the pre-registration materials and the cryptographic</w:t>
      </w:r>
      <w:r>
        <w:t xml:space="preserve"> </w:t>
      </w:r>
      <w:r>
        <w:t xml:space="preserve">freeze receipt; (iii) the deterministic, seeded analysis 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97"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96"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1"/>
    <w:bookmarkStart w:id="82"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2"/>
    <w:bookmarkStart w:id="83"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3"/>
    <w:bookmarkStart w:id="84"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4"/>
    <w:bookmarkStart w:id="85"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5"/>
    <w:bookmarkStart w:id="86"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6"/>
    <w:bookmarkStart w:id="87"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7"/>
    <w:bookmarkStart w:id="88"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88"/>
    <w:bookmarkStart w:id="89"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89"/>
    <w:bookmarkStart w:id="90"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0"/>
    <w:bookmarkStart w:id="91"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1"/>
    <w:bookmarkStart w:id="92"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2"/>
    <w:bookmarkStart w:id="93"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3"/>
    <w:bookmarkStart w:id="94"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4"/>
    <w:bookmarkStart w:id="95"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5"/>
    <w:bookmarkEnd w:id="96"/>
    <w:bookmarkEnd w:id="9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2026-10-02T15:01:58Z</dcterms:created>
  <dcterms:modified xsi:type="dcterms:W3CDTF">2026-10-02T15:01:58Z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Capability-matched analyses further show that capability differences alone do not explain the observed contrast, although provider remains confounded with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