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multiple-choice items from the MMLU</w:t>
      </w:r>
      <w:r>
        <w:t xml:space="preserve"> </w:t>
      </w:r>
      <w:r>
        <w:t xml:space="preserve">professional-medicine and clinical-knowledge subsets </w:t>
      </w:r>
      <w:r>
        <w:t xml:space="preserve">(Hendrycks et al. 2021)</w:t>
      </w:r>
      <w:r>
        <w:t xml:space="preserve">.</w:t>
      </w:r>
      <w:r>
        <w:t xml:space="preserve"> </w:t>
      </w:r>
      <w:r>
        <w:t xml:space="preserve">Each item presents a medical or clinical question, often as a short patient</w:t>
      </w:r>
      <w:r>
        <w:t xml:space="preserve"> </w:t>
      </w:r>
      <w:r>
        <w:t xml:space="preserve">scenario describing symptoms, medical history, examination findings, or test</w:t>
      </w:r>
      <w:r>
        <w:t xml:space="preserve"> </w:t>
      </w:r>
      <w:r>
        <w:t xml:space="preserve">results, and asks the model to identify the most appropriate diagnosis,</w:t>
      </w:r>
      <w:r>
        <w:t xml:space="preserve"> </w:t>
      </w:r>
      <w:r>
        <w:t xml:space="preserve">treatment, next clinical step, or factual medical answer. Four candidate answers</w:t>
      </w:r>
      <w:r>
        <w:t xml:space="preserve"> </w:t>
      </w:r>
      <w:r>
        <w:t xml:space="preserve">are provided and one is designated correct by the benchmark. For example, an item</w:t>
      </w:r>
      <w:r>
        <w:t xml:space="preserve"> </w:t>
      </w:r>
      <w:r>
        <w:t xml:space="preserve">may describe a patient with a particular set of symptoms and laboratory findings</w:t>
      </w:r>
      <w:r>
        <w:t xml:space="preserve"> </w:t>
      </w:r>
      <w:r>
        <w:t xml:space="preserve">and ask which diagnosis or management option is most appropriate. The four</w:t>
      </w:r>
      <w:r>
        <w:t xml:space="preserve"> </w:t>
      </w:r>
      <w:r>
        <w:t xml:space="preserve">response options correspond to alternative diagnoses, treatments, or clinical</w:t>
      </w:r>
      <w:r>
        <w:t xml:space="preserve"> </w:t>
      </w:r>
      <w:r>
        <w:t xml:space="preserve">actions. Each of the five agents independently selects one of the four choices.</w:t>
      </w:r>
      <w:r>
        <w:t xml:space="preserve"> </w:t>
      </w:r>
      <w:r>
        <w:t xml:space="preserve">Agreement is therefore measured across the agents’ selected answers, while error</w:t>
      </w:r>
      <w:r>
        <w:t xml:space="preserve"> </w:t>
      </w:r>
      <w:r>
        <w:t xml:space="preserve">correlation is measured by whether agents are incorrect on the same items.</w:t>
      </w:r>
      <w:r>
        <w:t xml:space="preserve"> </w:t>
      </w:r>
      <w:r>
        <w:t xml:space="preserve">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2026-10-04T22:17:40Z</dcterms:created>
  <dcterms:modified xsi:type="dcterms:W3CDTF">2026-10-04T22:17:40Z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