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Within the evaluated configurations, greater cross-provider</w:t>
      </w:r>
      <w:r>
        <w:t xml:space="preserve"> </w:t>
      </w:r>
      <w:r>
        <w:t xml:space="preserve">heterogeneity is associated with significantly lower within-ensemble agreement,</w:t>
      </w:r>
      <w:r>
        <w:t xml:space="preserve"> </w:t>
      </w:r>
      <w:r>
        <w:t xml:space="preserve">with a primary 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The contrast remains substantial under approximate capability</w:t>
      </w:r>
      <w:r>
        <w:t xml:space="preserve"> </w:t>
      </w:r>
      <w:r>
        <w:t xml:space="preserve">matching, although that control does not isolate provider from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Ensemble learning, error correlation, large language models, model heterogeneity,</w:t>
      </w:r>
      <w:r>
        <w:t xml:space="preserve"> </w:t>
      </w:r>
      <w:r>
        <w:t xml:space="preserve">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is associated with lower within-ensemble</w:t>
      </w:r>
      <w:r>
        <w:t xml:space="preserve"> </w:t>
      </w:r>
      <w:r>
        <w:t xml:space="preserve">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association</w:t>
      </w:r>
      <w:r>
        <w:t xml:space="preserve"> </w:t>
      </w:r>
      <w:r>
        <w:t xml:space="preserve">between cross-provider heterogeneity and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agreement, statistical uncertainty, and</w:t>
      </w:r>
      <w:r>
        <w:t xml:space="preserve"> </w:t>
      </w:r>
      <w:r>
        <w:t xml:space="preserve">inference cost vary across configurations with differing cross-provider</w:t>
      </w:r>
      <w:r>
        <w:t xml:space="preserve"> </w:t>
      </w:r>
      <w:r>
        <w:t xml:space="preserve">heterogeneity.</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p>
    <w:p>
      <w:pPr>
        <w:pStyle w:val="BodyText"/>
      </w:pPr>
      <m:oMathPara>
        <m:oMathParaPr>
          <m:jc m:val="center"/>
        </m:oMathParaPr>
        <m:oMath>
          <m:eqArr>
            <m:e>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&amp;</m:t>
              </m:r>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e>
            <m:e>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t>&amp;</m:t>
              </m:r>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r>
                <m:rPr>
                  <m:sty m:val="p"/>
                </m:rPr>
                <m:t>.</m:t>
              </m:r>
            </m:e>
          </m:eqArr>
        </m:oMath>
      </m:oMathPara>
    </w:p>
    <w:p>
      <w:pPr>
        <w:pStyle w:val="FirstParagraph"/>
      </w:pPr>
      <w:r>
        <w:t xml:space="preserve">Positive values indicate that configurations with greater cross-provider</w:t>
      </w:r>
      <w:r>
        <w:t xml:space="preserve"> </w:t>
      </w:r>
      <w:r>
        <w:t xml:space="preserve">heterogeneity show lower 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subsec:uncertainty"/>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Because equity and analysis date are crossed rather than nested, we additionally</w:t>
      </w:r>
      <w:r>
        <w:t xml:space="preserve"> </w:t>
      </w:r>
      <w:r>
        <w:t xml:space="preserve">assess uncertainty under a two-way resampling procedure. This follows the</w:t>
      </w:r>
      <w:r>
        <w:t xml:space="preserve"> </w:t>
      </w:r>
      <w:r>
        <w:t xml:space="preserve">crossed-resampling principle of the pigeonhole</w:t>
      </w:r>
      <w:r>
        <w:t xml:space="preserve"> </w:t>
      </w:r>
      <w:r>
        <w:t xml:space="preserve">bootstrap </w:t>
      </w:r>
      <w:r>
        <w:t xml:space="preserve">(Owen 2007)</w:t>
      </w:r>
      <w:r>
        <w:t xml:space="preserve">, in which the two margins are resampled</w:t>
      </w:r>
      <w:r>
        <w:t xml:space="preserve"> </w:t>
      </w:r>
      <w:r>
        <w:t xml:space="preserve">separately, and is motivated by the broader multiway-inference literature for</w:t>
      </w:r>
      <w:r>
        <w:t xml:space="preserve"> </w:t>
      </w:r>
      <w:r>
        <w:t xml:space="preserve">non-nested clustering dimensions </w:t>
      </w:r>
      <w:r>
        <w:t xml:space="preserve">(Cameron et al. 2011)</w:t>
      </w:r>
      <w:r>
        <w:t xml:space="preserve">; it is not an</w:t>
      </w:r>
      <w:r>
        <w:t xml:space="preserve"> </w:t>
      </w:r>
      <w:r>
        <w:t xml:space="preserve">implementation of a multiway variance estimator. We therefore assess the primary</w:t>
      </w:r>
      <w:r>
        <w:t xml:space="preserve"> </w:t>
      </w:r>
      <w:r>
        <w:t xml:space="preserve">contrast under three resampling schemes: equity clustering over 100 equities,</w:t>
      </w:r>
      <w:r>
        <w:t xml:space="preserve"> </w:t>
      </w:r>
      <w:r>
        <w:t xml:space="preserve">date clustering over 12 dates, and a two-way procedure in which equities and</w:t>
      </w:r>
      <w:r>
        <w:t xml:space="preserve"> </w:t>
      </w:r>
      <w:r>
        <w:t xml:space="preserve">dates are resampled independently, with multiplicity preserved on both margins,</w:t>
      </w:r>
      <w:r>
        <w:t xml:space="preserve"> </w:t>
      </w:r>
      <w:r>
        <w:t xml:space="preserve">and their sampled intersections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The released</w:t>
      </w:r>
      <w:r>
        <w:t xml:space="preserve"> </w:t>
      </w:r>
      <w:r>
        <w:t xml:space="preserve">package contains timestamped cryptographic freeze receipts establishing that the</w:t>
      </w:r>
      <w:r>
        <w:t xml:space="preserve"> </w:t>
      </w:r>
      <w:r>
        <w:t xml:space="preserve">pre-registered design preceded data collection. Each receipt records the UTC</w:t>
      </w:r>
      <w:r>
        <w:t xml:space="preserve"> </w:t>
      </w:r>
      <w:r>
        <w:t xml:space="preserve">freeze time, the commit that carried the frozen artifacts, and the SHA-256 of the</w:t>
      </w:r>
      <w:r>
        <w:t xml:space="preserve"> </w:t>
      </w:r>
      <w:r>
        <w:t xml:space="preserve">configuration, agent and analysis code, prompt template, pre-registration, grid,</w:t>
      </w:r>
      <w:r>
        <w:t xml:space="preserve"> </w:t>
      </w:r>
      <w:r>
        <w:t xml:space="preserve">and model manifest; the cross-domain replication has its own receipt, recorded</w:t>
      </w:r>
      <w:r>
        <w:t xml:space="preserve"> </w:t>
      </w:r>
      <w:r>
        <w:t xml:space="preserve">before any API call for that arm.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and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greater cross-provider heterogeneity is associated with lower</w:t>
      </w:r>
      <w:r>
        <w:t xml:space="preserve"> </w:t>
      </w:r>
      <w:r>
        <w:t xml:space="preserve">within-ensemble agreement is 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under the</w:t>
      </w:r>
      <w:r>
        <w:t xml:space="preserve"> </w:t>
      </w:r>
      <w:r>
        <w:t xml:space="preserve">two-way scheme of Section </w:t>
      </w:r>
      <w:hyperlink w:anchor="subsec:uncertainty">
        <w:r>
          <w:rPr>
            <w:rStyle w:val="Hyperlink"/>
          </w:rPr>
          <w:t xml:space="preserve">3.4</w:t>
        </w:r>
      </w:hyperlink>
      <w:r>
        <w:t xml:space="preserve"> </w:t>
      </w:r>
      <w:r>
        <w:t xml:space="preserve">they remain so, at</w:t>
      </w:r>
      <w:r>
        <w:t xml:space="preserve"> </w:t>
      </w:r>
      <m:oMath>
        <m:r>
          <m:rPr>
            <m:sty m:val="p"/>
          </m:rPr>
          <m:t>[</m:t>
        </m:r>
        <m:r>
          <m:t>0.208</m:t>
        </m:r>
        <m:r>
          <m:rPr>
            <m:sty m:val="p"/>
          </m:rPr>
          <m:t>,</m:t>
        </m:r>
        <m:r>
          <m:t> </m:t>
        </m:r>
        <m:r>
          <m:t>0.290</m:t>
        </m:r>
        <m:r>
          <m:rPr>
            <m:sty m:val="p"/>
          </m:rPr>
          <m:t>]</m:t>
        </m:r>
      </m:oMath>
      <w:r>
        <w:t xml:space="preserve"> </w:t>
      </w:r>
      <w:r>
        <w:t xml:space="preserve">and</w:t>
      </w:r>
      <w:r>
        <w:t xml:space="preserve"> </w:t>
      </w:r>
      <m:oMath>
        <m:r>
          <m:rPr>
            <m:sty m:val="p"/>
          </m:rPr>
          <m:t>[</m:t>
        </m:r>
        <m:r>
          <m:t>0.045</m:t>
        </m:r>
        <m:r>
          <m:rPr>
            <m:sty m:val="p"/>
          </m:rPr>
          <m:t>,</m:t>
        </m:r>
        <m:r>
          <m:t> </m:t>
        </m:r>
        <m:r>
          <m:t>0.123</m:t>
        </m:r>
        <m:r>
          <m:rPr>
            <m:sty m:val="p"/>
          </m:rPr>
          <m:t>]</m:t>
        </m:r>
      </m:oMath>
      <w:r>
        <w:t xml:space="preserve"> </w:t>
      </w:r>
      <w:r>
        <w:t xml:space="preserve">respectively. Agreement</w:t>
      </w:r>
      <w:r>
        <w:t xml:space="preserve"> </w:t>
      </w:r>
      <w:r>
        <w:t xml:space="preserve">therefore decreases at each observed increase in heterogeneity, from HOM to</w:t>
      </w:r>
      <w:r>
        <w:t xml:space="preserve"> </w:t>
      </w:r>
      <w:r>
        <w:t xml:space="preserve">HET-LITE and from HET-LITE to HET. Across the evaluated</w:t>
      </w:r>
      <w:r>
        <w:t xml:space="preserve"> </w:t>
      </w:r>
      <w:r>
        <w:t xml:space="preserve">configurations the ordering is monotonic: agreement is lower at each higher level</w:t>
      </w:r>
      <w:r>
        <w:t xml:space="preserve"> </w:t>
      </w:r>
      <w:r>
        <w:t xml:space="preserve">of cross-provider heterogeneity in this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Resampled units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 equities</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 dates</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m:oMath>
              <m:r>
                <m:t>100</m:t>
              </m:r>
              <m:r>
                <m:rPr>
                  <m:sty m:val="p"/>
                </m:rPr>
                <m:t>×</m:t>
              </m:r>
              <m:r>
                <m:t>12</m:t>
              </m:r>
            </m:oMath>
            <w:r>
              <w:t xml:space="preserve">​</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Pairwise dependence between binary error indicators is a standard</w:t>
      </w:r>
      <w:r>
        <w:t xml:space="preserve"> </w:t>
      </w:r>
      <w:r>
        <w:t xml:space="preserve">characterization of classifier-ensemble diversity, and that literature also shows</w:t>
      </w:r>
      <w:r>
        <w:t xml:space="preserve"> </w:t>
      </w:r>
      <w:r>
        <w:t xml:space="preserve">that diversity and ensemble accuracy are related but not</w:t>
      </w:r>
      <w:r>
        <w:t xml:space="preserve"> </w:t>
      </w:r>
      <w:r>
        <w:t xml:space="preserve">interchangeable </w:t>
      </w:r>
      <w:r>
        <w:t xml:space="preserve">(Kuncheva and Whitaker 2003)</w:t>
      </w:r>
      <w:r>
        <w:t xml:space="preserve">. We therefore complement the</w:t>
      </w:r>
      <w:r>
        <w:t xml:space="preserve"> </w:t>
      </w:r>
      <w:r>
        <w:t xml:space="preserve">categorical agreement statistic</w:t>
      </w:r>
      <w:r>
        <w:t xml:space="preserve"> </w:t>
      </w:r>
      <m:oMath>
        <m:r>
          <m:t>κ</m:t>
        </m:r>
      </m:oMath>
      <w:r>
        <w:t xml:space="preserve"> </w:t>
      </w:r>
      <w:r>
        <w:t xml:space="preserve">with a</w:t>
      </w:r>
      <w:r>
        <w:t xml:space="preserve"> </w:t>
      </w:r>
      <m:oMath>
        <m:r>
          <m:t>ϕ</m:t>
        </m:r>
      </m:oMath>
      <w:r>
        <w:t xml:space="preserve"> </w:t>
      </w:r>
      <w:r>
        <w:t xml:space="preserve">correlation computed from</w:t>
      </w:r>
      <w:r>
        <w:t xml:space="preserve"> </w:t>
      </w:r>
      <w:r>
        <w:t xml:space="preserve">paired error indicators. Within each evaluation cell, that is each</w:t>
      </w:r>
      <w:r>
        <w:t xml:space="preserve"> </w:t>
      </w:r>
      <w:r>
        <w:t xml:space="preserve">(configuration, equity, date, run)</w:t>
      </w:r>
      <w:r>
        <w:t xml:space="preserve"> </w:t>
      </w:r>
      <w:r>
        <w:t xml:space="preserve">combination, we form for every unordered pair of agent positions the pair of</w:t>
      </w:r>
      <w:r>
        <w:t xml:space="preserve"> </w:t>
      </w:r>
      <w:r>
        <w:t xml:space="preserve">binary error indicators defined against the realized forward-return sign. These</w:t>
      </w:r>
      <w:r>
        <w:t xml:space="preserve"> </w:t>
      </w:r>
      <w:r>
        <w:t xml:space="preserve">paired indicators are pooled over all cells and all agent-position pairs within a</w:t>
      </w:r>
      <w:r>
        <w:t xml:space="preserve"> </w:t>
      </w:r>
      <w:r>
        <w:t xml:space="preserve">configuration, and</w:t>
      </w:r>
      <w:r>
        <w:t xml:space="preserve"> </w:t>
      </w:r>
      <m:oMath>
        <m:r>
          <m:t>ϕ</m:t>
        </m:r>
      </m:oMath>
      <w:r>
        <w:t xml:space="preserve"> </w:t>
      </w:r>
      <w:r>
        <w:t xml:space="preserve">is the Pearson correlation of that pooled set, so one</w:t>
      </w:r>
      <w:r>
        <w:t xml:space="preserve"> </w:t>
      </w:r>
      <m:oMath>
        <m:r>
          <m:t>ϕ</m:t>
        </m:r>
      </m:oMath>
      <w:r>
        <w:t xml:space="preserve"> </w:t>
      </w:r>
      <w:r>
        <w:t xml:space="preserve">is reported per configuration rather than one per agent pair.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5.10</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6" w:name="subsec:selective"/>
    <w:p>
      <w:pPr>
        <w:pStyle w:val="Heading2"/>
      </w:pPr>
      <w:r>
        <w:t xml:space="preserve">Selective prediction</w:t>
      </w:r>
    </w:p>
    <w:p>
      <w:pPr>
        <w:pStyle w:val="FirstParagraph"/>
      </w:pPr>
      <w:r>
        <w:t xml:space="preserve">Reduced agreement is only useful if it buys something downstream, so we ask</w:t>
      </w:r>
      <w:r>
        <w:t xml:space="preserve"> </w:t>
      </w:r>
      <w:r>
        <w:t xml:space="preserve">whether the configurations differ in their ability to rank their own errors.</w:t>
      </w:r>
      <w:r>
        <w:t xml:space="preserve"> </w:t>
      </w:r>
      <w:r>
        <w:t xml:space="preserve">Following the selective-classification framework of El-Yaniv and</w:t>
      </w:r>
      <w:r>
        <w:t xml:space="preserve"> </w:t>
      </w:r>
      <w:r>
        <w:t xml:space="preserve">Wiener </w:t>
      </w:r>
      <w:r>
        <w:t xml:space="preserve">(El-Yaniv and Wiener 2010)</w:t>
      </w:r>
      <w:r>
        <w:t xml:space="preserve">, we evaluate the risk–coverage trade-off</w:t>
      </w:r>
      <w:r>
        <w:t xml:space="preserve"> </w:t>
      </w:r>
      <w:r>
        <w:t xml:space="preserve">obtained by ranking ensemble decisions according to mean agent conviction. A</w:t>
      </w:r>
      <w:r>
        <w:t xml:space="preserve"> </w:t>
      </w:r>
      <w:r>
        <w:t xml:space="preserve">decision is the majority vote of the five agents in an (equity, date) cell on the</w:t>
      </w:r>
      <w:r>
        <w:t xml:space="preserve"> </w:t>
      </w:r>
      <w:r>
        <w:t xml:space="preserve">financial grid. Decisions whose majority is HOLD are excluded, as are cells whose</w:t>
      </w:r>
      <w:r>
        <w:t xml:space="preserve"> </w:t>
      </w:r>
      <w:r>
        <w:t xml:space="preserve">forward-return sign is undefined or zero, which leaves the directional decisions</w:t>
      </w:r>
      <w:r>
        <w:t xml:space="preserve"> </w:t>
      </w:r>
      <w:r>
        <w:t xml:space="preserve">that can be scored; the denominator for coverage is that retained set, not the</w:t>
      </w:r>
      <w:r>
        <w:t xml:space="preserve"> </w:t>
      </w:r>
      <w:r>
        <w:t xml:space="preserve">full grid. Each decision is scored as erroneous when its direction disagrees with</w:t>
      </w:r>
      <w:r>
        <w:t xml:space="preserve"> </w:t>
      </w:r>
      <w:r>
        <w:t xml:space="preserve">the realized forward-return sign, and is assigned the mean conviction its five</w:t>
      </w:r>
      <w:r>
        <w:t xml:space="preserve"> </w:t>
      </w:r>
      <w:r>
        <w:t xml:space="preserve">agents reported. Decisions are ranked by that mean conviction in descending</w:t>
      </w:r>
      <w:r>
        <w:t xml:space="preserve"> </w:t>
      </w:r>
      <w:r>
        <w:t xml:space="preserve">order, coverage is swept from the single most confident decision to the full set,</w:t>
      </w:r>
      <w:r>
        <w:t xml:space="preserve"> </w:t>
      </w:r>
      <w:r>
        <w:t xml:space="preserve">and selective risk at a coverage level is the error rate among the decisions</w:t>
      </w:r>
      <w:r>
        <w:t xml:space="preserve"> </w:t>
      </w:r>
      <w:r>
        <w:t xml:space="preserve">retained at that level. AURC is the trapezoidal area under the resulting</w:t>
      </w:r>
      <w:r>
        <w:t xml:space="preserve"> </w:t>
      </w:r>
      <w:r>
        <w:t xml:space="preserve">risk–coverage curve, so lower is better. The HOM</w:t>
      </w:r>
      <m:oMath>
        <m:r>
          <m:rPr>
            <m:sty m:val="p"/>
          </m:rPr>
          <m:t>−</m:t>
        </m:r>
      </m:oMath>
      <w:r>
        <w:t xml:space="preserve">HET contrast is formed within</w:t>
      </w:r>
      <w:r>
        <w:t xml:space="preserve"> </w:t>
      </w:r>
      <w:r>
        <w:t xml:space="preserve">each bootstrap draw rather than between arms, since both configurations are</w:t>
      </w:r>
      <w:r>
        <w:t xml:space="preserve"> </w:t>
      </w:r>
      <w:r>
        <w:t xml:space="preserve">measured on the same equities, and its interval is the equity-clustered bootstrap</w:t>
      </w:r>
      <w:r>
        <w:t xml:space="preserve"> </w:t>
      </w:r>
      <w:r>
        <w:t xml:space="preserve">used for the primary endpoint, with the two-way scheme reported alongside it.</w:t>
      </w:r>
    </w:p>
    <w:p>
      <w:pPr>
        <w:pStyle w:val="BodyText"/>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questions from the MMLU professional-medicine and</w:t>
      </w:r>
      <w:r>
        <w:t xml:space="preserve"> </w:t>
      </w:r>
      <w:r>
        <w:t xml:space="preserve">clinical-knowledge subsets </w:t>
      </w:r>
      <w:r>
        <w:t xml:space="preserve">(Hendrycks et al. 2021)</w:t>
      </w:r>
      <w:r>
        <w:t xml:space="preserve">. Each item has four response</w:t>
      </w:r>
      <w:r>
        <w:t xml:space="preserve"> </w:t>
      </w:r>
      <w:r>
        <w:t xml:space="preserve">options and one correct answer. 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 Confidence intervals for the</w:t>
      </w:r>
      <w:r>
        <w:t xml:space="preserve"> </w:t>
      </w:r>
      <w:r>
        <w:t xml:space="preserve">clinical replication are obtained by resampling MMLU items with replacement,</w:t>
      </w:r>
      <w:r>
        <w:t xml:space="preserve"> </w:t>
      </w:r>
      <w:r>
        <w:t xml:space="preserve">since the equity and analysis-date clustering structure of the financial</w:t>
      </w:r>
      <w:r>
        <w:t xml:space="preserve"> </w:t>
      </w:r>
      <w:r>
        <w:t xml:space="preserve">experiment does not apply to this task.</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The cross-domain replication varies domain and response structure while</w:t>
      </w:r>
      <w:r>
        <w:t xml:space="preserve"> </w:t>
      </w:r>
      <w:r>
        <w:t xml:space="preserve">intentionally retaining the five-agent ensemble, prompt structure, aggregation</w:t>
      </w:r>
      <w:r>
        <w:t xml:space="preserve"> </w:t>
      </w:r>
      <w:r>
        <w:t xml:space="preserve">rule, and evaluated model mixtures. It therefore tests whether the observed</w:t>
      </w:r>
      <w:r>
        <w:t xml:space="preserve"> </w:t>
      </w:r>
      <w:r>
        <w:t xml:space="preserve">ordering is confined to the financial task, rather than establishing invariance</w:t>
      </w:r>
      <w:r>
        <w:t xml:space="preserve"> </w:t>
      </w:r>
      <w:r>
        <w:t xml:space="preserve">across ensemble-design choices. The replication supports the ordering across two</w:t>
      </w:r>
      <w:r>
        <w:t xml:space="preserve"> </w:t>
      </w:r>
      <w:r>
        <w:t xml:space="preserve">substantially different domains; it does not establish that heterogeneity</w:t>
      </w:r>
      <w:r>
        <w:t xml:space="preserve"> </w:t>
      </w:r>
      <w:r>
        <w:t xml:space="preserve">improves predictive accuracy, and the agreement contrast is substantially smaller</w:t>
      </w:r>
      <w:r>
        <w:t xml:space="preserve"> </w:t>
      </w:r>
      <w:r>
        <w:t xml:space="preserve">in the clinical arm, so the magnitude is task-dependent.</w:t>
      </w:r>
    </w:p>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with a two-way interval of</w:t>
      </w:r>
      <w:r>
        <w:t xml:space="preserve"> </w:t>
      </w:r>
      <m:oMath>
        <m:r>
          <m:rPr>
            <m:sty m:val="p"/>
          </m:rPr>
          <m:t>[</m:t>
        </m:r>
        <m:r>
          <m:t>0.270</m:t>
        </m:r>
        <m:r>
          <m:rPr>
            <m:sty m:val="p"/>
          </m:rPr>
          <m:t>,</m:t>
        </m:r>
        <m:r>
          <m:t> </m:t>
        </m:r>
        <m:r>
          <m:t>0.361</m:t>
        </m:r>
        <m:r>
          <m:rPr>
            <m:sty m:val="p"/>
          </m:rPr>
          <m:t>]</m:t>
        </m:r>
      </m:oMath>
      <w:r>
        <w:t xml:space="preserve">; both exclude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The contrast therefore remains substantial under approximate</w:t>
      </w:r>
      <w:r>
        <w:t xml:space="preserve"> </w:t>
      </w:r>
      <w:r>
        <w:t xml:space="preserve">capability matching, although that control does not isolate provider from other</w:t>
      </w:r>
      <w:r>
        <w:t xml:space="preserve"> </w:t>
      </w:r>
      <w:r>
        <w:t xml:space="preserve">model-specific characteristics, which are not independently identified by this</w:t>
      </w:r>
      <w:r>
        <w:t xml:space="preserve"> </w:t>
      </w:r>
      <w:r>
        <w:t xml:space="preserve">design. The capability-matched control therefore reduces, but does not eliminate,</w:t>
      </w:r>
      <w:r>
        <w:t xml:space="preserve"> </w:t>
      </w:r>
      <w:r>
        <w:t xml:space="preserve">the capability-tier confound, because matching is approximate and covers only two</w:t>
      </w:r>
      <w:r>
        <w:t xml:space="preserve"> </w:t>
      </w:r>
      <w:r>
        <w:t xml:space="preserve">providers. The close reproduction of</w:t>
      </w:r>
      <w:r>
        <w:t xml:space="preserve"> </w:t>
      </w:r>
      <m:oMath>
        <m:sSub>
          <m:e>
            <m:r>
              <m:t>κ</m:t>
            </m:r>
          </m:e>
          <m:sub>
            <m:r>
              <m:rPr>
                <m:sty m:val="p"/>
              </m:rPr>
              <m:t>H</m:t>
            </m:r>
            <m:r>
              <m:rPr>
                <m:sty m:val="p"/>
              </m:rPr>
              <m:t>O</m:t>
            </m:r>
            <m:r>
              <m:rPr>
                <m:sty m:val="p"/>
              </m:rPr>
              <m:t>M</m:t>
            </m:r>
          </m:sub>
        </m:sSub>
      </m:oMath>
      <w:r>
        <w:t xml:space="preserve"> </w:t>
      </w:r>
      <w:r>
        <w:t xml:space="preserve">across independently</w:t>
      </w:r>
      <w:r>
        <w:t xml:space="preserve"> </w:t>
      </w:r>
      <w:r>
        <w:t xml:space="preserve">collected datasets provides an additional consistency check for the homogeneous</w:t>
      </w:r>
      <w:r>
        <w:t xml:space="preserve"> </w:t>
      </w:r>
      <w:r>
        <w:t xml:space="preserve">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Its intervals are clustered on the eight equities only: the</w:t>
      </w:r>
      <w:r>
        <w:t xml:space="preserve"> </w:t>
      </w:r>
      <w:r>
        <w:t xml:space="preserve">subgrid spans two analysis dates, which is too few clusters to support</w:t>
      </w:r>
      <w:r>
        <w:t xml:space="preserve"> </w:t>
      </w:r>
      <w:r>
        <w:t xml:space="preserve">date-clustered or two-way inference, so this analysis contributes no independent</w:t>
      </w:r>
      <w:r>
        <w:t xml:space="preserve"> </w:t>
      </w:r>
      <w:r>
        <w:t xml:space="preserve">multiway evidence and the intervals below should be read as indicative rather</w:t>
      </w:r>
      <w:r>
        <w:t xml:space="preserve"> </w:t>
      </w:r>
      <w:r>
        <w:t xml:space="preserve">than as a test.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research paper does not propose a new ensemble algorithm, so a direct</w:t>
      </w:r>
      <w:r>
        <w:t xml:space="preserve"> </w:t>
      </w:r>
      <w:r>
        <w:t xml:space="preserve">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distinction is one of estimand rather than of quality. Mixture-of-agents,</w:t>
      </w:r>
      <w:r>
        <w:t xml:space="preserve"> </w:t>
      </w:r>
      <w:r>
        <w:t xml:space="preserve">debate, pruning, and ensemble-selection studies ask whether a particular</w:t>
      </w:r>
      <w:r>
        <w:t xml:space="preserve"> </w:t>
      </w:r>
      <w:r>
        <w:t xml:space="preserve">aggregation or selection method improves downstream performance, and a</w:t>
      </w:r>
      <w:r>
        <w:t xml:space="preserve"> </w:t>
      </w:r>
      <w:r>
        <w:t xml:space="preserve">leaderboard comparison is the appropriate test of that question. This study holds</w:t>
      </w:r>
      <w:r>
        <w:t xml:space="preserve"> </w:t>
      </w:r>
      <w:r>
        <w:t xml:space="preserve">the decision task, prompt, information set, and aggregation rule fixed and asks</w:t>
      </w:r>
      <w:r>
        <w:t xml:space="preserve"> </w:t>
      </w:r>
      <w:r>
        <w:t xml:space="preserve">how ensemble</w:t>
      </w:r>
      <w:r>
        <w:t xml:space="preserve"> </w:t>
      </w:r>
      <w:r>
        <w:rPr>
          <w:i/>
          <w:iCs/>
        </w:rPr>
        <w:t xml:space="preserve">composition</w:t>
      </w:r>
      <w:r>
        <w:t xml:space="preserve"> </w:t>
      </w:r>
      <w:r>
        <w:t xml:space="preserve">relates to output agreement, error dependence,</w:t>
      </w:r>
      <w:r>
        <w:t xml:space="preserve"> </w:t>
      </w:r>
      <w:r>
        <w:t xml:space="preserve">and inference cost. A leaderboard-style accuracy comparison would therefore</w:t>
      </w:r>
      <w:r>
        <w:t xml:space="preserve"> </w:t>
      </w:r>
      <w:r>
        <w:t xml:space="preserve">answer a different question than the one posed here.</w:t>
      </w:r>
    </w:p>
    <w:p>
      <w:pPr>
        <w:pStyle w:val="BodyText"/>
      </w:pPr>
      <w:r>
        <w:t xml:space="preserve">The appropriate comparison with prior work is methodological, along four axes:</w:t>
      </w:r>
      <w:r>
        <w:t xml:space="preserve"> </w:t>
      </w:r>
      <w:r>
        <w:t xml:space="preserve">how diversity or agreement is measured, whether error dependence is separated</w:t>
      </w:r>
      <w:r>
        <w:t xml:space="preserve"> </w:t>
      </w:r>
      <w:r>
        <w:t xml:space="preserve">from categorical agreement, whether sampling artifacts are controlled, and</w:t>
      </w:r>
      <w:r>
        <w:t xml:space="preserve"> </w:t>
      </w:r>
      <w:r>
        <w:t xml:space="preserve">whether uncertainty and inference cost are quantified. The classifier-ensemble</w:t>
      </w:r>
      <w:r>
        <w:t xml:space="preserve"> </w:t>
      </w:r>
      <w:r>
        <w:t xml:space="preserve">literature already establishes that diversity and ensemble accuracy are related</w:t>
      </w:r>
      <w:r>
        <w:t xml:space="preserve"> </w:t>
      </w:r>
      <w:r>
        <w:t xml:space="preserve">but not interchangeable </w:t>
      </w:r>
      <w:r>
        <w:t xml:space="preserve">(Kuncheva and Whitaker 2003)</w:t>
      </w:r>
      <w:r>
        <w:t xml:space="preserve">, which is why reduced</w:t>
      </w:r>
      <w:r>
        <w:t xml:space="preserve"> </w:t>
      </w:r>
      <w:r>
        <w:t xml:space="preserve">agreement is not treated here as evidence of improved accuracy. The contribution</w:t>
      </w:r>
      <w:r>
        <w:t xml:space="preserve"> </w:t>
      </w:r>
      <w:r>
        <w:t xml:space="preserve">is therefore a measurement framework that separates output agreement from error</w:t>
      </w:r>
      <w:r>
        <w:t xml:space="preserve"> </w:t>
      </w:r>
      <w:r>
        <w:t xml:space="preserve">correlation, controls the shared-seed artifact observed in repeated model</w:t>
      </w:r>
      <w:r>
        <w:t xml:space="preserve"> </w:t>
      </w:r>
      <w:r>
        <w:t xml:space="preserve">sampling, quantifies uncertainty under crossed dependence, and incorporates</w:t>
      </w:r>
      <w:r>
        <w:t xml:space="preserve"> </w:t>
      </w:r>
      <w:r>
        <w:t xml:space="preserve">inference cost. These measurements complement performance-based evaluations</w:t>
      </w:r>
      <w:r>
        <w:t xml:space="preserve"> </w:t>
      </w:r>
      <w:r>
        <w:t xml:space="preserve">rather than 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configurations with greater</w:t>
      </w:r>
      <w:r>
        <w:t xml:space="preserve"> </w:t>
      </w:r>
      <w:r>
        <w:t xml:space="preserve">cross-provider heterogeneity show substantially lower within-ensemble agreement</w:t>
      </w:r>
      <w:r>
        <w:t xml:space="preserve"> </w:t>
      </w:r>
      <w:r>
        <w:t xml:space="preserve">but no 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5.11</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5.10</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agreement and</w:t>
      </w:r>
      <w:r>
        <w:t xml:space="preserve"> </w:t>
      </w:r>
      <w:r>
        <w:t xml:space="preserve">inference cost differ across LLM ensemble configurations of increasing</w:t>
      </w:r>
      <w:r>
        <w:t xml:space="preserve"> </w:t>
      </w:r>
      <w:r>
        <w:t xml:space="preserve">cross-provider heterogeneity.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contrast, which therefore remains substantial under approximate</w:t>
      </w:r>
      <w:r>
        <w:t xml:space="preserve"> </w:t>
      </w:r>
      <w:r>
        <w:t xml:space="preserve">capability matching; provider nevertheless remains bundled with other</w:t>
      </w:r>
      <w:r>
        <w:t xml:space="preserve"> </w:t>
      </w:r>
      <w:r>
        <w:t xml:space="preserve">model-specific characteristics and is not independently identified.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checking for residual within-run dependence and</w:t>
      </w:r>
      <w:r>
        <w:t xml:space="preserve"> </w:t>
      </w:r>
      <w:r>
        <w:t xml:space="preserve">avoiding shared-seed artifacts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all 94</w:t>
      </w:r>
      <w:r>
        <w:t xml:space="preserve">,</w:t>
      </w:r>
      <w:r>
        <w:t xml:space="preserve">566 logged</w:t>
      </w:r>
      <w:r>
        <w:t xml:space="preserve"> </w:t>
      </w:r>
      <w:r>
        <w:t xml:space="preserve">attempts—the 54</w:t>
      </w:r>
      <w:r>
        <w:t xml:space="preserve">,</w:t>
      </w:r>
      <w:r>
        <w:t xml:space="preserve">000 valid responses together with every unsuccessful</w:t>
      </w:r>
      <w:r>
        <w:t xml:space="preserve"> </w:t>
      </w:r>
      <w:r>
        <w:t xml:space="preserve">request and its error—each with the per-call model, seed, prompt hash,</w:t>
      </w:r>
      <w:r>
        <w:t xml:space="preserve"> </w:t>
      </w:r>
      <w:r>
        <w:t xml:space="preserve">timestamp, token usage, cost, and raw response; (ii) the pre-registration</w:t>
      </w:r>
      <w:r>
        <w:t xml:space="preserve"> </w:t>
      </w:r>
      <w:r>
        <w:t xml:space="preserve">materials and the cryptographic freeze receipts for both the confirmatory study</w:t>
      </w:r>
      <w:r>
        <w:t xml:space="preserve"> </w:t>
      </w:r>
      <w:r>
        <w:t xml:space="preserve">and the cross-domain replication; (iii) the deterministic, seeded analysis</w:t>
      </w:r>
      <w:r>
        <w:t xml:space="preserve"> </w:t>
      </w:r>
      <w:r>
        <w:t xml:space="preserve">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101"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100"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ameron2011multiway"/>
    <w:p>
      <w:pPr>
        <w:pStyle w:val="Bibliography"/>
      </w:pPr>
      <w:r>
        <w:t xml:space="preserve">Cameron, A. C., J. B. Gelbach, and D. L. Miller. 2011.</w:t>
      </w:r>
      <w:r>
        <w:t xml:space="preserve"> </w:t>
      </w:r>
      <w:r>
        <w:t xml:space="preserve">“Robust Inference with Multiway Clustering.”</w:t>
      </w:r>
      <w:r>
        <w:t xml:space="preserve"> </w:t>
      </w:r>
      <w:r>
        <w:rPr>
          <w:i/>
          <w:iCs/>
        </w:rPr>
        <w:t xml:space="preserve">J. Bus. Econ. Stat.</w:t>
      </w:r>
      <w:r>
        <w:t xml:space="preserve"> </w:t>
      </w:r>
      <w:r>
        <w:t xml:space="preserve">29 (2): 238–49.</w:t>
      </w:r>
    </w:p>
    <w:bookmarkEnd w:id="81"/>
    <w:bookmarkStart w:id="82"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2"/>
    <w:bookmarkStart w:id="83"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3"/>
    <w:bookmarkStart w:id="84"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4"/>
    <w:bookmarkStart w:id="85"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5"/>
    <w:bookmarkStart w:id="86" w:name="ref-elyaniv2010selective"/>
    <w:p>
      <w:pPr>
        <w:pStyle w:val="Bibliography"/>
      </w:pPr>
      <w:r>
        <w:t xml:space="preserve">El-Yaniv, R., and Y. Wiener. 2010.</w:t>
      </w:r>
      <w:r>
        <w:t xml:space="preserve"> </w:t>
      </w:r>
      <w:r>
        <w:t xml:space="preserve">“On the Foundations of Noise-Free Selective Classification.”</w:t>
      </w:r>
      <w:r>
        <w:t xml:space="preserve"> </w:t>
      </w:r>
      <w:r>
        <w:rPr>
          <w:i/>
          <w:iCs/>
        </w:rPr>
        <w:t xml:space="preserve">J. Mach. Learn. Res.</w:t>
      </w:r>
      <w:r>
        <w:t xml:space="preserve"> </w:t>
      </w:r>
      <w:r>
        <w:t xml:space="preserve">11: 1605–41.</w:t>
      </w:r>
    </w:p>
    <w:bookmarkEnd w:id="86"/>
    <w:bookmarkStart w:id="87"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7"/>
    <w:bookmarkStart w:id="88"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8"/>
    <w:bookmarkStart w:id="89"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9"/>
    <w:bookmarkStart w:id="90"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90"/>
    <w:bookmarkStart w:id="91"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91"/>
    <w:bookmarkStart w:id="92" w:name="ref-kuncheva2003diversity"/>
    <w:p>
      <w:pPr>
        <w:pStyle w:val="Bibliography"/>
      </w:pPr>
      <w:r>
        <w:t xml:space="preserve">Kuncheva, L. I., and C. J. Whitaker. 2003.</w:t>
      </w:r>
      <w:r>
        <w:t xml:space="preserve"> </w:t>
      </w:r>
      <w:r>
        <w:t xml:space="preserve">“Measures of Diversity in Classifier Ensembles and Their Relationship with the Ensemble Accuracy.”</w:t>
      </w:r>
      <w:r>
        <w:t xml:space="preserve"> </w:t>
      </w:r>
      <w:r>
        <w:rPr>
          <w:i/>
          <w:iCs/>
        </w:rPr>
        <w:t xml:space="preserve">Mach. Learn.</w:t>
      </w:r>
      <w:r>
        <w:t xml:space="preserve"> </w:t>
      </w:r>
      <w:r>
        <w:t xml:space="preserve">51 (2): 181–207.</w:t>
      </w:r>
    </w:p>
    <w:bookmarkEnd w:id="92"/>
    <w:bookmarkStart w:id="93"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3"/>
    <w:bookmarkStart w:id="94"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4"/>
    <w:bookmarkStart w:id="95" w:name="ref-owen2007pigeonhole"/>
    <w:p>
      <w:pPr>
        <w:pStyle w:val="Bibliography"/>
      </w:pPr>
      <w:r>
        <w:t xml:space="preserve">Owen, A. B. 2007.</w:t>
      </w:r>
      <w:r>
        <w:t xml:space="preserve"> </w:t>
      </w:r>
      <w:r>
        <w:t xml:space="preserve">“The Pigeonhole Bootstrap.”</w:t>
      </w:r>
      <w:r>
        <w:t xml:space="preserve"> </w:t>
      </w:r>
      <w:r>
        <w:rPr>
          <w:i/>
          <w:iCs/>
        </w:rPr>
        <w:t xml:space="preserve">Ann. Appl. Stat.</w:t>
      </w:r>
      <w:r>
        <w:t xml:space="preserve"> </w:t>
      </w:r>
      <w:r>
        <w:t xml:space="preserve">1 (2): 386–411.</w:t>
      </w:r>
    </w:p>
    <w:bookmarkEnd w:id="95"/>
    <w:bookmarkStart w:id="96"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6"/>
    <w:bookmarkStart w:id="97"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7"/>
    <w:bookmarkStart w:id="98"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8"/>
    <w:bookmarkStart w:id="99"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2026-10-04T20:38:34Z</dcterms:created>
  <dcterms:modified xsi:type="dcterms:W3CDTF">2026-10-04T20:38:34Z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Within the evaluated configurations, greater cross-provider heterogeneity is associated with significantly lower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The contrast remains substantial under approximate capability matching, although that control does not isolate provider from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