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</w:t>
      </w:r>
    </w:p>
    <w:p>
      <w:pPr>
        <w:pStyle w:val="Compact"/>
        <w:numPr>
          <w:ilvl w:val="0"/>
          <w:numId w:val="1001"/>
        </w:numPr>
      </w:pPr>
      <w:r>
        <w:t xml:space="preserve">We added a selective-prediction analysis using mean agent conviction to rank ensemble</w:t>
      </w:r>
      <w:r>
        <w:t xml:space="preserve"> </w:t>
      </w:r>
      <w:r>
        <w:t xml:space="preserve">decisions. AURC is 0.553 for HOM, 0.568 for HET-LITE, and 0.554 for HET. The HOM-HET</w:t>
      </w:r>
      <w:r>
        <w:t xml:space="preserve"> </w:t>
      </w:r>
      <w:r>
        <w:t xml:space="preserve">difference is -0.001 with a 95% confidence interval of [-0.059, 0.060]. Under two-way equity</w:t>
      </w:r>
      <w:r>
        <w:t xml:space="preserve"> </w:t>
      </w:r>
      <w:r>
        <w:t xml:space="preserve">and date resampling, the interval is [-0.113, 0.115]. Both intervals contain zero.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 in any configuration. We therefore do not claim an improvement in calibration</w:t>
      </w:r>
      <w:r>
        <w:t xml:space="preserve"> </w:t>
      </w:r>
      <w:r>
        <w:t xml:space="preserve">or abstention quality.</w:t>
      </w:r>
    </w:p>
    <w:p>
      <w:pPr>
        <w:pStyle w:val="Compact"/>
        <w:numPr>
          <w:ilvl w:val="0"/>
          <w:numId w:val="1001"/>
        </w:numPr>
      </w:pPr>
      <w:r>
        <w:t xml:space="preserve">We also evaluate a separate decision-relevant outcome, unanimous incorrect decisions. HOM</w:t>
      </w:r>
      <w:r>
        <w:t xml:space="preserve"> </w:t>
      </w:r>
      <w:r>
        <w:t xml:space="preserve">produces unanimous incorrect directional decisions at 1.84 times the rate of HET. The</w:t>
      </w:r>
      <w:r>
        <w:t xml:space="preserve"> </w:t>
      </w:r>
      <w:r>
        <w:t xml:space="preserve">equity-clustered 95% confidence interval is [1.42, 2.52], and the two-way interval is [1.13,</w:t>
      </w:r>
      <w:r>
        <w:t xml:space="preserve"> </w:t>
      </w:r>
      <w:r>
        <w:t xml:space="preserve">3.06]. Because this analysis is post hoc and no multiplicity adjustment is applied, we treat</w:t>
      </w:r>
      <w:r>
        <w:t xml:space="preserve"> </w:t>
      </w:r>
      <w:r>
        <w:t xml:space="preserve">it as exploratory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“Selective</w:t>
      </w:r>
      <w:r>
        <w:t xml:space="preserve"> </w:t>
      </w:r>
      <w:r>
        <w:t xml:space="preserve">Prediction,”</w:t>
      </w:r>
      <w:r>
        <w:t xml:space="preserve"> </w:t>
      </w:r>
      <w:r>
        <w:t xml:space="preserve">was added to report the risk-coverage analysis and uncertainty for the HOM-HET</w:t>
      </w:r>
      <w:r>
        <w:t xml:space="preserve"> </w:t>
      </w:r>
      <w:r>
        <w:t xml:space="preserve">AURC contrast.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added an additional capability comparison in the clinical replication. Within the fully</w:t>
      </w:r>
      <w:r>
        <w:t xml:space="preserve"> </w:t>
      </w:r>
      <w:r>
        <w:t xml:space="preserve">heterogeneous configuration, one same-provider pair and one cross-provider pair have nearly</w:t>
      </w:r>
      <w:r>
        <w:t xml:space="preserve"> </w:t>
      </w:r>
      <w:r>
        <w:t xml:space="preserve">identical mean member accuracy, 0.951 and 0.955 respectively.</w:t>
      </w:r>
    </w:p>
    <w:p>
      <w:pPr>
        <w:pStyle w:val="Compact"/>
        <w:numPr>
          <w:ilvl w:val="0"/>
          <w:numId w:val="1003"/>
        </w:numPr>
      </w:pPr>
      <w:r>
        <w:t xml:space="preserve">Their error correlations are 0.954 and 0.607, a difference of 0.347 with a 95% confidence</w:t>
      </w:r>
      <w:r>
        <w:t xml:space="preserve"> </w:t>
      </w:r>
      <w:r>
        <w:t xml:space="preserve">interval of [0.207, 0.507].</w:t>
      </w:r>
    </w:p>
    <w:p>
      <w:pPr>
        <w:pStyle w:val="Compact"/>
        <w:numPr>
          <w:ilvl w:val="0"/>
          <w:numId w:val="1003"/>
        </w:numPr>
      </w:pPr>
      <w:r>
        <w:t xml:space="preserve">We describe this as approximate capability matching. It reduces the capability confound but</w:t>
      </w:r>
      <w:r>
        <w:t xml:space="preserve"> </w:t>
      </w:r>
      <w:r>
        <w:t xml:space="preserve">does not eliminate the broader confounding between provider and other model-specific</w:t>
      </w:r>
      <w:r>
        <w:t xml:space="preserve"> </w:t>
      </w:r>
      <w:r>
        <w:t xml:space="preserve">characteristics. We therefore do not identify provider as an 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add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on a substantially different clinical-knowledge task</w:t>
      </w:r>
      <w:r>
        <w:t xml:space="preserve"> </w:t>
      </w:r>
      <w:r>
        <w:t xml:space="preserve">using 537 questions from the MMLU professional-medicine and clinical-knowledge subsets.</w:t>
      </w:r>
    </w:p>
    <w:p>
      <w:pPr>
        <w:pStyle w:val="Compact"/>
        <w:numPr>
          <w:ilvl w:val="0"/>
          <w:numId w:val="1005"/>
        </w:numPr>
      </w:pPr>
      <w:r>
        <w:t xml:space="preserve">The response structure changes from the three BUY, HOLD, and SELL labels used in finance to</w:t>
      </w:r>
      <w:r>
        <w:t xml:space="preserve"> </w:t>
      </w:r>
      <w:r>
        <w:t xml:space="preserve">four answer options with one correct answer. The five-agent structure, three configurations,</w:t>
      </w:r>
      <w:r>
        <w:t xml:space="preserve"> </w:t>
      </w:r>
      <w:r>
        <w:t xml:space="preserve">seeding procedure, temperature, number of runs, and estimators remain unchanged.</w:t>
      </w:r>
    </w:p>
    <w:p>
      <w:pPr>
        <w:pStyle w:val="Compact"/>
        <w:numPr>
          <w:ilvl w:val="0"/>
          <w:numId w:val="1005"/>
        </w:numPr>
      </w:pPr>
      <w:r>
        <w:t xml:space="preserve">The ordering reproduces. Agreement decreases by Δκ = 0.072 with a 95% confidence interval of</w:t>
      </w:r>
      <w:r>
        <w:t xml:space="preserve"> </w:t>
      </w:r>
      <w:r>
        <w:t xml:space="preserve">[0.040, 0.104], compared with 0.336 in finance. Error correlation decreases by Δφ = 0.393</w:t>
      </w:r>
      <w:r>
        <w:t xml:space="preserve"> </w:t>
      </w:r>
      <w:r>
        <w:t xml:space="preserve">with a 95% confidence interval of [0.325, 0.459], compared with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contrast therefore changes substantially more across the two tasks than the</w:t>
      </w:r>
      <w:r>
        <w:t xml:space="preserve"> </w:t>
      </w:r>
      <w:r>
        <w:t xml:space="preserve">error-correlation contrast. We do not claim that the magnitude is invariant across domains.</w:t>
      </w:r>
    </w:p>
    <w:p>
      <w:pPr>
        <w:pStyle w:val="Compact"/>
        <w:numPr>
          <w:ilvl w:val="0"/>
          <w:numId w:val="1005"/>
        </w:numPr>
      </w:pPr>
      <w:r>
        <w:t xml:space="preserve">Ensemble size, aggregation rule, prompt format, and the particular model mixtures remain</w:t>
      </w:r>
      <w:r>
        <w:t xml:space="preserve"> </w:t>
      </w:r>
      <w:r>
        <w:t xml:space="preserve">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</w:t>
      </w:r>
    </w:p>
    <w:p>
      <w:pPr>
        <w:pStyle w:val="Compact"/>
        <w:numPr>
          <w:ilvl w:val="0"/>
          <w:numId w:val="1007"/>
        </w:numPr>
      </w:pPr>
      <w:r>
        <w:t xml:space="preserve">The HOM-to-HET unanimous-incorrect ratio is 1.84. The equity-clustered 95% confidence</w:t>
      </w:r>
      <w:r>
        <w:t xml:space="preserve"> </w:t>
      </w:r>
      <w:r>
        <w:t xml:space="preserve">interval is [1.42, 2.52]. Under two-way equity and date resampling, the interval is [1.13,</w:t>
      </w:r>
      <w:r>
        <w:t xml:space="preserve"> </w:t>
      </w:r>
      <w:r>
        <w:t xml:space="preserve">3.06]. Both exclude unity.</w:t>
      </w:r>
    </w:p>
    <w:p>
      <w:pPr>
        <w:pStyle w:val="Compact"/>
        <w:numPr>
          <w:ilvl w:val="0"/>
          <w:numId w:val="1007"/>
        </w:numPr>
      </w:pPr>
      <w:r>
        <w:t xml:space="preserve">The statistic and configuration comparison were selected after inspection of the data,</w:t>
      </w:r>
      <w:r>
        <w:t xml:space="preserve"> </w:t>
      </w:r>
      <w:r>
        <w:t xml:space="preserve">multiple related comparisons were available, and no multiplicity adjustment is applied. The</w:t>
      </w:r>
      <w:r>
        <w:t xml:space="preserve"> </w:t>
      </w:r>
      <w:r>
        <w:t xml:space="preserve">intervals are therefore not interpreted as confirmatory 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ensemble design. Its observed cost</w:t>
      </w:r>
      <w:r>
        <w:t xml:space="preserve"> </w:t>
      </w:r>
      <w:r>
        <w:t xml:space="preserve">efficiency is 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sensitivity analysis separating pairwise agreement according to whether the two</w:t>
      </w:r>
      <w:r>
        <w:t xml:space="preserve"> </w:t>
      </w:r>
      <w:r>
        <w:t xml:space="preserve">agents use the same model.</w:t>
      </w:r>
    </w:p>
    <w:p>
      <w:pPr>
        <w:pStyle w:val="Compact"/>
        <w:numPr>
          <w:ilvl w:val="0"/>
          <w:numId w:val="1009"/>
        </w:numPr>
      </w:pPr>
      <w:r>
        <w:t xml:space="preserve">Same-model agreement is 0.800 in HOM, 0.794 in HET-LITE, and 0.862 in HET. Different-model</w:t>
      </w:r>
      <w:r>
        <w:t xml:space="preserve"> </w:t>
      </w:r>
      <w:r>
        <w:t xml:space="preserve">agreement is 0.455 in HET-LITE and 0.490 in HET.</w:t>
      </w:r>
    </w:p>
    <w:p>
      <w:pPr>
        <w:pStyle w:val="Compact"/>
        <w:numPr>
          <w:ilvl w:val="0"/>
          <w:numId w:val="1009"/>
        </w:numPr>
      </w:pPr>
      <w:r>
        <w:t xml:space="preserve">Same-model agreement remains high across configurations, while different-model pairs exhibit</w:t>
      </w:r>
      <w:r>
        <w:t xml:space="preserve"> </w:t>
      </w:r>
      <w:r>
        <w:t xml:space="preserve">substantially lower agreement. The reduction in ensemble agreement is therefore associated</w:t>
      </w:r>
      <w:r>
        <w:t xml:space="preserve"> </w:t>
      </w:r>
      <w:r>
        <w:t xml:space="preserve">with the introduction of different-model pairs rather than a systematic decline in agreement</w:t>
      </w:r>
      <w:r>
        <w:t xml:space="preserve"> </w:t>
      </w:r>
      <w:r>
        <w:t xml:space="preserve">among repeated instances of the 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assigning distinct seeds removes the specific shared-seed artifact</w:t>
      </w:r>
      <w:r>
        <w:t xml:space="preserve"> </w:t>
      </w:r>
      <w:r>
        <w:t xml:space="preserve">observed in the pilot but does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the cost calculation. For each model call, metered prompt and completion tokens</w:t>
      </w:r>
      <w:r>
        <w:t xml:space="preserve"> </w:t>
      </w:r>
      <w:r>
        <w:t xml:space="preserve">are priced using the per-million-token rates reported in the model registry.</w:t>
      </w:r>
    </w:p>
    <w:p>
      <w:pPr>
        <w:pStyle w:val="Compact"/>
        <w:numPr>
          <w:ilvl w:val="0"/>
          <w:numId w:val="1011"/>
        </w:numPr>
      </w:pPr>
      <w:r>
        <w:t xml:space="preserve">Costs are summed across the five agents within each ensemble decision and then averaged</w:t>
      </w:r>
      <w:r>
        <w:t xml:space="preserve"> </w:t>
      </w:r>
      <w:r>
        <w:t xml:space="preserve">across cells within each configuration.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HET. Moving from HOM to HET therefore increases inference cost by approximately 4.4×.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data collection. No discount, batching, or</w:t>
      </w:r>
      <w:r>
        <w:t xml:space="preserve"> </w:t>
      </w:r>
      <w:r>
        <w:t xml:space="preserve">caching adjustment is applied. Failed requests returning no billable completion are</w:t>
      </w:r>
      <w:r>
        <w:t xml:space="preserve"> </w:t>
      </w:r>
      <w:r>
        <w:t xml:space="preserve">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to five index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algorithmic monoculture, inter-rater agreement,</w:t>
      </w:r>
      <w:r>
        <w:t xml:space="preserve"> </w:t>
      </w:r>
      <w:r>
        <w:t xml:space="preserve">large language models, model heterogeneity, and multi-agent systems.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article does not propose a new ensemble algorithm, so a direct task-performance</w:t>
      </w:r>
      <w:r>
        <w:t xml:space="preserve"> </w:t>
      </w:r>
      <w:r>
        <w:t xml:space="preserve">competition with existing ensemble methods is not the primary comparison.</w:t>
      </w:r>
    </w:p>
    <w:p>
      <w:pPr>
        <w:pStyle w:val="Compact"/>
        <w:numPr>
          <w:ilvl w:val="0"/>
          <w:numId w:val="1015"/>
        </w:numPr>
      </w:pPr>
      <w:r>
        <w:t xml:space="preserve">Existing methods such as mixture-of-agents, multi-agent debate, and diversity-based ensemble</w:t>
      </w:r>
      <w:r>
        <w:t xml:space="preserve"> </w:t>
      </w:r>
      <w:r>
        <w:t xml:space="preserve">selection are generally evaluated through downstream performance. The present study instead</w:t>
      </w:r>
      <w:r>
        <w:t xml:space="preserve"> </w:t>
      </w:r>
      <w:r>
        <w:t xml:space="preserve">measures how ensemble composition changes output agreement, error dependence, and inference</w:t>
      </w:r>
      <w:r>
        <w:t xml:space="preserve"> </w:t>
      </w:r>
      <w:r>
        <w:t xml:space="preserve">cost under fixed task conditions.</w:t>
      </w:r>
    </w:p>
    <w:p>
      <w:pPr>
        <w:pStyle w:val="Compact"/>
        <w:numPr>
          <w:ilvl w:val="0"/>
          <w:numId w:val="1015"/>
        </w:numPr>
      </w:pPr>
      <w:r>
        <w:t xml:space="preserve">The relevant comparison is therefore methodological. The study separates output agreement</w:t>
      </w:r>
      <w:r>
        <w:t xml:space="preserve"> </w:t>
      </w:r>
      <w:r>
        <w:t xml:space="preserve">from error correlation, controls the shared-seed artifact observed in repeated model</w:t>
      </w:r>
      <w:r>
        <w:t xml:space="preserve"> </w:t>
      </w:r>
      <w:r>
        <w:t xml:space="preserve">sampling, quantifies statistical 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V-L,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</w:t>
      </w:r>
    </w:p>
    <w:p>
      <w:pPr>
        <w:pStyle w:val="Compact"/>
        <w:numPr>
          <w:ilvl w:val="0"/>
          <w:numId w:val="1017"/>
        </w:numPr>
      </w:pPr>
      <w:r>
        <w:t xml:space="preserve">We therefore interpret the provider comparisons as configuration-specific observational</w:t>
      </w:r>
      <w:r>
        <w:t xml:space="preserve"> </w:t>
      </w:r>
      <w:r>
        <w:t xml:space="preserve">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when model tier is held approximately constant across OpenAI and Google.</w:t>
      </w:r>
    </w:p>
    <w:p>
      <w:pPr>
        <w:pStyle w:val="Compact"/>
        <w:numPr>
          <w:ilvl w:val="0"/>
          <w:numId w:val="1017"/>
        </w:numPr>
      </w:pPr>
      <w:r>
        <w:t xml:space="preserve">The clinical replication provides an additional approximate capability-matched comparison.</w:t>
      </w:r>
      <w:r>
        <w:t xml:space="preserve"> </w:t>
      </w:r>
      <w:r>
        <w:t xml:space="preserve">One same-provider pair and one cross-provider pair have mean member accuracy of 0.951 and</w:t>
      </w:r>
      <w:r>
        <w:t xml:space="preserve"> </w:t>
      </w:r>
      <w:r>
        <w:t xml:space="preserve">0.955 respectively, while their error correlations are 0.954 and 0.607.</w:t>
      </w:r>
    </w:p>
    <w:p>
      <w:pPr>
        <w:pStyle w:val="Compact"/>
        <w:numPr>
          <w:ilvl w:val="0"/>
          <w:numId w:val="1017"/>
        </w:numPr>
      </w:pPr>
      <w:r>
        <w:t xml:space="preserve">These analyses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include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remains the pre-registered primary resampling unit because repeated observations are</w:t>
      </w:r>
      <w:r>
        <w:t xml:space="preserve"> </w:t>
      </w:r>
      <w:r>
        <w:t xml:space="preserve">nested within securities. Analysis date is treated as a second crossed source of dependence</w:t>
      </w:r>
      <w:r>
        <w:t xml:space="preserve"> </w:t>
      </w:r>
      <w:r>
        <w:t xml:space="preserve">because all securities evaluated on a date share common market conditions.</w:t>
      </w:r>
    </w:p>
    <w:p>
      <w:pPr>
        <w:pStyle w:val="Compact"/>
        <w:numPr>
          <w:ilvl w:val="0"/>
          <w:numId w:val="1019"/>
        </w:numPr>
      </w:pPr>
      <w:r>
        <w:t xml:space="preserve">For the primary HOM-HET agreement contrast, the point estimate is 0.3363 under all three</w:t>
      </w:r>
      <w:r>
        <w:t xml:space="preserve"> </w:t>
      </w:r>
      <w:r>
        <w:t xml:space="preserve">resampling schemes. The 95% confidence intervals are [0.3035, 0.3689] under equity</w:t>
      </w:r>
      <w:r>
        <w:t xml:space="preserve"> </w:t>
      </w:r>
      <w:r>
        <w:t xml:space="preserve">clustering, [0.2989, 0.3656] under date clustering, and [0.2786, 0.3877] under two-way</w:t>
      </w:r>
      <w:r>
        <w:t xml:space="preserve"> </w:t>
      </w:r>
      <w:r>
        <w:t xml:space="preserve">resampling. All exclude zero.</w:t>
      </w:r>
    </w:p>
    <w:p>
      <w:pPr>
        <w:pStyle w:val="Compact"/>
        <w:numPr>
          <w:ilvl w:val="0"/>
          <w:numId w:val="1019"/>
        </w:numPr>
      </w:pPr>
      <w:r>
        <w:t xml:space="preserve">We also applied two-way sensitivity analysis to the exploratory contrasts carrying</w:t>
      </w:r>
      <w:r>
        <w:t xml:space="preserve"> </w:t>
      </w:r>
      <w:r>
        <w:t xml:space="preserve">inferential claims. The unanimous-incorrect ratio has a two-way interval of [1.13, 3.06].</w:t>
      </w:r>
      <w:r>
        <w:t xml:space="preserve"> </w:t>
      </w:r>
      <w:r>
        <w:t xml:space="preserve">The pile-on contrast has an interval of [0.140, 0.232]. The AURC contrast has an interval of</w:t>
      </w:r>
      <w:r>
        <w:t xml:space="preserve"> </w:t>
      </w:r>
      <w:r>
        <w:t xml:space="preserve">[-0.113, 0.115].</w:t>
      </w:r>
    </w:p>
    <w:p>
      <w:pPr>
        <w:pStyle w:val="Compact"/>
        <w:numPr>
          <w:ilvl w:val="0"/>
          <w:numId w:val="1019"/>
        </w:numPr>
      </w:pPr>
      <w:r>
        <w:t xml:space="preserve">The error-correlation results also remain resolved under two-way resampling. The main φ</w:t>
      </w:r>
      <w:r>
        <w:t xml:space="preserve"> </w:t>
      </w:r>
      <w:r>
        <w:t xml:space="preserve">contrast has a two-way interval of [0.328, 0.586], and the common-subset specification that</w:t>
      </w:r>
      <w:r>
        <w:t xml:space="preserve"> </w:t>
      </w:r>
      <w:r>
        <w:t xml:space="preserve">counts HOLD as an error has an interval of [0.227, 0.387].</w:t>
      </w:r>
    </w:p>
    <w:p>
      <w:pPr>
        <w:pStyle w:val="Compact"/>
        <w:numPr>
          <w:ilvl w:val="0"/>
          <w:numId w:val="1019"/>
        </w:numPr>
      </w:pPr>
      <w:r>
        <w:t xml:space="preserve">The bootstrap implementation was also corrected so that repeated sampled equities retain</w:t>
      </w:r>
      <w:r>
        <w:t xml:space="preserve"> </w:t>
      </w:r>
      <w:r>
        <w:t xml:space="preserve">their multiplicity. The equity-clustered result now reproduces the pre-registered primary</w:t>
      </w:r>
      <w:r>
        <w:t xml:space="preserve"> </w:t>
      </w:r>
      <w:r>
        <w:t xml:space="preserve">interval exactly.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was revised to justify equity clustering and</w:t>
      </w:r>
      <w:r>
        <w:t xml:space="preserve"> </w:t>
      </w:r>
      <w:r>
        <w:t xml:space="preserve">define the date-clustered and two-way resampling procedures.</w:t>
      </w:r>
    </w:p>
    <w:p>
      <w:pPr>
        <w:pStyle w:val="Compact"/>
        <w:numPr>
          <w:ilvl w:val="0"/>
          <w:numId w:val="1020"/>
        </w:numPr>
      </w:pPr>
      <w:r>
        <w:t xml:space="preserve">Table 5 was added to report the primary HOM-HET contrast under equity, date, and two-way</w:t>
      </w:r>
      <w:r>
        <w:t xml:space="preserve"> </w:t>
      </w:r>
      <w:r>
        <w:t xml:space="preserve">resampling.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two-way sensitivity intervals 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two-way</w:t>
      </w:r>
      <w:r>
        <w:t xml:space="preserve"> </w:t>
      </w:r>
      <w:r>
        <w:t xml:space="preserve">uncertainty for the unanimous-incorrect ratio and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 subsection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revised to report the two-way AURC</w:t>
      </w:r>
      <w:r>
        <w:t xml:space="preserve"> </w:t>
      </w:r>
      <w:r>
        <w:t xml:space="preserve">interval.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second option and now measure error dependence directly.</w:t>
      </w:r>
    </w:p>
    <w:p>
      <w:pPr>
        <w:pStyle w:val="Compact"/>
        <w:numPr>
          <w:ilvl w:val="0"/>
          <w:numId w:val="1021"/>
        </w:numPr>
      </w:pPr>
      <w:r>
        <w:t xml:space="preserve">For every pair of agents within an ensemble cell, we compute φ between binary error</w:t>
      </w:r>
      <w:r>
        <w:t xml:space="preserve"> </w:t>
      </w:r>
      <w:r>
        <w:t xml:space="preserve">indicators. Error correlation decreases from 0.984 for HOM to 0.742 for HET-LITE and 0.530</w:t>
      </w:r>
      <w:r>
        <w:t xml:space="preserve"> </w:t>
      </w:r>
      <w:r>
        <w:t xml:space="preserve">for HET. The HOM-HET contrast is 0.454 with a 95% confidence interval of [0.376, 0.534].</w:t>
      </w:r>
      <w:r>
        <w:t xml:space="preserve"> </w:t>
      </w:r>
      <w:r>
        <w:t xml:space="preserve">Under two-way resampling, the interval is [0.328, 0.586].</w:t>
      </w:r>
    </w:p>
    <w:p>
      <w:pPr>
        <w:pStyle w:val="Compact"/>
        <w:numPr>
          <w:ilvl w:val="0"/>
          <w:numId w:val="1021"/>
        </w:numPr>
      </w:pPr>
      <w:r>
        <w:t xml:space="preserve">Because treating HOLD as an abstention changes the evaluated subset, we repeat the analysis</w:t>
      </w:r>
      <w:r>
        <w:t xml:space="preserve"> </w:t>
      </w:r>
      <w:r>
        <w:t xml:space="preserve">with HOLD counted as an error. The corresponding HOM-HET contrast is 0.309 with a 95%</w:t>
      </w:r>
      <w:r>
        <w:t xml:space="preserve"> </w:t>
      </w:r>
      <w:r>
        <w:t xml:space="preserve">confidence interval of [0.262, 0.354]. The two-way interval is [0.227, 0.387].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remain similar across configurations, so the decline in φ</w:t>
      </w:r>
      <w:r>
        <w:t xml:space="preserve"> </w:t>
      </w:r>
      <w:r>
        <w:t xml:space="preserve">reflects lower error dependence rather than 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distinguishes output agreement, error correlation, sampling independence,</w:t>
      </w:r>
      <w:r>
        <w:t xml:space="preserve"> </w:t>
      </w:r>
      <w:r>
        <w:t xml:space="preserve">model diversity, and provider diversity. Decorrelation is defined specifically as a</w:t>
      </w:r>
      <w:r>
        <w:t xml:space="preserve"> </w:t>
      </w:r>
      <w:r>
        <w:t xml:space="preserve">reduction in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Reduces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described explicitly as an agreement result.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a selective-prediction analysis using mean agent conviction to rank decisions. The</w:t>
      </w:r>
      <w:r>
        <w:t xml:space="preserve"> </w:t>
      </w:r>
      <w:r>
        <w:t xml:space="preserve">HOM-HET AURC difference is -0.001 with a 95% equity-clustered confidence interval of</w:t>
      </w:r>
      <w:r>
        <w:t xml:space="preserve"> </w:t>
      </w:r>
      <w:r>
        <w:t xml:space="preserve">[-0.059, 0.060]. The corresponding two-way interval is [-0.113, 0.115]. Both contain zero.</w:t>
      </w:r>
    </w:p>
    <w:p>
      <w:pPr>
        <w:pStyle w:val="Compact"/>
        <w:numPr>
          <w:ilvl w:val="0"/>
          <w:numId w:val="1023"/>
        </w:numPr>
      </w:pPr>
      <w:r>
        <w:t xml:space="preserve">The unanimous-incorrect ratio is 1.84 with an equity-clustered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23"/>
        </w:numPr>
      </w:pPr>
      <w:r>
        <w:t xml:space="preserve">For pile-on, the HOM-HET difference is 0.189 with an equity-clustered interval of [0.160,</w:t>
      </w:r>
      <w:r>
        <w:t xml:space="preserve"> </w:t>
      </w:r>
      <w:r>
        <w:t xml:space="preserve">0.216] and a two-way interval of [0.140, 0.232].</w:t>
      </w:r>
    </w:p>
    <w:p>
      <w:pPr>
        <w:pStyle w:val="Compact"/>
        <w:numPr>
          <w:ilvl w:val="0"/>
          <w:numId w:val="1023"/>
        </w:numPr>
      </w:pPr>
      <w:r>
        <w:t xml:space="preserve">We also report error correlation with HOLD counted as an error, which fixes the evaluated</w:t>
      </w:r>
      <w:r>
        <w:t xml:space="preserve"> </w:t>
      </w:r>
      <w:r>
        <w:t xml:space="preserve">subset across configurations. The resulting HOM-HET φ contrast is 0.309 with a 95%</w:t>
      </w:r>
      <w:r>
        <w:t xml:space="preserve"> </w:t>
      </w:r>
      <w:r>
        <w:t xml:space="preserve">confidence interval of [0.262, 0.354] and a two-way interval of [0.227, 0.387].</w:t>
      </w:r>
    </w:p>
    <w:p>
      <w:pPr>
        <w:pStyle w:val="Compact"/>
        <w:numPr>
          <w:ilvl w:val="0"/>
          <w:numId w:val="1023"/>
        </w:numPr>
      </w:pPr>
      <w:r>
        <w:t xml:space="preserve">Wilson intervals are retained only in the descriptive secondary accuracy analysis and are no</w:t>
      </w:r>
      <w:r>
        <w:t xml:space="preserve"> </w:t>
      </w:r>
      <w:r>
        <w:t xml:space="preserve">longer the principal inferential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 subsection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manuscript now states explicitly that assigning distinct per-agent seeds removes the</w:t>
      </w:r>
      <w:r>
        <w:t xml:space="preserve"> </w:t>
      </w:r>
      <w:r>
        <w:t xml:space="preserve">demonstrated shared-seed artifact but does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planned responses, all of which ultimately returned</w:t>
      </w:r>
      <w:r>
        <w:t xml:space="preserve"> </w:t>
      </w:r>
      <w:r>
        <w:t xml:space="preserve">valid outputs. Completing the grid required 94,566 API requests. Of the 40,566 unsuccessful</w:t>
      </w:r>
      <w:r>
        <w:t xml:space="preserve"> </w:t>
      </w:r>
      <w:r>
        <w:t xml:space="preserve">requests, 40,544 were rate-limit or quota responses and 22 were transport or schema</w:t>
      </w:r>
      <w:r>
        <w:t xml:space="preserve"> </w:t>
      </w:r>
      <w:r>
        <w:t xml:space="preserve">failures.</w:t>
      </w:r>
    </w:p>
    <w:p>
      <w:pPr>
        <w:pStyle w:val="Compact"/>
        <w:numPr>
          <w:ilvl w:val="0"/>
          <w:numId w:val="1025"/>
        </w:numPr>
      </w:pPr>
      <w:r>
        <w:t xml:space="preserve">Every request attempt is retained in the released log. The reproducibility materials contain</w:t>
      </w:r>
      <w:r>
        <w:t xml:space="preserve"> </w:t>
      </w:r>
      <w:r>
        <w:t xml:space="preserve">request settings, complete prompts, prompt hashes, model identifiers, seeds, prices,</w:t>
      </w:r>
      <w:r>
        <w:t xml:space="preserve"> </w:t>
      </w:r>
      <w:r>
        <w:t xml:space="preserve">experimental configuration, pre-registration records, archived responses, and the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contains only two like-for-like pilot quantities. Both measure the HOM-HET</w:t>
      </w:r>
      <w:r>
        <w:t xml:space="preserve"> </w:t>
      </w:r>
      <w:r>
        <w:t xml:space="preserve">agreement contrast on the same pilot grid and model set. The contrast is 0.485 under a</w:t>
      </w:r>
      <w:r>
        <w:t xml:space="preserve"> </w:t>
      </w:r>
      <w:r>
        <w:t xml:space="preserve">shared seed and 0.113 under distinct per-agent seeds.</w:t>
      </w:r>
    </w:p>
    <w:p>
      <w:pPr>
        <w:pStyle w:val="Compact"/>
        <w:numPr>
          <w:ilvl w:val="0"/>
          <w:numId w:val="1025"/>
        </w:numPr>
      </w:pPr>
      <w:r>
        <w:t xml:space="preserve">The full-study within-minus-cross-run diagnostic is reported separately in Table 6 and is no</w:t>
      </w:r>
      <w:r>
        <w:t xml:space="preserve"> </w:t>
      </w:r>
      <w:r>
        <w:t xml:space="preserve">longer combined with the Figure 3 estimand.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subsets.</w:t>
      </w:r>
    </w:p>
    <w:p>
      <w:pPr>
        <w:pStyle w:val="Compact"/>
        <w:numPr>
          <w:ilvl w:val="0"/>
          <w:numId w:val="1027"/>
        </w:numPr>
      </w:pPr>
      <w:r>
        <w:t xml:space="preserve">The task has four response options with one correct answer rather than the three BUY, HOLD,</w:t>
      </w:r>
      <w:r>
        <w:t xml:space="preserve"> </w:t>
      </w:r>
      <w:r>
        <w:t xml:space="preserve">and SELL labels used in the financial experiment. Chance performance is 25%, and the</w:t>
      </w:r>
      <w:r>
        <w:t xml:space="preserve"> </w:t>
      </w:r>
      <w:r>
        <w:t xml:space="preserve">evaluated models perform substantially above that level.</w:t>
      </w:r>
    </w:p>
    <w:p>
      <w:pPr>
        <w:pStyle w:val="Compact"/>
        <w:numPr>
          <w:ilvl w:val="0"/>
          <w:numId w:val="1027"/>
        </w:numPr>
      </w:pPr>
      <w:r>
        <w:t xml:space="preserve">Choice order is shuffled deterministically within each item to remove positional imbalance</w:t>
      </w:r>
      <w:r>
        <w:t xml:space="preserve"> </w:t>
      </w:r>
      <w:r>
        <w:t xml:space="preserve">in the published answer key.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reproduces. Agreement decreases by Δκ = 0.072 with a 95% confidence</w:t>
      </w:r>
      <w:r>
        <w:t xml:space="preserve"> </w:t>
      </w:r>
      <w:r>
        <w:t xml:space="preserve">interval of [0.040, 0.104], while error correlation decreases by Δφ = 0.393 with a 95%</w:t>
      </w:r>
      <w:r>
        <w:t xml:space="preserve"> </w:t>
      </w:r>
      <w:r>
        <w:t xml:space="preserve">confidence interval of [0.325, 0.459].</w:t>
      </w:r>
    </w:p>
    <w:p>
      <w:pPr>
        <w:pStyle w:val="Compact"/>
        <w:numPr>
          <w:ilvl w:val="0"/>
          <w:numId w:val="1027"/>
        </w:numPr>
      </w:pPr>
      <w:r>
        <w:t xml:space="preserve">The agreement contrast is substantially smaller than in finance, while the error-correlation</w:t>
      </w:r>
      <w:r>
        <w:t xml:space="preserve"> </w:t>
      </w:r>
      <w:r>
        <w:t xml:space="preserve">contrast attenuates much less. We therefore report the cross-domain replication without</w:t>
      </w:r>
      <w:r>
        <w:t xml:space="preserve"> </w:t>
      </w:r>
      <w:r>
        <w:t xml:space="preserve">claiming that the magnitude is invariant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V-I,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2026-10-02T03:35:49Z</dcterms:created>
  <dcterms:modified xsi:type="dcterms:W3CDTF">2026-10-02T03:35:49Z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