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</w:t>
      </w:r>
      <w:r>
        <w:t xml:space="preserve"> </w:t>
      </w:r>
      <w:r>
        <w:t xml:space="preserve">equity-clustered 95% confidence interval is [1.42, 2.52], and the two-way interval is [1.13,</w:t>
      </w:r>
      <w:r>
        <w:t xml:space="preserve"> </w:t>
      </w:r>
      <w:r>
        <w:t xml:space="preserve">3.06]. Because this analysis is post hoc and no multiplicity adjustment is applied, we treat</w:t>
      </w:r>
      <w:r>
        <w:t xml:space="preserve"> </w:t>
      </w:r>
      <w:r>
        <w:t xml:space="preserve">it as 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 [20].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Δκ = 0.072 with a 95% confidence interval of</w:t>
      </w:r>
      <w:r>
        <w:t xml:space="preserve"> </w:t>
      </w:r>
      <w:r>
        <w:t xml:space="preserve">[0.040, 0.104], compared with 0.336 in finance. Error correlation decreases by Δφ = 0.393</w:t>
      </w:r>
      <w:r>
        <w:t xml:space="preserve"> </w:t>
      </w:r>
      <w:r>
        <w:t xml:space="preserve">with a 95% confidence interval of [0.325, 0.459], compared with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</w:t>
      </w:r>
      <w:r>
        <w:t xml:space="preserve"> </w:t>
      </w:r>
      <w:r>
        <w:t xml:space="preserve">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</w:t>
      </w:r>
      <w:r>
        <w:t xml:space="preserve"> </w:t>
      </w:r>
      <w:r>
        <w:t xml:space="preserve">interval is [1.42, 2.52]. Under two-way equity and date resampling,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</w:t>
      </w:r>
      <w:r>
        <w:t xml:space="preserve"> </w:t>
      </w:r>
      <w:r>
        <w:t xml:space="preserve">efficiency 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</w:t>
      </w:r>
      <w:r>
        <w:t xml:space="preserve"> </w:t>
      </w:r>
      <w:r>
        <w:t xml:space="preserve">across 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4.4×.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</w:t>
      </w:r>
      <w:r>
        <w:t xml:space="preserve"> </w:t>
      </w:r>
      <w:r>
        <w:t xml:space="preserve">caching adjustment is applied. Failed requests returning no billable completion are</w:t>
      </w:r>
      <w:r>
        <w:t xml:space="preserve"> </w:t>
      </w:r>
      <w:r>
        <w:t xml:space="preserve">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research paper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</w:t>
      </w:r>
      <w:r>
        <w:t xml:space="preserve"> </w:t>
      </w:r>
      <w:r>
        <w:t xml:space="preserve">from error correlation, controls the shared-seed artifact observed in repeated model</w:t>
      </w:r>
      <w:r>
        <w:t xml:space="preserve"> </w:t>
      </w:r>
      <w:r>
        <w:t xml:space="preserve">sampling, 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</w:t>
      </w:r>
      <w:r>
        <w:t xml:space="preserve"> </w:t>
      </w:r>
      <w:r>
        <w:t xml:space="preserve">One same-provider pair and one cross-provider pair have mean member accuracy of 0.951 and</w:t>
      </w:r>
      <w:r>
        <w:t xml:space="preserve"> </w:t>
      </w:r>
      <w:r>
        <w:t xml:space="preserve">0.955 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is the pre-registered primary resampling unit because the repeated observations in</w:t>
      </w:r>
      <w:r>
        <w:t xml:space="preserve"> </w:t>
      </w:r>
      <w:r>
        <w:t xml:space="preserve">this design are nested within securities: each equity is evaluated on 12 analysis dates, and</w:t>
      </w:r>
      <w:r>
        <w:t xml:space="preserve"> </w:t>
      </w:r>
      <w:r>
        <w:t xml:space="preserve">every response for that equity shares company-specific context. Analysis date is the second,</w:t>
      </w:r>
      <w:r>
        <w:t xml:space="preserve"> </w:t>
      </w:r>
      <w:r>
        <w:t xml:space="preserve">crossed source of dependence, because all securities evaluated on a given date share common</w:t>
      </w:r>
      <w:r>
        <w:t xml:space="preserve"> </w:t>
      </w:r>
      <w:r>
        <w:t xml:space="preserve">market conditions. Neither margin nests inside the other, so they are resampled</w:t>
      </w:r>
      <w:r>
        <w:t xml:space="preserve"> </w:t>
      </w:r>
      <w:r>
        <w:t xml:space="preserve">independently rather than hierarchically.</w:t>
      </w:r>
    </w:p>
    <w:p>
      <w:pPr>
        <w:pStyle w:val="Compact"/>
        <w:numPr>
          <w:ilvl w:val="0"/>
          <w:numId w:val="1019"/>
        </w:numPr>
      </w:pPr>
      <w:r>
        <w:t xml:space="preserve">The two-way procedure draws equities with replacement and dates with replacement,</w:t>
      </w:r>
      <w:r>
        <w:t xml:space="preserve"> </w:t>
      </w:r>
      <w:r>
        <w:t xml:space="preserve">independently, retains the sampled equity-date intersections, and preserves multiplicity on</w:t>
      </w:r>
      <w:r>
        <w:t xml:space="preserve"> </w:t>
      </w:r>
      <w:r>
        <w:t xml:space="preserve">both margins: a cluster drawn twice contributes twice. It uses 2,000 draws at the</w:t>
      </w:r>
      <w:r>
        <w:t xml:space="preserve"> </w:t>
      </w:r>
      <w:r>
        <w:t xml:space="preserve">pre-registered seed and recomputes the full estimator inside every draw.</w:t>
      </w:r>
    </w:p>
    <w:p>
      <w:pPr>
        <w:pStyle w:val="Compact"/>
        <w:numPr>
          <w:ilvl w:val="0"/>
          <w:numId w:val="1019"/>
        </w:numPr>
      </w:pPr>
      <w:r>
        <w:t xml:space="preserve">Primary HOM-HET agreement contrast, Δκ = 0.3363: [0.3035, 0.3689] under equity clustering</w:t>
      </w:r>
      <w:r>
        <w:t xml:space="preserve"> </w:t>
      </w:r>
      <w:r>
        <w:t xml:space="preserve">(100 clusters), [0.2989, 0.3656] under date clustering (12 clusters), [0.2786, 0.3877] under</w:t>
      </w:r>
      <w:r>
        <w:t xml:space="preserve"> </w:t>
      </w:r>
      <w:r>
        <w:t xml:space="preserve">two-way resampling (1,200 intersections). All exclude zero.</w:t>
      </w:r>
    </w:p>
    <w:p>
      <w:pPr>
        <w:pStyle w:val="Compact"/>
        <w:numPr>
          <w:ilvl w:val="0"/>
          <w:numId w:val="1019"/>
        </w:numPr>
      </w:pPr>
      <w:r>
        <w:t xml:space="preserve">The two pre-registered secondary agreement contrasts are measured on the same grid and are</w:t>
      </w:r>
      <w:r>
        <w:t xml:space="preserve"> </w:t>
      </w:r>
      <w:r>
        <w:t xml:space="preserve">now reported under the same scheme. HOM-HET-LITE Δκ = 0.249: equity [0.218, 0.280], two-way</w:t>
      </w:r>
      <w:r>
        <w:t xml:space="preserve"> </w:t>
      </w:r>
      <w:r>
        <w:t xml:space="preserve">[0.208, 0.290]. HET-LITE-HET Δκ = 0.087: equity [0.067, 0.105], two-way [0.045, 0.123]. Both</w:t>
      </w:r>
      <w:r>
        <w:t xml:space="preserve"> </w:t>
      </w:r>
      <w:r>
        <w:t xml:space="preserve">continue to exclude zero.</w:t>
      </w:r>
    </w:p>
    <w:p>
      <w:pPr>
        <w:pStyle w:val="Compact"/>
        <w:numPr>
          <w:ilvl w:val="0"/>
          <w:numId w:val="1019"/>
        </w:numPr>
      </w:pPr>
      <w:r>
        <w:t xml:space="preserve">The capability-matched control is measured on the same 100 equities and 12 dates and asserts</w:t>
      </w:r>
      <w:r>
        <w:t xml:space="preserve"> </w:t>
      </w:r>
      <w:r>
        <w:t xml:space="preserve">that its interval excludes zero, so it receives the same treatment. Δκ(HOM-SameTier) =</w:t>
      </w:r>
      <w:r>
        <w:t xml:space="preserve"> </w:t>
      </w:r>
      <w:r>
        <w:t xml:space="preserve">0.315: equity [0.288, 0.341], two-way [0.270, 0.361]. Both exclude zero.</w:t>
      </w:r>
    </w:p>
    <w:p>
      <w:pPr>
        <w:pStyle w:val="Compact"/>
        <w:numPr>
          <w:ilvl w:val="0"/>
          <w:numId w:val="1019"/>
        </w:numPr>
      </w:pPr>
      <w:r>
        <w:t xml:space="preserve">Every exploratory contrast that carries an inferential claim is also reported both ways.</w:t>
      </w:r>
      <w:r>
        <w:t xml:space="preserve"> </w:t>
      </w:r>
      <w:r>
        <w:t xml:space="preserve">Error correlation Δφ = 0.454: equity [0.376, 0.534], two-way [0.328, 0.586]. The</w:t>
      </w:r>
      <w:r>
        <w:t xml:space="preserve"> </w:t>
      </w:r>
      <w:r>
        <w:t xml:space="preserve">common-subset specification counting HOLD as an error, Δφ = 0.309: equity [0.262, 0.354],</w:t>
      </w:r>
      <w:r>
        <w:t xml:space="preserve"> </w:t>
      </w:r>
      <w:r>
        <w:t xml:space="preserve">two-way [0.227, 0.387]. Unanimous-incorrect ratio 1.84: equity [1.42, 2.52], two-way [1.13,</w:t>
      </w:r>
      <w:r>
        <w:t xml:space="preserve"> </w:t>
      </w:r>
      <w:r>
        <w:t xml:space="preserve">3.06]. Pile-on Δ = 0.189: equity [0.160, 0.216], two-way [0.140, 0.232]. AURC Δ = -0.001:</w:t>
      </w:r>
      <w:r>
        <w:t xml:space="preserve"> </w:t>
      </w:r>
      <w:r>
        <w:t xml:space="preserve">equity [-0.059, 0.060], two-way [-0.113, 0.115]. No conclusion changes under the wider</w:t>
      </w:r>
      <w:r>
        <w:t xml:space="preserve"> </w:t>
      </w:r>
      <w:r>
        <w:t xml:space="preserve">scheme: the intervals that excluded the null still exclude it, and the AURC interval still</w:t>
      </w:r>
      <w:r>
        <w:t xml:space="preserve"> </w:t>
      </w:r>
      <w:r>
        <w:t xml:space="preserve">contains zero.</w:t>
      </w:r>
    </w:p>
    <w:p>
      <w:pPr>
        <w:pStyle w:val="Compact"/>
        <w:numPr>
          <w:ilvl w:val="0"/>
          <w:numId w:val="1019"/>
        </w:numPr>
      </w:pPr>
      <w:r>
        <w:t xml:space="preserve">Two groups of intervals are deliberately not given a two-way treatment, for reasons of</w:t>
      </w:r>
      <w:r>
        <w:t xml:space="preserve"> </w:t>
      </w:r>
      <w:r>
        <w:t xml:space="preserve">design rather than convenience. The temperature-sensitivity analysis is a small supporting</w:t>
      </w:r>
      <w:r>
        <w:t xml:space="preserve"> </w:t>
      </w:r>
      <w:r>
        <w:t xml:space="preserve">subgrid of eight equities and two analysis dates; two date clusters cannot support</w:t>
      </w:r>
      <w:r>
        <w:t xml:space="preserve"> </w:t>
      </w:r>
      <w:r>
        <w:t xml:space="preserve">date-clustered or two-way inference, so its intervals remain clustered on equities only and</w:t>
      </w:r>
      <w:r>
        <w:t xml:space="preserve"> </w:t>
      </w:r>
      <w:r>
        <w:t xml:space="preserve">the manuscript now states that this analysis contributes no independent multiway evidence.</w:t>
      </w:r>
      <w:r>
        <w:t xml:space="preserve"> </w:t>
      </w:r>
      <w:r>
        <w:t xml:space="preserve">The clinical replication is indexed by MMLU items rather than by equities and dates, so the</w:t>
      </w:r>
      <w:r>
        <w:t xml:space="preserve"> </w:t>
      </w:r>
      <w:r>
        <w:t xml:space="preserve">financial equity-date bootstrap does not apply to it; its intervals are clustered on items.</w:t>
      </w:r>
    </w:p>
    <w:p>
      <w:pPr>
        <w:pStyle w:val="Compact"/>
        <w:numPr>
          <w:ilvl w:val="0"/>
          <w:numId w:val="1019"/>
        </w:numPr>
      </w:pPr>
      <w:r>
        <w:t xml:space="preserve">The Wilson intervals in the secondary directional-accuracy table are marginal and</w:t>
      </w:r>
      <w:r>
        <w:t xml:space="preserve"> </w:t>
      </w:r>
      <w:r>
        <w:t xml:space="preserve">descriptive. They are retained as descriptive only and are not the basis of any inferential</w:t>
      </w:r>
      <w:r>
        <w:t xml:space="preserve"> </w:t>
      </w:r>
      <w:r>
        <w:t xml:space="preserve">claim, so replacing them with a clustered interval would imply an inference the manuscript</w:t>
      </w:r>
      <w:r>
        <w:t xml:space="preserve"> </w:t>
      </w:r>
      <w:r>
        <w:t xml:space="preserve">does not make.</w:t>
      </w:r>
    </w:p>
    <w:p>
      <w:pPr>
        <w:pStyle w:val="Compact"/>
        <w:numPr>
          <w:ilvl w:val="0"/>
          <w:numId w:val="1019"/>
        </w:numPr>
      </w:pPr>
      <w:r>
        <w:t xml:space="preserve">One correction follows from this work rather than from a change of method. The</w:t>
      </w:r>
      <w:r>
        <w:t xml:space="preserve"> </w:t>
      </w:r>
      <w:r>
        <w:t xml:space="preserve">implementation used for the robustness table and for the unanimous-incorrect ratio collapsed</w:t>
      </w:r>
      <w:r>
        <w:t xml:space="preserve"> </w:t>
      </w:r>
      <w:r>
        <w:t xml:space="preserve">each draw to a set of equities, so an equity drawn twice counted once and each draw used</w:t>
      </w:r>
      <w:r>
        <w:t xml:space="preserve"> </w:t>
      </w:r>
      <w:r>
        <w:t xml:space="preserve">only the distinct equities of a 100-draw multiset. That is subsampling, not a cluster</w:t>
      </w:r>
      <w:r>
        <w:t xml:space="preserve"> </w:t>
      </w:r>
      <w:r>
        <w:t xml:space="preserve">bootstrap, and it understated the variance. Multiplicity is now preserved, which is why the</w:t>
      </w:r>
      <w:r>
        <w:t xml:space="preserve"> </w:t>
      </w:r>
      <w:r>
        <w:t xml:space="preserve">equity-clustered robustness row reproduces the primary interval exactly and why the</w:t>
      </w:r>
      <w:r>
        <w:t xml:space="preserve"> </w:t>
      </w:r>
      <w:r>
        <w:t xml:space="preserve">unanimous-incorrect interval is [1.42, 2.52] rather than the narrower [1.51, 2.35]</w:t>
      </w:r>
      <w:r>
        <w:t xml:space="preserve"> </w:t>
      </w:r>
      <w:r>
        <w:t xml:space="preserve">previously reported. The resampling code now asserts multiplicity on both margins and fails</w:t>
      </w:r>
      <w:r>
        <w:t xml:space="preserve"> </w:t>
      </w:r>
      <w:r>
        <w:t xml:space="preserve">if it is ever lost, so the error cannot recur silently.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Within each (configuration, equity, date, run) cell we form, for every unordered pair of</w:t>
      </w:r>
      <w:r>
        <w:t xml:space="preserve"> </w:t>
      </w:r>
      <w:r>
        <w:t xml:space="preserve">agent positions, the pair of binary error indicators against the realized forward-return</w:t>
      </w:r>
      <w:r>
        <w:t xml:space="preserve"> </w:t>
      </w:r>
      <w:r>
        <w:t xml:space="preserve">sign. Those pairs are pooled over all cells and all agent-position pairs within a</w:t>
      </w:r>
      <w:r>
        <w:t xml:space="preserve"> </w:t>
      </w:r>
      <w:r>
        <w:t xml:space="preserve">configuration, and φ is the Pearson correlation of the pooled set, so one φ is reported per</w:t>
      </w:r>
      <w:r>
        <w:t xml:space="preserve"> </w:t>
      </w:r>
      <w:r>
        <w:t xml:space="preserve">configuration rather than one per agent pair. Error correlation decreases from 0.984 for</w:t>
      </w:r>
      <w:r>
        <w:t xml:space="preserve"> </w:t>
      </w:r>
      <w:r>
        <w:t xml:space="preserve">HOM to 0.742 for HET-LITE and 0.530 for HET. The HOM-HET contrast is 0.454 with a 95%</w:t>
      </w:r>
      <w:r>
        <w:t xml:space="preserve"> </w:t>
      </w:r>
      <w:r>
        <w:t xml:space="preserve">confidence interval of [0.376, 0.534]. Under two-way resampling, the interval is</w:t>
      </w:r>
      <w:r>
        <w:t xml:space="preserve"> </w:t>
      </w:r>
      <w:r>
        <w:t xml:space="preserve">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φ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We do not present the lower error correlation as a performance claim. The</w:t>
      </w:r>
      <w:r>
        <w:t xml:space="preserve"> </w:t>
      </w:r>
      <w:r>
        <w:t xml:space="preserve">classifier-ensemble literature establishes that diversity and ensemble accuracy are related</w:t>
      </w:r>
      <w:r>
        <w:t xml:space="preserve"> </w:t>
      </w:r>
      <w:r>
        <w:t xml:space="preserve">but not interchangeable [17], and Section V-C and the Conclusion now say so explicitly.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</w:t>
      </w:r>
      <w:r>
        <w:t xml:space="preserve"> </w:t>
      </w:r>
      <w:r>
        <w:t xml:space="preserve">reduction in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</w:t>
      </w:r>
      <w:r>
        <w:t xml:space="preserve"> </w:t>
      </w:r>
      <w:r>
        <w:t xml:space="preserve">[-0.059, 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φ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</w:t>
      </w:r>
      <w:r>
        <w:t xml:space="preserve"> </w:t>
      </w:r>
      <w:r>
        <w:t xml:space="preserve">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</w:t>
      </w:r>
      <w:r>
        <w:t xml:space="preserve"> </w:t>
      </w:r>
      <w:r>
        <w:t xml:space="preserve">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 [20].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</w:t>
      </w:r>
      <w:r>
        <w:t xml:space="preserve"> </w:t>
      </w:r>
      <w:r>
        <w:t xml:space="preserve">evaluated 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</w:t>
      </w:r>
      <w:r>
        <w:t xml:space="preserve"> </w:t>
      </w:r>
      <w:r>
        <w:t xml:space="preserve">in 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Δκ = 0.072 with a 95% confidence</w:t>
      </w:r>
      <w:r>
        <w:t xml:space="preserve"> </w:t>
      </w:r>
      <w:r>
        <w:t xml:space="preserve">interval of [0.040, 0.104], while error correlation decreases by Δφ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2026-10-02T16:31:40Z</dcterms:created>
  <dcterms:modified xsi:type="dcterms:W3CDTF">2026-10-02T16:31:40Z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