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“Selective</w:t>
      </w:r>
      <w:r>
        <w:t xml:space="preserve"> </w:t>
      </w:r>
      <w:r>
        <w:t xml:space="preserve">Prediction,”</w:t>
      </w:r>
      <w:r>
        <w:t xml:space="preserve"> </w:t>
      </w:r>
      <w:r>
        <w:t xml:space="preserve">was added to report the risk-coverage analysis and uncertainty for the HOM-HET</w:t>
      </w:r>
      <w:r>
        <w:t xml:space="preserve"> </w:t>
      </w:r>
      <w:r>
        <w:t xml:space="preserve">AURC contrast.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algorithmic monoculture, inter-rater agreement,</w:t>
      </w:r>
      <w:r>
        <w:t xml:space="preserve"> </w:t>
      </w:r>
      <w:r>
        <w:t xml:space="preserve">large language models, model heterogeneity, and multi-agent systems.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research paper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the classifier-ensemble result that diversity and accuracy are</w:t>
      </w:r>
      <w:r>
        <w:t xml:space="preserve"> </w:t>
      </w:r>
      <w:r>
        <w:t xml:space="preserve">related but not interchangeable.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Reduces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bootstrap, which resamples the two margins separately, and the multiway-inference</w:t>
      </w:r>
      <w:r>
        <w:t xml:space="preserve"> </w:t>
      </w:r>
      <w:r>
        <w:t xml:space="preserve">literature for non-nested clustering dimensions. We state explicitly that our procedure is</w:t>
      </w:r>
      <w:r>
        <w:t xml:space="preserve"> </w:t>
      </w:r>
      <w:r>
        <w:t xml:space="preserve">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an ensemble cell, we compute φ between binary error</w:t>
      </w:r>
      <w:r>
        <w:t xml:space="preserve"> </w:t>
      </w:r>
      <w:r>
        <w:t xml:space="preserve">indicators. Error correlation decreases from 0.984 for HOM to 0.742 for HET-LITE and 0.530</w:t>
      </w:r>
      <w:r>
        <w:t xml:space="preserve"> </w:t>
      </w:r>
      <w:r>
        <w:t xml:space="preserve">for HET. The HOM-HET contrast is 0.454 with a 95% confidence interval of [0.376, 0.534].</w:t>
      </w:r>
      <w:r>
        <w:t xml:space="preserve"> </w:t>
      </w:r>
      <w:r>
        <w:t xml:space="preserve">Under two-way resampling, the interval is 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Reduces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described explicitly as an agreement result.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Each records the</w:t>
      </w:r>
      <w:r>
        <w:t xml:space="preserve"> </w:t>
      </w:r>
      <w:r>
        <w:t xml:space="preserve">UTC freeze time, the commit that carried the frozen artifacts, and the SHA-256 of the</w:t>
      </w:r>
      <w:r>
        <w:t xml:space="preserve"> </w:t>
      </w:r>
      <w:r>
        <w:t xml:space="preserve">configuration, agent and analysis code, prompt template, pre-registration, grid and model</w:t>
      </w:r>
      <w:r>
        <w:t xml:space="preserve"> </w:t>
      </w:r>
      <w:r>
        <w:t xml:space="preserve">manifest; the cross-domain replication has its own receipt,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2026-10-02T15:26:42Z</dcterms:created>
  <dcterms:modified xsi:type="dcterms:W3CDTF">2026-10-02T15:26:42Z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