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 </w:t>
      </w:r>
      <w:r>
        <w:t xml:space="preserve">and</w:t>
      </w:r>
      <w:r>
        <w:t xml:space="preserve"> </w:t>
      </w:r>
      <m:oMath>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oMath>
      <w:r>
        <w:t xml:space="preserve">.</w:t>
      </w:r>
      <w:r>
        <w:t xml:space="preserve"> </w:t>
      </w: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questions from the MMLU professional-medicine and</w:t>
      </w:r>
      <w:r>
        <w:t xml:space="preserve"> </w:t>
      </w:r>
      <w:r>
        <w:t xml:space="preserve">clinical-knowledge subsets </w:t>
      </w:r>
      <w:r>
        <w:t xml:space="preserve">(Hendrycks et al. 2021)</w:t>
      </w:r>
      <w:r>
        <w:t xml:space="preserve">. Each item has four response</w:t>
      </w:r>
      <w:r>
        <w:t xml:space="preserve"> </w:t>
      </w:r>
      <w:r>
        <w:t xml:space="preserve">options and one correct answer. 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2026-10-04T19:01:42Z</dcterms:created>
  <dcterms:modified xsi:type="dcterms:W3CDTF">2026-10-04T19:01:42Z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