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Gemini and Grok answer</w:t>
      </w:r>
      <w:r>
        <w:t xml:space="preserve"> </w:t>
      </w:r>
      <w:r>
        <w:t xml:space="preserve">those items at 0.951 and 0.960 accuracy respectively. A same-provider Gemini pair has error</w:t>
      </w:r>
      <w:r>
        <w:t xml:space="preserve"> </w:t>
      </w:r>
      <w:r>
        <w:t xml:space="preserve">correlation 0.954; a cross-provider Gemini-Grok pair has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provider, not capability, orders the result.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[0.3131, 0.3628] for equities,</w:t>
      </w:r>
      <w:r>
        <w:t xml:space="preserve"> </w:t>
      </w:r>
      <w:r>
        <w:t xml:space="preserve">[0.3090, 0.3625] for dates and [0.2946, 0.3741] two-way. The two-way interval is the widest, as</w:t>
      </w:r>
      <w:r>
        <w:t xml:space="preserve"> </w:t>
      </w:r>
      <w:r>
        <w:t xml:space="preserve">expected when two crossed dependence structures are admitted at once, and 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 and have acted on each.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The first two bars</w:t>
      </w:r>
      <w:r>
        <w:t xml:space="preserve"> </w:t>
      </w:r>
      <w:r>
        <w:t xml:space="preserve">are the pilot’s HOM-HET contrast under shared and independent seeding on the same grid and</w:t>
      </w:r>
      <w:r>
        <w:t xml:space="preserve"> </w:t>
      </w:r>
      <w:r>
        <w:t xml:space="preserve">model set. The third was the confirmatory study’s within-minus-cross-run difference for HOM,</w:t>
      </w:r>
      <w:r>
        <w:t xml:space="preserve"> </w:t>
      </w:r>
      <w:r>
        <w:t xml:space="preserve">which 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not forced the three bars into one estimand, because the first two and the third</w:t>
      </w:r>
      <w:r>
        <w:t xml:space="preserve"> </w:t>
      </w:r>
      <w:r>
        <w:t xml:space="preserve">answer different questions. We have instead labelled each for what it is, so the like-for-like</w:t>
      </w:r>
      <w:r>
        <w:t xml:space="preserve"> </w:t>
      </w:r>
      <w:r>
        <w:t xml:space="preserve">comparison establishing the artifact is the first two bars and the third is identified as a</w:t>
      </w:r>
      <w:r>
        <w:t xml:space="preserve"> </w:t>
      </w:r>
      <w:r>
        <w:t xml:space="preserve">diagnostic.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Rewrote the Figure 3 caption to identify each quantity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2026-09-29T16:59:19Z</dcterms:created>
  <dcterms:modified xsi:type="dcterms:W3CDTF">2026-09-29T16:59:19Z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