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4.png" ContentType="image/png"/>
  <Override PartName="/word/media/rId52.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Cross-provider</w:t>
      </w:r>
      <w:r>
        <w:t xml:space="preserve"> </w:t>
      </w:r>
      <w:r>
        <w:t xml:space="preserve">heterogeneity significantly reduces within-ensemble agreement, with a primary</w:t>
      </w:r>
      <w:r>
        <w:t xml:space="preserve"> </w:t>
      </w:r>
      <w:r>
        <w:t xml:space="preserve">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is not by itself a</w:t>
      </w:r>
      <w:r>
        <w:t xml:space="preserve"> </w:t>
      </w:r>
      <w:r>
        <w:t xml:space="preserve">measure of dependence between errors, we also report the correlation between</w:t>
      </w:r>
      <w:r>
        <w:t xml:space="preserve"> </w:t>
      </w:r>
      <w:r>
        <w:t xml:space="preserve">agents’ error indicators, which falls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w:t>
      </w:r>
      <m:oMath>
        <m:r>
          <m:t>0.534</m:t>
        </m:r>
      </m:oMath>
      <w:r>
        <w:t xml:space="preserve">) while per-agent accuracy is essentially unchanged: the effect is</w:t>
      </w:r>
      <w:r>
        <w:t xml:space="preserve"> </w:t>
      </w:r>
      <w:r>
        <w:t xml:space="preserve">a reduction in error dependence, not a by-product of differing capability. A</w:t>
      </w:r>
      <w:r>
        <w:t xml:space="preserve"> </w:t>
      </w:r>
      <w:r>
        <w:t xml:space="preserve">capability-matched control indicates that the effect is driven primarily by</w:t>
      </w:r>
      <w:r>
        <w:t xml:space="preserve"> </w:t>
      </w:r>
      <w:r>
        <w:t xml:space="preserve">provider diversity rather than model capability differences. We also introduce an</w:t>
      </w:r>
      <w:r>
        <w:t xml:space="preserve"> </w:t>
      </w:r>
      <w:r>
        <w:t xml:space="preserve">independent-draw measurement protocol that prevents shared sampling conditions</w:t>
      </w:r>
      <w:r>
        <w:t xml:space="preserve"> </w:t>
      </w:r>
      <w:r>
        <w:t xml:space="preserve">from inflating estimated agreement. A pre-registered replication on a</w:t>
      </w:r>
      <w:r>
        <w:t xml:space="preserve"> </w:t>
      </w:r>
      <w:r>
        <w:t xml:space="preserve">substantially different domain—537 expert clinical-decision items—reproduces</w:t>
      </w:r>
      <w:r>
        <w:t xml:space="preserve"> </w:t>
      </w:r>
      <w:r>
        <w:t xml:space="preserve">the effect in direction: agreement falls by a smaller</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w:t>
      </w:r>
      <m:oMath>
        <m:r>
          <m:t>0.104</m:t>
        </m:r>
      </m:oMath>
      <w:r>
        <w:t xml:space="preserve">), as predicted for a task on which agents are far more</w:t>
      </w:r>
      <w:r>
        <w:t xml:space="preserve"> </w:t>
      </w:r>
      <w:r>
        <w:t xml:space="preserve">accurate, while error correlation falls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w:t>
      </w:r>
      <m:oMath>
        <m:r>
          <m:t>0.459</m:t>
        </m:r>
      </m:oMath>
      <w:r>
        <w:t xml:space="preserve">), close to the financial estimate. Although heterogeneity does not</w:t>
      </w:r>
      <w:r>
        <w:t xml:space="preserve"> </w:t>
      </w:r>
      <w:r>
        <w:t xml:space="preserve">produce a reliable improvement in average directional accuracy, exploratory</w:t>
      </w:r>
      <w:r>
        <w:t xml:space="preserve"> </w:t>
      </w:r>
      <w:r>
        <w:t xml:space="preserve">results indicate that homogeneous ensembles generate unanimous incorrect decisions</w:t>
      </w:r>
      <w:r>
        <w:t xml:space="preserve"> </w:t>
      </w:r>
      <w:r>
        <w:t xml:space="preserve">at</w:t>
      </w:r>
      <w:r>
        <w:t xml:space="preserve"> </w:t>
      </w:r>
      <m:oMath>
        <m:r>
          <m:t>1.84</m:t>
        </m:r>
      </m:oMath>
      <w:r>
        <w:t xml:space="preserve"> </w:t>
      </w:r>
      <w:r>
        <w:t xml:space="preserve">times the rate of heterogeneous ensembles (95% CI:</w:t>
      </w:r>
      <w:r>
        <w:t xml:space="preserve"> </w:t>
      </w:r>
      <m:oMath>
        <m:r>
          <m:t>1.51</m:t>
        </m:r>
      </m:oMath>
      <w:r>
        <w:t xml:space="preserve">–</w:t>
      </w:r>
      <m:oMath>
        <m:r>
          <m:t>2.35</m:t>
        </m:r>
      </m:oMath>
      <w:r>
        <w:t xml:space="preserve">).</w:t>
      </w:r>
      <w:r>
        <w:t xml:space="preserve"> </w:t>
      </w:r>
      <w:r>
        <w:t xml:space="preserve">These findings show that model diversity provides less-correlated judgments rather</w:t>
      </w:r>
      <w:r>
        <w:t xml:space="preserve"> </w:t>
      </w:r>
      <w:r>
        <w:t xml:space="preserve">than guaranteed correctness, and offer a practical agreement–cost framework for</w:t>
      </w:r>
      <w:r>
        <w:t xml:space="preserve"> </w:t>
      </w:r>
      <w:r>
        <w:t xml:space="preserve">designing LLM ensemble systems.</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Large language models, multi-agent systems, model heterogeneity, inter-rater</w:t>
      </w:r>
      <w:r>
        <w:t xml:space="preserve"> </w:t>
      </w:r>
      <w:r>
        <w:t xml:space="preserve">agreement, algorithmic monoculture.</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magnitude of ensemble</w:t>
      </w:r>
      <w:r>
        <w:t xml:space="preserve"> </w:t>
      </w:r>
      <w:r>
        <w:t xml:space="preserve">de-correlation, the associated inference cost, and the effect of</w:t>
      </w:r>
      <w:r>
        <w:t xml:space="preserve"> </w:t>
      </w:r>
      <w:r>
        <w:t xml:space="preserve">independent-draw 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de-correlation</w:t>
      </w:r>
      <w:r>
        <w:t xml:space="preserve"> </w:t>
      </w:r>
      <w:r>
        <w:t xml:space="preserve">effect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uncertainty-quantification"/>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The equity is the pre-registered resampling unit because it is the level at which</w:t>
      </w:r>
      <w:r>
        <w:t xml:space="preserve"> </w:t>
      </w:r>
      <w:r>
        <w:t xml:space="preserve">repeated observations are nested: each security is evaluated on twelve analysis</w:t>
      </w:r>
      <w:r>
        <w:t xml:space="preserve"> </w:t>
      </w:r>
      <w:r>
        <w:t xml:space="preserve">dates, and responses for the same security share company-specific context. Dates</w:t>
      </w:r>
      <w:r>
        <w:t xml:space="preserve"> </w:t>
      </w:r>
      <w:r>
        <w:t xml:space="preserve">are a second, crossed source of dependence, since all securities on a given date</w:t>
      </w:r>
      <w:r>
        <w:t xml:space="preserve"> </w:t>
      </w:r>
      <w:r>
        <w:t xml:space="preserve">share market conditions. We therefore report the primary contrast under three</w:t>
      </w:r>
      <w:r>
        <w:t xml:space="preserve"> </w:t>
      </w:r>
      <w:r>
        <w:t xml:space="preserve">resampling schemes: clustering on equities (100 clusters), on dates (12 clusters),</w:t>
      </w:r>
      <w:r>
        <w:t xml:space="preserve"> </w:t>
      </w:r>
      <w:r>
        <w:t xml:space="preserve">and a two-way scheme in which equities and dates are resampled independently and</w:t>
      </w:r>
      <w:r>
        <w:t xml:space="preserve"> </w:t>
      </w:r>
      <w:r>
        <w:t xml:space="preserve">the intersection is retained. Results appear in</w:t>
      </w:r>
      <w:r>
        <w:t xml:space="preserve"> </w:t>
      </w:r>
      <w:r>
        <w:t xml:space="preserve">Table </w:t>
      </w:r>
      <w:hyperlink w:anchor="tab:clustering">
        <w:r>
          <w:rPr>
            <w:rStyle w:val="Hyperlink"/>
          </w:rPr>
          <w:t xml:space="preserve">5</w:t>
        </w:r>
      </w:hyperlink>
      <w:r>
        <w:t xml:space="preserve">. The point estimate is unchanged by construction; the</w:t>
      </w:r>
      <w:r>
        <w:t xml:space="preserve"> </w:t>
      </w:r>
      <w:r>
        <w:t xml:space="preserve">two-way interval is the widest, as expected when two crossed dependence</w:t>
      </w:r>
      <w:r>
        <w:t xml:space="preserve"> </w:t>
      </w:r>
      <w:r>
        <w:t xml:space="preserve">structures are admitted simultaneously, and still excludes zero. We note that the</w:t>
      </w:r>
      <w:r>
        <w:t xml:space="preserve"> </w:t>
      </w:r>
      <w:r>
        <w:t xml:space="preserve">date margin has only twelve clusters, a regime in which cluster-robust inference</w:t>
      </w:r>
      <w:r>
        <w:t xml:space="preserve"> </w:t>
      </w:r>
      <w:r>
        <w:t xml:space="preserve">is known to under-cover, so the equity-clustered interval remains the</w:t>
      </w:r>
      <w:r>
        <w:t xml:space="preserve"> </w:t>
      </w:r>
      <w:r>
        <w:t xml:space="preserve">pre-registered primary and the date and two-way intervals are reported as</w:t>
      </w:r>
      <w:r>
        <w:t xml:space="preserve"> </w:t>
      </w:r>
      <w:r>
        <w:t xml:space="preserve">sensitivity analyses rather than as replacements.</w:t>
      </w:r>
    </w:p>
    <w:bookmarkEnd w:id="21"/>
    <w:bookmarkEnd w:id="22"/>
    <w:bookmarkStart w:id="28"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End w:id="28"/>
    <w:bookmarkStart w:id="71"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3" w:name="subsec:primary"/>
    <w:p>
      <w:pPr>
        <w:pStyle w:val="Heading2"/>
      </w:pPr>
      <w:r>
        <w:t xml:space="preserve">Heterogeneity de-correlates ensembles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within-ensemble de-correlation</w:t>
      </w:r>
      <w:r>
        <w:t xml:space="preserve"> </w:t>
      </w:r>
      <w:r>
        <w:t xml:space="preserve">in the evaluated task.</w:t>
      </w:r>
    </w:p>
    <w:bookmarkStart w:id="32" w:name="fig:frontier"/>
    <w:p>
      <w:pPr>
        <w:pStyle w:val="CaptionedFigure"/>
      </w:pPr>
      <w:r>
        <w:drawing>
          <wp:inline>
            <wp:extent cx="5334000" cy="3733799"/>
            <wp:effectExtent b="0" l="0" r="0" t="0"/>
            <wp:docPr descr="" title="" id="30" name="Picture"/>
            <a:graphic>
              <a:graphicData uri="http://schemas.openxmlformats.org/drawingml/2006/picture">
                <pic:pic>
                  <pic:nvPicPr>
                    <pic:cNvPr descr="fig1_frontier.png" id="31" name="Picture"/>
                    <pic:cNvPicPr>
                      <a:picLocks noChangeArrowheads="1" noChangeAspect="1"/>
                    </pic:cNvPicPr>
                  </pic:nvPicPr>
                  <pic:blipFill>
                    <a:blip r:embed="rId29"/>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2"/>
    <w:bookmarkEnd w:id="33"/>
    <w:bookmarkStart w:id="37"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4"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4"/>
    <w:p/>
    <w:bookmarkStart w:id="35"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5"/>
    <w:p/>
    <w:bookmarkStart w:id="36"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Clusters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w:t>
            </w:r>
          </w:p>
        </w:tc>
        <w:tc>
          <w:tcPr/>
          <w:p>
            <w:pPr>
              <w:pStyle w:val="Compact"/>
              <w:jc w:val="center"/>
            </w:pPr>
            <w:r>
              <w:t xml:space="preserve">0.3363</w:t>
            </w:r>
          </w:p>
        </w:tc>
        <w:tc>
          <w:tcPr/>
          <w:p>
            <w:pPr>
              <w:pStyle w:val="Compact"/>
              <w:jc w:val="center"/>
            </w:pPr>
            <m:oMath>
              <m:r>
                <m:rPr>
                  <m:sty m:val="p"/>
                </m:rPr>
                <m:t>[</m:t>
              </m:r>
              <m:r>
                <m:t>0.3131</m:t>
              </m:r>
              <m:r>
                <m:rPr>
                  <m:sty m:val="p"/>
                </m:rPr>
                <m:t>,</m:t>
              </m:r>
              <m:r>
                <m:t> </m:t>
              </m:r>
              <m:r>
                <m:t>0.3628</m:t>
              </m:r>
              <m:r>
                <m:rPr>
                  <m:sty m:val="p"/>
                </m:rPr>
                <m:t>]</m:t>
              </m:r>
            </m:oMath>
            <w:r>
              <w:t xml:space="preserve">​</w:t>
            </w:r>
          </w:p>
        </w:tc>
      </w:tr>
      <w:tr>
        <w:tc>
          <w:tcPr/>
          <w:p>
            <w:pPr>
              <w:pStyle w:val="Compact"/>
              <w:jc w:val="left"/>
            </w:pPr>
            <w:r>
              <w:t xml:space="preserve">Analysis date</w:t>
            </w:r>
          </w:p>
        </w:tc>
        <w:tc>
          <w:tcPr/>
          <w:p>
            <w:pPr>
              <w:pStyle w:val="Compact"/>
              <w:jc w:val="center"/>
            </w:pPr>
            <w:r>
              <w:t xml:space="preserve">12</w:t>
            </w:r>
          </w:p>
        </w:tc>
        <w:tc>
          <w:tcPr/>
          <w:p>
            <w:pPr>
              <w:pStyle w:val="Compact"/>
              <w:jc w:val="center"/>
            </w:pPr>
            <w:r>
              <w:t xml:space="preserve">0.3363</w:t>
            </w:r>
          </w:p>
        </w:tc>
        <w:tc>
          <w:tcPr/>
          <w:p>
            <w:pPr>
              <w:pStyle w:val="Compact"/>
              <w:jc w:val="center"/>
            </w:pPr>
            <m:oMath>
              <m:r>
                <m:rPr>
                  <m:sty m:val="p"/>
                </m:rPr>
                <m:t>[</m:t>
              </m:r>
              <m:r>
                <m:t>0.3090</m:t>
              </m:r>
              <m:r>
                <m:rPr>
                  <m:sty m:val="p"/>
                </m:rPr>
                <m:t>,</m:t>
              </m:r>
              <m:r>
                <m:t> </m:t>
              </m:r>
              <m:r>
                <m:t>0.3625</m:t>
              </m:r>
              <m:r>
                <m:rPr>
                  <m:sty m:val="p"/>
                </m:rPr>
                <m:t>]</m:t>
              </m:r>
            </m:oMath>
            <w:r>
              <w:t xml:space="preserve">​</w:t>
            </w:r>
          </w:p>
        </w:tc>
      </w:tr>
      <w:tr>
        <w:tc>
          <w:tcPr/>
          <w:p>
            <w:pPr>
              <w:pStyle w:val="Compact"/>
              <w:jc w:val="left"/>
            </w:pPr>
            <w:r>
              <w:t xml:space="preserve">Two-way</w:t>
            </w:r>
          </w:p>
        </w:tc>
        <w:tc>
          <w:tcPr/>
          <w:p>
            <w:pPr>
              <w:pStyle w:val="Compact"/>
              <w:jc w:val="center"/>
            </w:pPr>
            <w:r>
              <w:t xml:space="preserve">1200</w:t>
            </w:r>
          </w:p>
        </w:tc>
        <w:tc>
          <w:tcPr/>
          <w:p>
            <w:pPr>
              <w:pStyle w:val="Compact"/>
              <w:jc w:val="center"/>
            </w:pPr>
            <w:r>
              <w:t xml:space="preserve">0.3363</w:t>
            </w:r>
          </w:p>
        </w:tc>
        <w:tc>
          <w:tcPr/>
          <w:p>
            <w:pPr>
              <w:pStyle w:val="Compact"/>
              <w:jc w:val="center"/>
            </w:pPr>
            <m:oMath>
              <m:r>
                <m:rPr>
                  <m:sty m:val="p"/>
                </m:rPr>
                <m:t>[</m:t>
              </m:r>
              <m:r>
                <m:t>0.2946</m:t>
              </m:r>
              <m:r>
                <m:rPr>
                  <m:sty m:val="p"/>
                </m:rPr>
                <m:t>,</m:t>
              </m:r>
              <m:r>
                <m:t> </m:t>
              </m:r>
              <m:r>
                <m:t>0.3741</m:t>
              </m:r>
              <m:r>
                <m:rPr>
                  <m:sty m:val="p"/>
                </m:rPr>
                <m:t>]</m:t>
              </m:r>
            </m:oMath>
            <w:r>
              <w:t xml:space="preserve">​</w:t>
            </w:r>
          </w:p>
        </w:tc>
      </w:tr>
    </w:tbl>
    <w:bookmarkEnd w:id="36"/>
    <w:bookmarkEnd w:id="37"/>
    <w:bookmarkStart w:id="38" w:name="subsec:errcorr"/>
    <w:p>
      <w:pPr>
        <w:pStyle w:val="Heading2"/>
      </w:pPr>
      <w:r>
        <w:t xml:space="preserve">Agreement, error correlation, and what</w:t>
      </w:r>
      <w:r>
        <w:t xml:space="preserve"> </w:t>
      </w:r>
      <w:r>
        <w:t xml:space="preserve">“de-correlation”</w:t>
      </w:r>
      <w:r>
        <w:t xml:space="preserve"> </w:t>
      </w:r>
      <w:r>
        <w:t xml:space="preserve">denotes</w:t>
      </w:r>
    </w:p>
    <w:p>
      <w:pPr>
        <w:pStyle w:val="FirstParagraph"/>
      </w:pPr>
      <w:r>
        <w:t xml:space="preserve">Fleiss’</w:t>
      </w:r>
      <w:r>
        <w:t xml:space="preserve"> </w:t>
      </w:r>
      <m:oMath>
        <m:r>
          <m:t>κ</m:t>
        </m:r>
      </m:oMath>
      <w:r>
        <w:t xml:space="preserve"> </w:t>
      </w:r>
      <w:r>
        <w:t xml:space="preserve">measures agreement between labels irrespective of whether those</w:t>
      </w:r>
      <w:r>
        <w:t xml:space="preserve"> </w:t>
      </w:r>
      <w:r>
        <w:t xml:space="preserve">labels are correct. It is therefore not, by itself, a measure of correlation</w:t>
      </w:r>
      <w:r>
        <w:t xml:space="preserve"> </w:t>
      </w:r>
      <w:r>
        <w:t xml:space="preserve">between errors. Because this article’s central quantity is described as</w:t>
      </w:r>
      <w:r>
        <w:t xml:space="preserve"> </w:t>
      </w:r>
      <w:r>
        <w:t xml:space="preserve">de-correlation, we distinguish five notions that are easily conflated and report</w:t>
      </w:r>
      <w:r>
        <w:t xml:space="preserve"> </w:t>
      </w:r>
      <w:r>
        <w:t xml:space="preserve">the one the term denotes.</w:t>
      </w:r>
    </w:p>
    <w:p>
      <w:pPr>
        <w:numPr>
          <w:ilvl w:val="0"/>
          <w:numId w:val="1003"/>
        </w:numPr>
      </w:pPr>
      <w:r>
        <w:rPr>
          <w:i/>
          <w:iCs/>
        </w:rPr>
        <w:t xml:space="preserve">Output agreement</w:t>
      </w:r>
      <w:r>
        <w:t xml:space="preserve">: how often agents emit the same label. Measured by</w:t>
      </w:r>
      <w:r>
        <w:t xml:space="preserve"> </w:t>
      </w:r>
      <m:oMath>
        <m:r>
          <m:t>κ</m:t>
        </m:r>
      </m:oMath>
      <w:r>
        <w:t xml:space="preserve">; it is what the primary endpoint contrasts.</w:t>
      </w:r>
    </w:p>
    <w:p>
      <w:pPr>
        <w:numPr>
          <w:ilvl w:val="0"/>
          <w:numId w:val="1003"/>
        </w:numPr>
      </w:pPr>
      <w:r>
        <w:rPr>
          <w:i/>
          <w:iCs/>
        </w:rPr>
        <w:t xml:space="preserve">Error correlation</w:t>
      </w:r>
      <w:r>
        <w:t xml:space="preserve">: dependence between agents’</w:t>
      </w:r>
      <w:r>
        <w:t xml:space="preserve"> </w:t>
      </w:r>
      <w:r>
        <w:rPr>
          <w:i/>
          <w:iCs/>
        </w:rPr>
        <w:t xml:space="preserve">mistakes</w:t>
      </w:r>
      <w:r>
        <w:t xml:space="preserve">,</w:t>
      </w:r>
      <w:r>
        <w:t xml:space="preserve"> </w:t>
      </w:r>
      <w:r>
        <w:t xml:space="preserve">measured below by</w:t>
      </w:r>
      <w:r>
        <w:t xml:space="preserve"> </w:t>
      </w:r>
      <m:oMath>
        <m:r>
          <m:t>ϕ</m:t>
        </m:r>
      </m:oMath>
      <w:r>
        <w:t xml:space="preserve">.</w:t>
      </w:r>
    </w:p>
    <w:p>
      <w:pPr>
        <w:numPr>
          <w:ilvl w:val="0"/>
          <w:numId w:val="1003"/>
        </w:numPr>
      </w:pPr>
      <w:r>
        <w:rPr>
          <w:i/>
          <w:iCs/>
        </w:rPr>
        <w:t xml:space="preserve">Sampling independence</w:t>
      </w:r>
      <w:r>
        <w:t xml:space="preserve">: whether two draws share a random seed or a</w:t>
      </w:r>
      <w:r>
        <w:t xml:space="preserve"> </w:t>
      </w:r>
      <w:r>
        <w:t xml:space="preserve">decoding path. Addressed by the independent-draw protocol of</w:t>
      </w:r>
      <w:r>
        <w:t xml:space="preserve"> </w:t>
      </w:r>
      <w:r>
        <w:t xml:space="preserve">Section </w:t>
      </w:r>
      <w:hyperlink w:anchor="subsec:estimand">
        <w:r>
          <w:rPr>
            <w:rStyle w:val="Hyperlink"/>
          </w:rPr>
          <w:t xml:space="preserve">3.3</w:t>
        </w:r>
      </w:hyperlink>
      <w:r>
        <w:t xml:space="preserve">; it is a property of the measurement apparatus, not</w:t>
      </w:r>
      <w:r>
        <w:t xml:space="preserve"> </w:t>
      </w:r>
      <w:r>
        <w:t xml:space="preserve">of the models.</w:t>
      </w:r>
    </w:p>
    <w:p>
      <w:pPr>
        <w:numPr>
          <w:ilvl w:val="0"/>
          <w:numId w:val="1003"/>
        </w:numPr>
      </w:pPr>
      <w:r>
        <w:rPr>
          <w:i/>
          <w:iCs/>
        </w:rPr>
        <w:t xml:space="preserve">Model diversity</w:t>
      </w:r>
      <w:r>
        <w:t xml:space="preserve">: differences in weights, architecture, or training</w:t>
      </w:r>
      <w:r>
        <w:t xml:space="preserve"> </w:t>
      </w:r>
      <w:r>
        <w:t xml:space="preserve">data between the agents.</w:t>
      </w:r>
    </w:p>
    <w:p>
      <w:pPr>
        <w:numPr>
          <w:ilvl w:val="0"/>
          <w:numId w:val="1003"/>
        </w:numPr>
      </w:pPr>
      <w:r>
        <w:rPr>
          <w:i/>
          <w:iCs/>
        </w:rPr>
        <w:t xml:space="preserve">Provider diversity</w:t>
      </w:r>
      <w:r>
        <w:t xml:space="preserve">: whether agents are supplied by different</w:t>
      </w:r>
      <w:r>
        <w:t xml:space="preserve"> </w:t>
      </w:r>
      <w:r>
        <w:t xml:space="preserve">organisations. This is the factor the design varies.</w:t>
      </w:r>
    </w:p>
    <w:p>
      <w:pPr>
        <w:pStyle w:val="FirstParagraph"/>
      </w:pPr>
      <w:r>
        <w:t xml:space="preserve">To establish that heterogeneity reduces error dependence and not merely label</w:t>
      </w:r>
      <w:r>
        <w:t xml:space="preserve"> </w:t>
      </w:r>
      <w:r>
        <w:t xml:space="preserve">agreement, we compute, for every pair of agents within an ensemble cell, the</w:t>
      </w:r>
      <w:r>
        <w:t xml:space="preserve"> </w:t>
      </w:r>
      <w:r>
        <w:t xml:space="preserve">Pearson correlation</w:t>
      </w:r>
      <w:r>
        <w:t xml:space="preserve"> </w:t>
      </w:r>
      <m:oMath>
        <m:r>
          <m:t>ϕ</m:t>
        </m:r>
      </m:oMath>
      <w:r>
        <w:t xml:space="preserve"> </w:t>
      </w:r>
      <w:r>
        <w:t xml:space="preserve">between their binary error indicators against the</w:t>
      </w:r>
      <w:r>
        <w:t xml:space="preserve"> </w:t>
      </w:r>
      <w:r>
        <w:t xml:space="preserve">forward-return sign. Confidence intervals use the same equity-clustered bootstrap</w:t>
      </w:r>
      <w:r>
        <w:t xml:space="preserve"> </w:t>
      </w:r>
      <w:r>
        <w:t xml:space="preserve">as the primary endpoint.</w:t>
      </w:r>
    </w:p>
    <w:p>
      <w:pPr>
        <w:pStyle w:val="BodyText"/>
      </w:pPr>
      <w:r>
        <w:t xml:space="preserve">Error correlation falls monotonically with heterogeneity:</w:t>
      </w:r>
      <w:r>
        <w:t xml:space="preserve"> </w:t>
      </w:r>
      <m:oMath>
        <m:r>
          <m:t>ϕ</m:t>
        </m:r>
        <m:r>
          <m:rPr>
            <m:sty m:val="p"/>
          </m:rPr>
          <m:t>=</m:t>
        </m:r>
        <m:r>
          <m:t>0.984</m:t>
        </m:r>
      </m:oMath>
      <w:r>
        <w:t xml:space="preserve"> </w:t>
      </w:r>
      <w:r>
        <w:t xml:space="preserve">for</w:t>
      </w:r>
      <w:r>
        <w:t xml:space="preserve"> </w:t>
      </w:r>
      <w:r>
        <w:t xml:space="preserve">HOM,</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Because</w:t>
      </w:r>
      <w:r>
        <w:t xml:space="preserve"> </w:t>
      </w:r>
      <w:r>
        <w:t xml:space="preserve">abstentions are excluded, the scored subset differs across configurations. We</w:t>
      </w:r>
      <w:r>
        <w:t xml:space="preserve"> </w:t>
      </w:r>
      <w:r>
        <w:t xml:space="preserve">therefore repeat the calculation counting HOLD as an error, which fixes an</w:t>
      </w:r>
      <w:r>
        <w:t xml:space="preserve"> </w:t>
      </w:r>
      <w:r>
        <w:t xml:space="preserve">identical subset for every configuration and removes that selection:</w:t>
      </w:r>
      <w:r>
        <w:t xml:space="preserve"> </w:t>
      </w:r>
      <m:oMath>
        <m:r>
          <m:t>ϕ</m:t>
        </m:r>
      </m:oMath>
      <w:r>
        <w:t xml:space="preserve"> </w:t>
      </w:r>
      <w:r>
        <w:t xml:space="preserve">is</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Both</w:t>
      </w:r>
      <w:r>
        <w:t xml:space="preserve"> </w:t>
      </w:r>
      <w:r>
        <w:t xml:space="preserve">treatments give a monotone decline whose interval excludes zero, so the estimate</w:t>
      </w:r>
      <w:r>
        <w:t xml:space="preserve"> </w:t>
      </w:r>
      <w:r>
        <w:t xml:space="preserve">is bracketed rather than dependent on the treatment of abstentions.</w:t>
      </w:r>
    </w:p>
    <w:p>
      <w:pPr>
        <w:pStyle w:val="BodyText"/>
      </w:pPr>
      <w:r>
        <w:t xml:space="preserve">Two qualifications follow. Mean per-agent error rates are close across</w:t>
      </w:r>
      <w:r>
        <w:t xml:space="preserve"> </w:t>
      </w:r>
      <w:r>
        <w:t xml:space="preserve">configurations, so the decline is a change in dependence rather than a</w:t>
      </w:r>
      <w:r>
        <w:t xml:space="preserve"> </w:t>
      </w:r>
      <w:r>
        <w:t xml:space="preserve">consequence of differing accuracy. And de-correlation is partial, not complete:</w:t>
      </w:r>
      <w:r>
        <w:t xml:space="preserve"> </w:t>
      </w:r>
      <w:r>
        <w:t xml:space="preserve">heterogeneous agents still err together more often than independence would imply.</w:t>
      </w:r>
      <w:r>
        <w:t xml:space="preserve"> </w:t>
      </w:r>
      <w:r>
        <w:t xml:space="preserve">The term is used in this article in sense (2) above, and the evidence for it is</w:t>
      </w:r>
      <w:r>
        <w:t xml:space="preserve"> </w:t>
      </w:r>
      <w:r>
        <w:t xml:space="preserve">the</w:t>
      </w:r>
      <w:r>
        <w:t xml:space="preserve"> </w:t>
      </w:r>
      <m:oMath>
        <m:r>
          <m:t>ϕ</m:t>
        </m:r>
      </m:oMath>
      <w:r>
        <w:t xml:space="preserve"> </w:t>
      </w:r>
      <w:r>
        <w:t xml:space="preserve">contrast reported here rather than the</w:t>
      </w:r>
      <w:r>
        <w:t xml:space="preserve"> </w:t>
      </w:r>
      <m:oMath>
        <m:r>
          <m:t>κ</m:t>
        </m:r>
      </m:oMath>
      <w:r>
        <w:t xml:space="preserve"> </w:t>
      </w:r>
      <w:r>
        <w:t xml:space="preserve">contrast.</w:t>
      </w:r>
    </w:p>
    <w:bookmarkEnd w:id="38"/>
    <w:bookmarkStart w:id="39"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computed from metered token counts: for every call the</w:t>
      </w:r>
      <w:r>
        <w:t xml:space="preserve"> </w:t>
      </w:r>
      <w:r>
        <w:t xml:space="preserve">prompt and completion tokens returned by the provider are priced at the</w:t>
      </w:r>
      <w:r>
        <w:t xml:space="preserve"> </w:t>
      </w:r>
      <w:r>
        <w:t xml:space="preserve">per-million rates in Table </w:t>
      </w:r>
      <w:hyperlink w:anchor="tab:models">
        <w:r>
          <w:rPr>
            <w:rStyle w:val="Hyperlink"/>
          </w:rPr>
          <w:t xml:space="preserve">1</w:t>
        </w:r>
      </w:hyperlink>
      <w:r>
        <w:t xml:space="preserve">, summed over the five agents in a</w:t>
      </w:r>
      <w:r>
        <w:t xml:space="preserve"> </w:t>
      </w:r>
      <w:r>
        <w:t xml:space="preserve">cell, and averaged over all cells in a configuration. Prices are those in force</w:t>
      </w:r>
      <w:r>
        <w:t xml:space="preserve"> </w:t>
      </w:r>
      <w:r>
        <w:t xml:space="preserve">during collection and are held fixed across configurations, so the ratio between</w:t>
      </w:r>
      <w:r>
        <w:t xml:space="preserve"> </w:t>
      </w:r>
      <w:r>
        <w:t xml:space="preserve">configurations reflects token usage and model mix rather than price movement. No</w:t>
      </w:r>
      <w:r>
        <w:t xml:space="preserve"> </w:t>
      </w:r>
      <w:r>
        <w:t xml:space="preserve">discount, batching, or caching rate is assumed, and failed calls are excluded</w:t>
      </w:r>
      <w:r>
        <w:t xml:space="preserve"> </w:t>
      </w:r>
      <w:r>
        <w:t xml:space="preserve">because they return no billable completion.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39"/>
    <w:bookmarkStart w:id="51" w:name="sec:protocol"/>
    <w:p>
      <w:pPr>
        <w:pStyle w:val="Heading2"/>
      </w:pPr>
      <w:r>
        <w:t xml:space="preserve">Shared-seed dependence and measurement validation</w:t>
      </w:r>
    </w:p>
    <w:bookmarkStart w:id="41"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0"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unique per-agent seed,</w:t>
            </w:r>
            <w:r>
              <w:br/>
            </w:r>
            <w:r>
              <w:rPr>
                <w:rStyle w:val="VerbatimChar"/>
              </w:rPr>
              <w:t xml:space="preserve"># independent draws</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independent draw</w:t>
            </w:r>
          </w:p>
        </w:tc>
      </w:tr>
    </w:tbl>
    <w:p>
      <w:pPr>
        <w:pStyle w:val="ImageCaption"/>
      </w:pPr>
      <w:r>
        <w:t xml:space="preserve">The one-line fix. The pilot derived the seed per run, so all five</w:t>
      </w:r>
      <w:r>
        <w:t xml:space="preserve"> </w:t>
      </w:r>
      <w:r>
        <w:t xml:space="preserve">same-model agents shared a sampling path; the study derives a distinct</w:t>
      </w:r>
      <w:r>
        <w:t xml:space="preserve"> </w:t>
      </w:r>
      <w:r>
        <w:t xml:space="preserve">integer-safe seed per agent, restoring independent draws from the same model.</w:t>
      </w:r>
    </w:p>
    <w:bookmarkEnd w:id="40"/>
    <w:bookmarkEnd w:id="41"/>
    <w:bookmarkStart w:id="42"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2"/>
    <w:bookmarkStart w:id="48"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de-correlation effect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3"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3"/>
    <w:bookmarkStart w:id="47" w:name="fig:trap"/>
    <w:p>
      <w:pPr>
        <w:pStyle w:val="CaptionedFigure"/>
      </w:pPr>
      <w:r>
        <w:drawing>
          <wp:inline>
            <wp:extent cx="5334000" cy="3733799"/>
            <wp:effectExtent b="0" l="0" r="0" t="0"/>
            <wp:docPr descr="" title="" id="45" name="Picture"/>
            <a:graphic>
              <a:graphicData uri="http://schemas.openxmlformats.org/drawingml/2006/picture">
                <pic:pic>
                  <pic:nvPicPr>
                    <pic:cNvPr descr="fig2_protocol.png" id="46" name="Picture"/>
                    <pic:cNvPicPr>
                      <a:picLocks noChangeArrowheads="1" noChangeAspect="1"/>
                    </pic:cNvPicPr>
                  </pic:nvPicPr>
                  <pic:blipFill>
                    <a:blip r:embed="rId44"/>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Shared-seed dependence inflates measured agreement. Bars one and two are</w:t>
      </w:r>
      <w:r>
        <w:t xml:space="preserve"> </w:t>
      </w:r>
      <w:r>
        <w:t xml:space="preserve">the pilot’s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shared</w:t>
      </w:r>
      <w:r>
        <w:t xml:space="preserve"> </w:t>
      </w:r>
      <w:r>
        <w:t xml:space="preserve">per-run seeding (</w:t>
      </w:r>
      <m:oMath>
        <m:r>
          <m:t>0.485</m:t>
        </m:r>
      </m:oMath>
      <w:r>
        <w:t xml:space="preserve">) and under independent per-agent seeding (</w:t>
      </w:r>
      <m:oMath>
        <m:r>
          <m:t>0.113</m:t>
        </m:r>
      </m:oMath>
      <w:r>
        <w:t xml:space="preserve">), on</w:t>
      </w:r>
      <w:r>
        <w:t xml:space="preserve"> </w:t>
      </w:r>
      <w:r>
        <w:t xml:space="preserve">the same 8-equity pilot grid and the same Claude-family model set. Bar three is a</w:t>
      </w:r>
      <w:r>
        <w:t xml:space="preserve"> </w:t>
      </w:r>
      <w:r>
        <w:t xml:space="preserve">different quantity and is labelled as such: the confirmatory study’s</w:t>
      </w:r>
      <w:r>
        <w:t xml:space="preserve"> </w:t>
      </w:r>
      <w:r>
        <w:t xml:space="preserve">within-minus-cross-run</w:t>
      </w:r>
      <w:r>
        <w:t xml:space="preserve"> </w:t>
      </w:r>
      <m:oMath>
        <m:r>
          <m:t>κ</m:t>
        </m:r>
      </m:oMath>
      <w:r>
        <w:t xml:space="preserve"> </w:t>
      </w:r>
      <w:r>
        <w:t xml:space="preserve">difference for HOM (</w:t>
      </w:r>
      <m:oMath>
        <m:r>
          <m:rPr>
            <m:sty m:val="p"/>
          </m:rPr>
          <m:t>≈</m:t>
        </m:r>
        <m:r>
          <m:t>0</m:t>
        </m:r>
      </m:oMath>
      <w:r>
        <w:t xml:space="preserve">), which is a</w:t>
      </w:r>
      <w:r>
        <w:t xml:space="preserve"> </w:t>
      </w:r>
      <w:r>
        <w:t xml:space="preserve">residual-dependence diagnostic, not a HOM</w:t>
      </w:r>
      <m:oMath>
        <m:r>
          <m:rPr>
            <m:sty m:val="p"/>
          </m:rPr>
          <m:t>−</m:t>
        </m:r>
      </m:oMath>
      <w:r>
        <w:t xml:space="preserve">HET contrast. The first two bars are</w:t>
      </w:r>
      <w:r>
        <w:t xml:space="preserve"> </w:t>
      </w:r>
      <w:r>
        <w:t xml:space="preserve">therefore the like-for-like comparison establishing the artifact and its removal;</w:t>
      </w:r>
      <w:r>
        <w:t xml:space="preserve"> </w:t>
      </w:r>
      <w:r>
        <w:t xml:space="preserve">the third shows only that no detectable within-run dependence remains once</w:t>
      </w:r>
      <w:r>
        <w:t xml:space="preserve"> </w:t>
      </w:r>
      <w:r>
        <w:t xml:space="preserve">per-agent seeds are used. The confirmatory study’s own HOM</w:t>
      </w:r>
      <m:oMath>
        <m:r>
          <m:rPr>
            <m:sty m:val="p"/>
          </m:rPr>
          <m:t>−</m:t>
        </m:r>
      </m:oMath>
      <w:r>
        <w:t xml:space="preserve">HET contrast is</w:t>
      </w:r>
      <w:r>
        <w:t xml:space="preserve"> </w:t>
      </w:r>
      <m:oMath>
        <m:r>
          <m:t>0.336</m:t>
        </m:r>
      </m:oMath>
      <w:r>
        <w:t xml:space="preserve"> </w:t>
      </w:r>
      <w:r>
        <w:t xml:space="preserve">and is reported under</w:t>
      </w:r>
      <w:r>
        <w:t xml:space="preserve"> </w:t>
      </w:r>
      <w:r>
        <w:t xml:space="preserve">“Heterogeneity de-correlates ensembles”</w:t>
      </w:r>
      <w:r>
        <w:t xml:space="preserve">, not</w:t>
      </w:r>
      <w:r>
        <w:t xml:space="preserve"> </w:t>
      </w:r>
      <w:r>
        <w:t xml:space="preserve">here.</w:t>
      </w:r>
    </w:p>
    <w:bookmarkEnd w:id="47"/>
    <w:bookmarkEnd w:id="48"/>
    <w:bookmarkStart w:id="49" w:name="sensitivity-agreement-by-pair-type"/>
    <w:p>
      <w:pPr>
        <w:pStyle w:val="Heading4"/>
      </w:pPr>
      <w:r>
        <w:t xml:space="preserve">Sensitivity: agreement by pair type</w:t>
      </w:r>
    </w:p>
    <w:p>
      <w:pPr>
        <w:pStyle w:val="FirstParagraph"/>
      </w:pPr>
      <w:r>
        <w:t xml:space="preserve">The diagnostic above is strongest for HOM, where all five agents share a model,</w:t>
      </w:r>
      <w:r>
        <w:t xml:space="preserve"> </w:t>
      </w:r>
      <w:r>
        <w:t xml:space="preserve">and the heterogeneous cross-run comparison is confounded because pooling across</w:t>
      </w:r>
      <w:r>
        <w:t xml:space="preserve"> </w:t>
      </w:r>
      <w:r>
        <w:t xml:space="preserve">runs adds further draws from the same models. We therefore decompose pairwise</w:t>
      </w:r>
      <w:r>
        <w:t xml:space="preserve"> </w:t>
      </w:r>
      <w:r>
        <w:t xml:space="preserve">agreement by whether the two agents share a model. Same-model pairs agree at</w:t>
      </w:r>
      <w:r>
        <w:t xml:space="preserve"> </w:t>
      </w:r>
      <w:r>
        <w:t xml:space="preserve">0.800 in HOM, 0.794 in HET-LITE, and 0.862 in HET, whereas different-model</w:t>
      </w:r>
      <w:r>
        <w:t xml:space="preserve"> </w:t>
      </w:r>
      <w:r>
        <w:t xml:space="preserve">pairs agree at 0.455 and 0.490 respectively. Same-model agreement is stable</w:t>
      </w:r>
      <w:r>
        <w:t xml:space="preserve"> </w:t>
      </w:r>
      <w:r>
        <w:t xml:space="preserve">across configurations, so the fall in</w:t>
      </w:r>
      <w:r>
        <w:t xml:space="preserve"> </w:t>
      </w:r>
      <m:oMath>
        <m:r>
          <m:t>κ</m:t>
        </m:r>
      </m:oMath>
      <w:r>
        <w:t xml:space="preserve"> </w:t>
      </w:r>
      <w:r>
        <w:t xml:space="preserve">with heterogeneity is driven by</w:t>
      </w:r>
      <w:r>
        <w:t xml:space="preserve"> </w:t>
      </w:r>
      <w:r>
        <w:t xml:space="preserve">the introduction of different-model pairs rather than by any change in how</w:t>
      </w:r>
      <w:r>
        <w:t xml:space="preserve"> </w:t>
      </w:r>
      <w:r>
        <w:t xml:space="preserve">same-model pairs behave. This is a sensitivity analysis on the frozen data, not</w:t>
      </w:r>
      <w:r>
        <w:t xml:space="preserve"> </w:t>
      </w:r>
      <w:r>
        <w:t xml:space="preserve">an additional verification of seed support, which the provider APIs do not</w:t>
      </w:r>
      <w:r>
        <w:t xml:space="preserve"> </w:t>
      </w:r>
      <w:r>
        <w:t xml:space="preserve">expose.</w:t>
      </w:r>
    </w:p>
    <w:bookmarkEnd w:id="49"/>
    <w:bookmarkStart w:id="50" w:name="X1ebcf1bbc8ffb8a5c3670468c95fcdb4423b518"/>
    <w:p>
      <w:pPr>
        <w:pStyle w:val="Heading4"/>
      </w:pPr>
      <w:r>
        <w:t xml:space="preserve">What unique seeds do and do not establish</w:t>
      </w:r>
    </w:p>
    <w:p>
      <w:pPr>
        <w:pStyle w:val="FirstParagraph"/>
      </w:pPr>
      <w:r>
        <w:t xml:space="preserve">A distinct seed per agent removes one specific artifact: identical sampling</w:t>
      </w:r>
      <w:r>
        <w:t xml:space="preserve"> </w:t>
      </w:r>
      <w:r>
        <w:t xml:space="preserve">trajectories arising from a shared seed. It does not establish statistical</w:t>
      </w:r>
      <w:r>
        <w:t xml:space="preserve"> </w:t>
      </w:r>
      <w:r>
        <w:t xml:space="preserve">independence of the responses. Commercial inference stacks do not guarantee</w:t>
      </w:r>
      <w:r>
        <w:t xml:space="preserve"> </w:t>
      </w:r>
      <w:r>
        <w:t xml:space="preserve">bitwise-reproducible outputs for a fixed seed, because floating-point reduction</w:t>
      </w:r>
      <w:r>
        <w:t xml:space="preserve"> </w:t>
      </w:r>
      <w:r>
        <w:t xml:space="preserve">order varies with kernel selection and batch composition, and providers may</w:t>
      </w:r>
      <w:r>
        <w:t xml:space="preserve"> </w:t>
      </w:r>
      <w:r>
        <w:t xml:space="preserve">change serving configurations without notice. Seed support is therefore</w:t>
      </w:r>
      <w:r>
        <w:t xml:space="preserve"> </w:t>
      </w:r>
      <w:r>
        <w:t xml:space="preserve">best-effort and is treated in this article as a control against one known</w:t>
      </w:r>
      <w:r>
        <w:t xml:space="preserve"> </w:t>
      </w:r>
      <w:r>
        <w:t xml:space="preserve">dependence mechanism, not as a proof of independence.</w:t>
      </w:r>
    </w:p>
    <w:bookmarkEnd w:id="50"/>
    <w:bookmarkEnd w:id="51"/>
    <w:bookmarkStart w:id="56"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regarding the source of ensemble de-correlation.</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is a configuration-specific observational finding. Provider is not</w:t>
      </w:r>
      <w:r>
        <w:t xml:space="preserve"> </w:t>
      </w:r>
      <w:r>
        <w:t xml:space="preserve">experimentally separable from model identity, parameter count, training corpus,</w:t>
      </w:r>
      <w:r>
        <w:t xml:space="preserve"> </w:t>
      </w:r>
      <w:r>
        <w:t xml:space="preserve">architecture, or alignment procedure in this design, because each provider</w:t>
      </w:r>
      <w:r>
        <w:t xml:space="preserve"> </w:t>
      </w:r>
      <w:r>
        <w:t xml:space="preserve">contributes one model. The comparison therefore identifies the effect of</w:t>
      </w:r>
      <w:r>
        <w:t xml:space="preserve"> </w:t>
      </w:r>
      <w:r>
        <w:t xml:space="preserve">substituting one named model for another, and</w:t>
      </w:r>
      <w:r>
        <w:t xml:space="preserve"> </w:t>
      </w:r>
      <w:r>
        <w:t xml:space="preserve">“provider”</w:t>
      </w:r>
      <w:r>
        <w:t xml:space="preserve"> </w:t>
      </w:r>
      <w:r>
        <w:t xml:space="preserve">should be read</w:t>
      </w:r>
      <w:r>
        <w:t xml:space="preserve"> </w:t>
      </w:r>
      <w:r>
        <w:t xml:space="preserve">throughout as shorthand for that bundle rather than as an isolated causal factor.</w:t>
      </w:r>
      <w:r>
        <w:t xml:space="preserve"> </w:t>
      </w:r>
      <w:r>
        <w:t xml:space="preserve">Section </w:t>
      </w:r>
      <w:hyperlink w:anchor="subsec:crossdomain">
        <w:r>
          <w:rPr>
            <w:rStyle w:val="Hyperlink"/>
          </w:rPr>
          <w:t xml:space="preserve">5.9</w:t>
        </w:r>
      </w:hyperlink>
      <w:r>
        <w:t xml:space="preserve"> </w:t>
      </w:r>
      <w:r>
        <w:t xml:space="preserve">reports a capability-matched version of this</w:t>
      </w:r>
      <w:r>
        <w:t xml:space="preserve"> </w:t>
      </w:r>
      <w:r>
        <w:t xml:space="preserve">comparison on a second domain, in which the two members of each pairing have</w:t>
      </w:r>
      <w:r>
        <w:t xml:space="preserve"> </w:t>
      </w:r>
      <w:r>
        <w:t xml:space="preserve">near-identical accuracy; provider continues to order the result there. A design</w:t>
      </w:r>
      <w:r>
        <w:t xml:space="preserve"> </w:t>
      </w:r>
      <w:r>
        <w:t xml:space="preserve">that varied model identity within provider, and provider within capability tier,</w:t>
      </w:r>
      <w:r>
        <w:t xml:space="preserve"> </w:t>
      </w:r>
      <w:r>
        <w:t xml:space="preserve">would be required to decompose the bundle further, and is not attempted here.</w:t>
      </w:r>
    </w:p>
    <w:bookmarkStart w:id="55" w:name="fig:provider"/>
    <w:p>
      <w:pPr>
        <w:pStyle w:val="CaptionedFigure"/>
      </w:pPr>
      <w:r>
        <w:drawing>
          <wp:inline>
            <wp:extent cx="4389120" cy="3840479"/>
            <wp:effectExtent b="0" l="0" r="0" t="0"/>
            <wp:docPr descr="" title="" id="53" name="Picture"/>
            <a:graphic>
              <a:graphicData uri="http://schemas.openxmlformats.org/drawingml/2006/picture">
                <pic:pic>
                  <pic:nvPicPr>
                    <pic:cNvPr descr="fig3_provider_heatmap.png" id="54" name="Picture"/>
                    <pic:cNvPicPr>
                      <a:picLocks noChangeArrowheads="1" noChangeAspect="1"/>
                    </pic:cNvPicPr>
                  </pic:nvPicPr>
                  <pic:blipFill>
                    <a:blip r:embed="rId52"/>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 the</w:t>
      </w:r>
      <w:r>
        <w:t xml:space="preserve"> </w:t>
      </w:r>
      <w:r>
        <w:t xml:space="preserve">source of ensemble de-correlation. The xAI–xAI diagonal is undefined (marked</w:t>
      </w:r>
      <w:r>
        <w:t xml:space="preserve"> </w:t>
      </w:r>
      <w:r>
        <w:t xml:space="preserve">N/A, not 0): each HET cell contains a single xAI agent, so no within-xAI agent</w:t>
      </w:r>
      <w:r>
        <w:t xml:space="preserve"> </w:t>
      </w:r>
      <w:r>
        <w:t xml:space="preserve">pair exists.</w:t>
      </w:r>
    </w:p>
    <w:bookmarkEnd w:id="55"/>
    <w:bookmarkEnd w:id="56"/>
    <w:bookmarkStart w:id="58"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de-correlation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7"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7"/>
    <w:bookmarkEnd w:id="58"/>
    <w:bookmarkStart w:id="64"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1.51</m:t>
        </m:r>
        <m:r>
          <m:rPr>
            <m:sty m:val="p"/>
          </m:rPr>
          <m:t>,</m:t>
        </m:r>
        <m:r>
          <m:t> </m:t>
        </m:r>
        <m:r>
          <m:t>2.35</m:t>
        </m:r>
        <m:r>
          <m:rPr>
            <m:sty m:val="p"/>
          </m:rPr>
          <m:t>]</m:t>
        </m:r>
      </m:oMath>
      <w:r>
        <w:t xml:space="preserve"> </w:t>
      </w:r>
      <w:r>
        <w:t xml:space="preserve">for that ratio, which excludes unity.</w:t>
      </w:r>
      <w:r>
        <w:t xml:space="preserve"> </w:t>
      </w:r>
      <w:r>
        <w:t xml:space="preserve">HET-LITE achieves a reduction comparable to HET at an approximately</w:t>
      </w:r>
      <w:r>
        <w:t xml:space="preserve"> </w:t>
      </w:r>
      <m:oMath>
        <m:r>
          <m:t>2.3</m:t>
        </m:r>
        <m:r>
          <m:rPr>
            <m:sty m:val="p"/>
          </m:rPr>
          <m:t>×</m:t>
        </m:r>
      </m:oMath>
      <w:r>
        <w:t xml:space="preserve">, rather than</w:t>
      </w:r>
      <w:r>
        <w:t xml:space="preserve"> </w:t>
      </w:r>
      <m:oMath>
        <m:r>
          <m:t>4.4</m:t>
        </m:r>
        <m:r>
          <m:rPr>
            <m:sty m:val="p"/>
          </m:rPr>
          <m:t>×</m:t>
        </m:r>
      </m:oMath>
      <w:r>
        <w:t xml:space="preserve">, cost premium.</w:t>
      </w:r>
    </w:p>
    <w:p>
      <w:pPr>
        <w:pStyle w:val="BodyText"/>
      </w:pPr>
      <w:r>
        <w:t xml:space="preserve">These quantities are exploratory in the sense defined above. They were not</w:t>
      </w:r>
      <w:r>
        <w:t xml:space="preserve"> </w:t>
      </w:r>
      <w:r>
        <w:t xml:space="preserve">pre-registered, the configuration compared and the statistic reported were both</w:t>
      </w:r>
      <w:r>
        <w:t xml:space="preserve"> </w:t>
      </w:r>
      <w:r>
        <w:t xml:space="preserve">chosen after inspecting the data, and several such comparisons are available</w:t>
      </w:r>
      <w:r>
        <w:t xml:space="preserve"> </w:t>
      </w:r>
      <w:r>
        <w:t xml:space="preserve">within this section; no multiplicity adjustment is applied and none of the</w:t>
      </w:r>
      <w:r>
        <w:t xml:space="preserve"> </w:t>
      </w:r>
      <w:r>
        <w:t xml:space="preserve">intervals in this subsection should be read as confirmatory evidence. We</w:t>
      </w:r>
      <w:r>
        <w:t xml:space="preserve"> </w:t>
      </w:r>
      <w:r>
        <w:t xml:space="preserve">therefore do not offer HET-LITE as a design recommendation. The observation that</w:t>
      </w:r>
      <w:r>
        <w:t xml:space="preserve"> </w:t>
      </w:r>
      <w:r>
        <w:t xml:space="preserve">it attains a comparable reduction at roughly half the cost premium is recorded as</w:t>
      </w:r>
      <w:r>
        <w:t xml:space="preserve"> </w:t>
      </w:r>
      <w:r>
        <w:t xml:space="preserve">a hypothesis for a future confirmatory study, not as guidance for deployment.</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Errors in the heterogeneous ensembles therefore contain more</w:t>
      </w:r>
      <w:r>
        <w:t xml:space="preserve"> </w:t>
      </w:r>
      <w:r>
        <w:t xml:space="preserve">within-committee dissent, which may provide an observable signal for escalation,</w:t>
      </w:r>
      <w:r>
        <w:t xml:space="preserve"> </w:t>
      </w:r>
      <w:r>
        <w:t xml:space="preserve">abstention, or further review. These findings suggest that heterogeneity may</w:t>
      </w:r>
      <w:r>
        <w:t xml:space="preserve"> </w:t>
      </w:r>
      <w:r>
        <w:t xml:space="preserve">affect the concentration of collective errors even when it does not produce a</w:t>
      </w:r>
      <w:r>
        <w:t xml:space="preserve"> </w:t>
      </w:r>
      <w:r>
        <w:t xml:space="preserve">detectable improvement in mean directional accuracy. However, they do not</w:t>
      </w:r>
      <w:r>
        <w:t xml:space="preserve"> </w:t>
      </w:r>
      <w:r>
        <w:t xml:space="preserve">establish a reduction in financial tail risk, because the analysis measures</w:t>
      </w:r>
      <w:r>
        <w:t xml:space="preserve"> </w:t>
      </w:r>
      <w:r>
        <w:t xml:space="preserve">decision-error structure rather than the distribution of realized monetary</w:t>
      </w:r>
      <w:r>
        <w:t xml:space="preserve"> </w:t>
      </w:r>
      <w:r>
        <w:t xml:space="preserve">losses.</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59"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59"/>
    <w:bookmarkStart w:id="63" w:name="fig:cal"/>
    <w:p>
      <w:pPr>
        <w:pStyle w:val="CaptionedFigure"/>
      </w:pPr>
      <w:r>
        <w:drawing>
          <wp:inline>
            <wp:extent cx="4572000" cy="2926080"/>
            <wp:effectExtent b="0" l="0" r="0" t="0"/>
            <wp:docPr descr="" title="" id="61" name="Picture"/>
            <a:graphic>
              <a:graphicData uri="http://schemas.openxmlformats.org/drawingml/2006/picture">
                <pic:pic>
                  <pic:nvPicPr>
                    <pic:cNvPr descr="fig5_calibration.png" id="62" name="Picture"/>
                    <pic:cNvPicPr>
                      <a:picLocks noChangeArrowheads="1" noChangeAspect="1"/>
                    </pic:cNvPicPr>
                  </pic:nvPicPr>
                  <pic:blipFill>
                    <a:blip r:embed="rId60"/>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3"/>
    <w:bookmarkEnd w:id="64"/>
    <w:bookmarkStart w:id="66" w:name="subsec:crossdomain"/>
    <w:p>
      <w:pPr>
        <w:pStyle w:val="Heading2"/>
      </w:pPr>
      <w:r>
        <w:t xml:space="preserve">Cross-domain replication: clinical decisions</w:t>
      </w:r>
    </w:p>
    <w:p>
      <w:pPr>
        <w:pStyle w:val="FirstParagraph"/>
      </w:pPr>
      <w:r>
        <w:t xml:space="preserve">The confirmatory study measures one financial task. To test whether the effect is</w:t>
      </w:r>
      <w:r>
        <w:t xml:space="preserve"> </w:t>
      </w:r>
      <w:r>
        <w:t xml:space="preserve">a property of that task, the entire protocol was repeated on a domain chosen to</w:t>
      </w:r>
      <w:r>
        <w:t xml:space="preserve"> </w:t>
      </w:r>
      <w:r>
        <w:t xml:space="preserve">be as unlike it as possible: expert clinical decision-making. Items are the</w:t>
      </w:r>
      <w:r>
        <w:t xml:space="preserve"> </w:t>
      </w:r>
      <w:r>
        <w:t xml:space="preserve">MMLU professional-medicine and clinical-knowledge subsets (MIT licence, no</w:t>
      </w:r>
      <w:r>
        <w:t xml:space="preserve"> </w:t>
      </w:r>
      <w:r>
        <w:t xml:space="preserve">personal data), 537 four-option questions with a single correct answer.</w:t>
      </w:r>
      <w:r>
        <w:t xml:space="preserve"> </w:t>
      </w:r>
      <w:r>
        <w:t xml:space="preserve">Choice order is shuffled deterministically per item, because the published answer</w:t>
      </w:r>
      <w:r>
        <w:t xml:space="preserve"> </w:t>
      </w:r>
      <w:r>
        <w:t xml:space="preserve">key is skewed toward one position and a model could otherwise beat chance on</w:t>
      </w:r>
      <w:r>
        <w:t xml:space="preserve"> </w:t>
      </w:r>
      <w:r>
        <w:t xml:space="preserve">position alone. The five agents, three configurations, per-agent independent-draw</w:t>
      </w:r>
      <w:r>
        <w:t xml:space="preserve"> </w:t>
      </w:r>
      <w:r>
        <w:t xml:space="preserve">seeding, temperature, number of runs, and estimators are unchanged; only the</w:t>
      </w:r>
      <w:r>
        <w:t xml:space="preserve"> </w:t>
      </w:r>
      <w:r>
        <w:t xml:space="preserve">domain differs, so any change in the endpoint is attributable to domain rather</w:t>
      </w:r>
      <w:r>
        <w:t xml:space="preserve"> </w:t>
      </w:r>
      <w:r>
        <w:t xml:space="preserve">than to a redesign. The design, the predicted direction, and the decision rule</w:t>
      </w:r>
      <w:r>
        <w:t xml:space="preserve"> </w:t>
      </w:r>
      <w:r>
        <w:t xml:space="preserve">were registered before collection.</w:t>
      </w:r>
    </w:p>
    <w:p>
      <w:pPr>
        <w:pStyle w:val="BodyText"/>
      </w:pPr>
      <w:r>
        <w:t xml:space="preserve">The prediction was that the effect would replicate in direction but be</w:t>
      </w:r>
      <w:r>
        <w:t xml:space="preserve"> </w:t>
      </w:r>
      <w:r>
        <w:rPr>
          <w:i/>
          <w:iCs/>
        </w:rPr>
        <w:t xml:space="preserve">smaller</w:t>
      </w:r>
      <w:r>
        <w:t xml:space="preserve"> </w:t>
      </w:r>
      <w:r>
        <w:t xml:space="preserve">than in finance, because agents answer these items far more</w:t>
      </w:r>
      <w:r>
        <w:t xml:space="preserve"> </w:t>
      </w:r>
      <w:r>
        <w:t xml:space="preserve">accurately and agents that are more often correct necessarily agree more. Both</w:t>
      </w:r>
      <w:r>
        <w:t xml:space="preserve"> </w:t>
      </w:r>
      <w:r>
        <w:t xml:space="preserve">parts hold. Agreement falls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w:t>
      </w:r>
      <w:r>
        <w:t xml:space="preserve"> </w:t>
      </w:r>
      <w:r>
        <w:t xml:space="preserve">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0.072</m:t>
        </m:r>
        <m:r>
          <m:t>L</m:t>
        </m:r>
        <m:r>
          <m:t>O</m:t>
        </m:r>
        <m:r>
          <m:rPr>
            <m:sty m:val="p"/>
          </m:rPr>
          <m:t>,</m:t>
        </m:r>
        <m:r>
          <m:t> </m:t>
        </m:r>
        <m:r>
          <m:t>0.072</m:t>
        </m:r>
        <m:r>
          <m:t>H</m:t>
        </m:r>
        <m:r>
          <m:t>I</m:t>
        </m:r>
        <m:r>
          <m:rPr>
            <m:sty m:val="p"/>
          </m:rPr>
          <m:t>]</m:t>
        </m:r>
      </m:oMath>
      <w:r>
        <w:t xml:space="preserve">),</w:t>
      </w:r>
      <w:r>
        <w:t xml:space="preserve"> </w:t>
      </w:r>
      <w:r>
        <w:t xml:space="preserve">roughly a fifth of the financial estimate of</w:t>
      </w:r>
      <w:r>
        <w:t xml:space="preserve"> </w:t>
      </w:r>
      <m:oMath>
        <m:r>
          <m:t>0.336</m:t>
        </m:r>
      </m:oMath>
      <w:r>
        <w:t xml:space="preserve">. Error correlation, by</w:t>
      </w:r>
      <w:r>
        <w:t xml:space="preserve"> </w:t>
      </w:r>
      <w:r>
        <w:t xml:space="preserve">contrast, barely attenuates:</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0.393</m:t>
        </m:r>
        <m:r>
          <m:t>L</m:t>
        </m:r>
        <m:r>
          <m:t>O</m:t>
        </m:r>
        <m:r>
          <m:rPr>
            <m:sty m:val="p"/>
          </m:rPr>
          <m:t>,</m:t>
        </m:r>
        <m:r>
          <m:t> </m:t>
        </m:r>
        <m:r>
          <m:t>0.393</m:t>
        </m:r>
        <m:r>
          <m:t>H</m:t>
        </m:r>
        <m:r>
          <m:t>I</m:t>
        </m:r>
        <m:r>
          <m:rPr>
            <m:sty m:val="p"/>
          </m:rPr>
          <m:t>]</m:t>
        </m:r>
      </m:oMath>
      <w:r>
        <w:t xml:space="preserve">), against</w:t>
      </w:r>
      <w:r>
        <w:t xml:space="preserve"> </w:t>
      </w:r>
      <m:oMath>
        <m:r>
          <m:t>0.454</m:t>
        </m:r>
      </m:oMath>
      <w:r>
        <w:t xml:space="preserve"> </w:t>
      </w:r>
      <w:r>
        <w:t xml:space="preserve">in finance. Agreement is thus the</w:t>
      </w:r>
      <w:r>
        <w:t xml:space="preserve"> </w:t>
      </w:r>
      <w:r>
        <w:t xml:space="preserve">accuracy-sensitive quantity and error correlation the portable one, which is why</w:t>
      </w:r>
      <w:r>
        <w:t xml:space="preserve"> </w:t>
      </w:r>
      <w:r>
        <w:t xml:space="preserve">the de-correlation claim of Section </w:t>
      </w:r>
      <w:hyperlink w:anchor="subsec:errcorr">
        <w:r>
          <w:rPr>
            <w:rStyle w:val="Hyperlink"/>
          </w:rPr>
          <w:t xml:space="preserve">5.3</w:t>
        </w:r>
      </w:hyperlink>
      <w:r>
        <w:t xml:space="preserve"> </w:t>
      </w:r>
      <w:r>
        <w:t xml:space="preserve">is stated in terms of</w:t>
      </w:r>
      <w:r>
        <w:t xml:space="preserve"> </w:t>
      </w:r>
      <m:oMath>
        <m:r>
          <m:t>ϕ</m:t>
        </m:r>
      </m:oMath>
      <w:r>
        <w:t xml:space="preserve">.</w:t>
      </w:r>
    </w:p>
    <w:p>
      <w:pPr>
        <w:pStyle w:val="BodyText"/>
      </w:pPr>
      <w:r>
        <w:t xml:space="preserve">Because the three providers are not capability-matched on this domain — the two</w:t>
      </w:r>
      <w:r>
        <w:t xml:space="preserve"> </w:t>
      </w:r>
      <w:r>
        <w:t xml:space="preserve">non-OpenAI models answer these items more accurately — the pooled contrast</w:t>
      </w:r>
      <w:r>
        <w:t xml:space="preserve"> </w:t>
      </w:r>
      <w:r>
        <w:t xml:space="preserve">confounds provider with capability. The design admits a direct test. Within the</w:t>
      </w:r>
      <w:r>
        <w:t xml:space="preserve"> </w:t>
      </w:r>
      <w:r>
        <w:t xml:space="preserve">fully heterogeneous configuration, agent pairs drawn from the same provider can</w:t>
      </w:r>
      <w:r>
        <w:t xml:space="preserve"> </w:t>
      </w:r>
      <w:r>
        <w:t xml:space="preserve">be compared with pairs drawn from different providers while holding the item set</w:t>
      </w:r>
      <w:r>
        <w:t xml:space="preserve"> </w:t>
      </w:r>
      <w:r>
        <w:t xml:space="preserve">and the ensemble composition fixed; and among those, one same-provider and one</w:t>
      </w:r>
      <w:r>
        <w:t xml:space="preserve"> </w:t>
      </w:r>
      <w:r>
        <w:t xml:space="preserve">cross-provider pairing have near-identical member accuracy</w:t>
      </w:r>
      <w:r>
        <w:t xml:space="preserve"> </w:t>
      </w:r>
      <w:r>
        <w:t xml:space="preserve">(</w:t>
      </w:r>
      <m:oMath>
        <m:r>
          <m:t>0.951</m:t>
        </m:r>
      </m:oMath>
      <w:r>
        <w:t xml:space="preserve"> </w:t>
      </w:r>
      <w:r>
        <w:t xml:space="preserve">and</w:t>
      </w:r>
      <w:r>
        <w:t xml:space="preserve"> </w:t>
      </w:r>
      <m:oMath>
        <m:r>
          <m:t>0.955</m:t>
        </m:r>
      </m:oMath>
      <w:r>
        <w:t xml:space="preserve">). For that capability-matched contrast, error correlation</w:t>
      </w:r>
      <w:r>
        <w:t xml:space="preserve"> </w:t>
      </w:r>
      <w:r>
        <w:t xml:space="preserve">is</w:t>
      </w:r>
      <w:r>
        <w:t xml:space="preserve"> </w:t>
      </w:r>
      <m:oMath>
        <m:r>
          <m:t>0.954</m:t>
        </m:r>
      </m:oMath>
      <w:r>
        <w:t xml:space="preserve"> </w:t>
      </w:r>
      <w:r>
        <w:t xml:space="preserve">within a provider and</w:t>
      </w:r>
      <w:r>
        <w:t xml:space="preserve"> </w:t>
      </w:r>
      <m:oMath>
        <m:r>
          <m:t>0.607</m:t>
        </m:r>
      </m:oMath>
      <w:r>
        <w:t xml:space="preserve"> </w:t>
      </w:r>
      <w:r>
        <w:t xml:space="preserve">across providers,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Every same-provider pairing shows</w:t>
      </w:r>
      <w:r>
        <w:t xml:space="preserve"> </w:t>
      </w:r>
      <w:r>
        <w:t xml:space="preserve">higher error correlation than every cross-provider pairing, at both accuracy</w:t>
      </w:r>
      <w:r>
        <w:t xml:space="preserve"> </w:t>
      </w:r>
      <w:r>
        <w:t xml:space="preserve">levels present in the ensemble. Provider, not capability, orders the result.</w:t>
      </w:r>
    </w:p>
    <w:p>
      <w:pPr>
        <w:pStyle w:val="BodyText"/>
      </w:pPr>
      <w:r>
        <w:t xml:space="preserve">This arm is a replication of the mechanism on a second domain; it is not a claim</w:t>
      </w:r>
      <w:r>
        <w:t xml:space="preserve"> </w:t>
      </w:r>
      <w:r>
        <w:t xml:space="preserve">that heterogeneity improves accuracy. Per-agent accuracy is unchanged by</w:t>
      </w:r>
      <w:r>
        <w:t xml:space="preserve"> </w:t>
      </w:r>
      <w:r>
        <w:t xml:space="preserve">configuration in these data, and the rise in ensemble accuracy across</w:t>
      </w:r>
      <w:r>
        <w:t xml:space="preserve"> </w:t>
      </w:r>
      <w:r>
        <w:t xml:space="preserve">configurations is attributable to the inclusion of individually stronger models.</w:t>
      </w:r>
    </w:p>
    <w:bookmarkStart w:id="65" w:name="selective-prediction"/>
    <w:p>
      <w:pPr>
        <w:pStyle w:val="Heading4"/>
      </w:pPr>
      <w:r>
        <w:t xml:space="preserve">Selective prediction</w:t>
      </w:r>
    </w:p>
    <w:p>
      <w:pPr>
        <w:pStyle w:val="FirstParagraph"/>
      </w:pPr>
      <w:r>
        <w:t xml:space="preserve">Reduced agreement is only valuable if it buys something downstream. Because</w:t>
      </w:r>
      <w:r>
        <w:t xml:space="preserve"> </w:t>
      </w:r>
      <w:r>
        <w:t xml:space="preserve">directional accuracy is measured on differing subsets once HOLD is treated as an</w:t>
      </w:r>
      <w:r>
        <w:t xml:space="preserve"> </w:t>
      </w:r>
      <w:r>
        <w:t xml:space="preserve">abstention, marginal hit-rates with overlapping intervals are not an adequate</w:t>
      </w:r>
      <w:r>
        <w:t xml:space="preserve"> </w:t>
      </w:r>
      <w:r>
        <w:t xml:space="preserve">basis for comparison. We therefore report a selective-prediction analysis:</w:t>
      </w:r>
      <w:r>
        <w:t xml:space="preserve"> </w:t>
      </w:r>
      <w:r>
        <w:t xml:space="preserve">ensemble decisions are ranked by mean agent conviction, coverage is swept from</w:t>
      </w:r>
      <w:r>
        <w:t xml:space="preserve"> </w:t>
      </w:r>
      <w:r>
        <w:t xml:space="preserve">the most confident decision to the full set, and selective risk is the error rate</w:t>
      </w:r>
      <w:r>
        <w:t xml:space="preserve"> </w:t>
      </w:r>
      <w:r>
        <w:t xml:space="preserve">among decisions retained at each coverage level. Summarising the curve by the</w:t>
      </w:r>
      <w:r>
        <w:t xml:space="preserve"> </w:t>
      </w:r>
      <w:r>
        <w:t xml:space="preserve">area under it (AURC, lower is better), the three configurations are</w:t>
      </w:r>
      <w:r>
        <w:t xml:space="preserve"> </w:t>
      </w:r>
      <w:r>
        <w:t xml:space="preserve">0.553 for HOM, 0.568 for HET-LITE, and 0.554 for HET, against</w:t>
      </w:r>
      <w:r>
        <w:t xml:space="preserve"> </w:t>
      </w:r>
      <w:r>
        <w:t xml:space="preserve">full-coverage risks of 0.562, 0.537, and 0.512. Restricting to the most</w:t>
      </w:r>
      <w:r>
        <w:t xml:space="preserve"> </w:t>
      </w:r>
      <w:r>
        <w:t xml:space="preserve">confident half of decisions does not materially reduce selective risk in any</w:t>
      </w:r>
      <w:r>
        <w:t xml:space="preserve"> </w:t>
      </w:r>
      <w:r>
        <w:t xml:space="preserve">configuration. Conviction, as elicited here, does not rank errors usefully, and</w:t>
      </w:r>
      <w:r>
        <w:t xml:space="preserve"> </w:t>
      </w:r>
      <w:r>
        <w:t xml:space="preserve">we therefore do not claim a calibration or abstention benefit from</w:t>
      </w:r>
      <w:r>
        <w:t xml:space="preserve"> </w:t>
      </w:r>
      <w:r>
        <w:t xml:space="preserve">heterogeneity. The agreement–cost frontier of</w:t>
      </w:r>
      <w:r>
        <w:t xml:space="preserve"> </w:t>
      </w:r>
      <w:r>
        <w:t xml:space="preserve">Section </w:t>
      </w:r>
      <w:hyperlink w:anchor="subsec:frontier">
        <w:r>
          <w:rPr>
            <w:rStyle w:val="Hyperlink"/>
          </w:rPr>
          <w:t xml:space="preserve">5.4</w:t>
        </w:r>
      </w:hyperlink>
      <w:r>
        <w:t xml:space="preserve"> </w:t>
      </w:r>
      <w:r>
        <w:t xml:space="preserve">is reported as a description of what diversity</w:t>
      </w:r>
      <w:r>
        <w:t xml:space="preserve"> </w:t>
      </w:r>
      <w:r>
        <w:t xml:space="preserve">costs, not as evidence that it improves decision quality.</w:t>
      </w:r>
    </w:p>
    <w:bookmarkEnd w:id="65"/>
    <w:bookmarkEnd w:id="66"/>
    <w:bookmarkStart w:id="67"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which excludes zero. This capability-matched estimate is approximately 94% of</w:t>
      </w:r>
      <w:r>
        <w:t xml:space="preserve"> </w:t>
      </w:r>
      <w:r>
        <w:t xml:space="preserve">the primary HOM-to-HET contrast. The result indicates that the observed</w:t>
      </w:r>
      <w:r>
        <w:t xml:space="preserve"> </w:t>
      </w:r>
      <w:r>
        <w:t xml:space="preserve">de-correlation is largely preserved when model tier is held approximately</w:t>
      </w:r>
      <w:r>
        <w:t xml:space="preserve"> </w:t>
      </w:r>
      <w:r>
        <w:t xml:space="preserve">constant, supporting provider identity as a major contributor to the primary</w:t>
      </w:r>
      <w:r>
        <w:t xml:space="preserve"> </w:t>
      </w:r>
      <w:r>
        <w:t xml:space="preserve">effect. The control substantially reduces the capability-tier concern but does</w:t>
      </w:r>
      <w:r>
        <w:t xml:space="preserve"> </w:t>
      </w:r>
      <w:r>
        <w:t xml:space="preserve">not eliminate it completely,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rPr>
            <m:sty m:val="p"/>
          </m:rP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bookmarkEnd w:id="67"/>
    <w:bookmarkStart w:id="69"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8"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8"/>
    <w:bookmarkEnd w:id="69"/>
    <w:bookmarkStart w:id="70" w:name="X7bd62297a2166cd7adc4d4882931d087dd0a9ab"/>
    <w:p>
      <w:pPr>
        <w:pStyle w:val="Heading2"/>
      </w:pPr>
      <w:r>
        <w:t xml:space="preserve">Relation to state-of-the-art ensemble methods</w:t>
      </w:r>
    </w:p>
    <w:p>
      <w:pPr>
        <w:pStyle w:val="FirstParagraph"/>
      </w:pPr>
      <w:r>
        <w:t xml:space="preserve">This article does not propose an ensemble method and therefore does not report a</w:t>
      </w:r>
      <w:r>
        <w:t xml:space="preserve"> </w:t>
      </w:r>
      <w:r>
        <w:t xml:space="preserve">head-to-head benchmark against one. Methods such as mixture-of-agents, multi-agent</w:t>
      </w:r>
      <w:r>
        <w:t xml:space="preserve"> </w:t>
      </w:r>
      <w:r>
        <w:t xml:space="preserve">debate, and diversity-maximising ensemble selection are evaluated on task</w:t>
      </w:r>
      <w:r>
        <w:t xml:space="preserve"> </w:t>
      </w:r>
      <w:r>
        <w:t xml:space="preserve">performance: the comparison that matters for them is accuracy or win-rate against</w:t>
      </w:r>
      <w:r>
        <w:t xml:space="preserve"> </w:t>
      </w:r>
      <w:r>
        <w:t xml:space="preserve">a baseline on a shared benchmark </w:t>
      </w:r>
      <w:r>
        <w:t xml:space="preserve">(Wang et al. 2024; Du et al. 2023; Tekin et al. 2024)</w:t>
      </w:r>
      <w:r>
        <w:t xml:space="preserve">. The</w:t>
      </w:r>
      <w:r>
        <w:t xml:space="preserve"> </w:t>
      </w:r>
      <w:r>
        <w:t xml:space="preserve">object of study here is different. We measure how much genuine behavioral</w:t>
      </w:r>
      <w:r>
        <w:t xml:space="preserve"> </w:t>
      </w:r>
      <w:r>
        <w:t xml:space="preserve">de-correlation a given ensemble composition buys and what it costs, holding the</w:t>
      </w:r>
      <w:r>
        <w:t xml:space="preserve"> </w:t>
      </w:r>
      <w:r>
        <w:t xml:space="preserve">task, prompt, and information set fixed. Accuracy is a secondary axis, and the</w:t>
      </w:r>
      <w:r>
        <w:t xml:space="preserve"> </w:t>
      </w:r>
      <w:r>
        <w:t xml:space="preserve">study is not powered for it.</w:t>
      </w:r>
    </w:p>
    <w:p>
      <w:pPr>
        <w:pStyle w:val="BodyText"/>
      </w:pPr>
      <w:r>
        <w:t xml:space="preserve">A fair comparison is therefore one of measurement rather than of performance.</w:t>
      </w:r>
      <w:r>
        <w:t xml:space="preserve"> </w:t>
      </w:r>
      <w:r>
        <w:t xml:space="preserve">Prior work that reports ensemble diversity typically does so with a single</w:t>
      </w:r>
      <w:r>
        <w:t xml:space="preserve"> </w:t>
      </w:r>
      <w:r>
        <w:t xml:space="preserve">agreement or diversity index computed on pooled outputs, without separating</w:t>
      </w:r>
      <w:r>
        <w:t xml:space="preserve"> </w:t>
      </w:r>
      <w:r>
        <w:t xml:space="preserve">agreement from error correlation, without an independent-draw protocol, and</w:t>
      </w:r>
      <w:r>
        <w:t xml:space="preserve"> </w:t>
      </w:r>
      <w:r>
        <w:t xml:space="preserve">without interval estimates. Section </w:t>
      </w:r>
      <w:hyperlink w:anchor="subsec:errcorr">
        <w:r>
          <w:rPr>
            <w:rStyle w:val="Hyperlink"/>
          </w:rPr>
          <w:t xml:space="preserve">5.3</w:t>
        </w:r>
      </w:hyperlink>
      <w:r>
        <w:t xml:space="preserve"> </w:t>
      </w:r>
      <w:r>
        <w:t xml:space="preserve">shows that the first of</w:t>
      </w:r>
      <w:r>
        <w:t xml:space="preserve"> </w:t>
      </w:r>
      <w:r>
        <w:t xml:space="preserve">these distinctions changes the interpretation, Section </w:t>
      </w:r>
      <w:hyperlink w:anchor="subsec:estimand">
        <w:r>
          <w:rPr>
            <w:rStyle w:val="Hyperlink"/>
          </w:rPr>
          <w:t xml:space="preserve">3.3</w:t>
        </w:r>
      </w:hyperlink>
      <w:r>
        <w:t xml:space="preserve"> </w:t>
      </w:r>
      <w:r>
        <w:t xml:space="preserve">shows that the second changes the estimate by roughly fourfold in our pilot, and</w:t>
      </w:r>
      <w:r>
        <w:t xml:space="preserve"> </w:t>
      </w:r>
      <w:r>
        <w:t xml:space="preserve">the intervals reported throughout show that the third determines whether a</w:t>
      </w:r>
      <w:r>
        <w:t xml:space="preserve"> </w:t>
      </w:r>
      <w:r>
        <w:t xml:space="preserve">reported difference is resolvable at all. The contribution is that measurement</w:t>
      </w:r>
      <w:r>
        <w:t xml:space="preserve"> </w:t>
      </w:r>
      <w:r>
        <w:t xml:space="preserve">protocol and the frontier it makes it possible to state, not a competitor to the</w:t>
      </w:r>
      <w:r>
        <w:t xml:space="preserve"> </w:t>
      </w:r>
      <w:r>
        <w:t xml:space="preserve">methods above.</w:t>
      </w:r>
    </w:p>
    <w:bookmarkEnd w:id="70"/>
    <w:bookmarkEnd w:id="71"/>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control, these findings support provider identity as</w:t>
      </w:r>
      <w:r>
        <w:t xml:space="preserve"> </w:t>
      </w:r>
      <w:r>
        <w:t xml:space="preserve">an important source of behavioral similarity within LLM ensembles.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rather than</w:t>
      </w:r>
      <w:r>
        <w:t xml:space="preserve"> </w:t>
      </w:r>
      <m:oMath>
        <m:r>
          <m:t>4.4</m:t>
        </m:r>
        <m:r>
          <m:rPr>
            <m:sty m:val="p"/>
          </m:rPr>
          <m:t>×</m:t>
        </m:r>
      </m:oMath>
      <w:r>
        <w:t xml:space="preserve">, cost premium. A single</w:t>
      </w:r>
      <w:r>
        <w:t xml:space="preserve"> </w:t>
      </w:r>
      <w:r>
        <w:t xml:space="preserve">second-provider agent may therefore represent a candidate cost-efficient</w:t>
      </w:r>
      <w:r>
        <w:t xml:space="preserve"> </w:t>
      </w:r>
      <w:r>
        <w:t xml:space="preserve">operating point for this task, although this conclusion should be validated</w:t>
      </w:r>
      <w:r>
        <w:t xml:space="preserve"> </w:t>
      </w:r>
      <w:r>
        <w:t xml:space="preserve">prospectively before being generalized to other applications.</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Start w:id="72" w:name="subsec:provenance"/>
    <w:p>
      <w:pPr>
        <w:pStyle w:val="Heading2"/>
      </w:pPr>
      <w:r>
        <w:t xml:space="preserve">Collection provenance and retry accounting</w:t>
      </w:r>
    </w:p>
    <w:p>
      <w:pPr>
        <w:pStyle w:val="FirstParagraph"/>
      </w:pPr>
      <w:r>
        <w:t xml:space="preserve">The confirmatory grid comprises 54</w:t>
      </w:r>
      <w:r>
        <w:t xml:space="preserve">,</w:t>
      </w:r>
      <w:r>
        <w:t xml:space="preserve">000 planned calls, all of which returned a</w:t>
      </w:r>
      <w:r>
        <w:t xml:space="preserve"> </w:t>
      </w:r>
      <w:r>
        <w:t xml:space="preserve">valid response. Reaching them required 94</w:t>
      </w:r>
      <w:r>
        <w:t xml:space="preserve">,</w:t>
      </w:r>
      <w:r>
        <w:t xml:space="preserve">566 API requests: 40</w:t>
      </w:r>
      <w:r>
        <w:t xml:space="preserve">,</w:t>
      </w:r>
      <w:r>
        <w:t xml:space="preserve">566 requests</w:t>
      </w:r>
      <w:r>
        <w:t xml:space="preserve"> </w:t>
      </w:r>
      <w:r>
        <w:t xml:space="preserve">did not return a usable completion and were retried, up to six attempts per slot.</w:t>
      </w:r>
      <w:r>
        <w:t xml:space="preserve"> </w:t>
      </w:r>
      <w:r>
        <w:t xml:space="preserve">Of those unsuccessful requests, 40</w:t>
      </w:r>
      <w:r>
        <w:t xml:space="preserve">,</w:t>
      </w:r>
      <w:r>
        <w:t xml:space="preserve">544 were provider rate-limit or quota</w:t>
      </w:r>
      <w:r>
        <w:t xml:space="preserve"> </w:t>
      </w:r>
      <w:r>
        <w:t xml:space="preserve">responses and 22 were transport or schema failures. A rate-limited request is</w:t>
      </w:r>
      <w:r>
        <w:t xml:space="preserve"> </w:t>
      </w:r>
      <w:r>
        <w:t xml:space="preserve">rejected before the model is invoked and returns no content, so retrying it</w:t>
      </w:r>
      <w:r>
        <w:t xml:space="preserve"> </w:t>
      </w:r>
      <w:r>
        <w:t xml:space="preserve">cannot select on the response; the completed grid is therefore the full</w:t>
      </w:r>
      <w:r>
        <w:t xml:space="preserve"> </w:t>
      </w:r>
      <w:r>
        <w:t xml:space="preserve">pre-registered design rather than a subset surviving a content filter. Every</w:t>
      </w:r>
      <w:r>
        <w:t xml:space="preserve"> </w:t>
      </w:r>
      <w:r>
        <w:t xml:space="preserve">attempt, successful or not, is recorded in the released log with its error</w:t>
      </w:r>
      <w:r>
        <w:t xml:space="preserve"> </w:t>
      </w:r>
      <w:r>
        <w:t xml:space="preserve">string, so the accounting can be reconstructed independently.</w:t>
      </w:r>
    </w:p>
    <w:p>
      <w:pPr>
        <w:pStyle w:val="BodyText"/>
      </w:pPr>
      <w:r>
        <w:t xml:space="preserve">Request parameters are fixed across configurations and recorded in the released</w:t>
      </w:r>
      <w:r>
        <w:t xml:space="preserve"> </w:t>
      </w:r>
      <w:r>
        <w:t xml:space="preserve">configuration: temperature</w:t>
      </w:r>
      <w:r>
        <w:t xml:space="preserve"> </w:t>
      </w:r>
      <m:oMath>
        <m:r>
          <m:t>0.7</m:t>
        </m:r>
      </m:oMath>
      <w:r>
        <w:t xml:space="preserve">, a per-agent seed derived from the run seed, a</w:t>
      </w:r>
      <w:r>
        <w:t xml:space="preserve"> </w:t>
      </w:r>
      <w:r>
        <w:t xml:space="preserve">completion cap of 256 tokens, and a strict-JSON response contract. The exact</w:t>
      </w:r>
      <w:r>
        <w:t xml:space="preserve"> </w:t>
      </w:r>
      <w:r>
        <w:t xml:space="preserve">system and user prompt text is released verbatim, and each row of the log carries</w:t>
      </w:r>
      <w:r>
        <w:t xml:space="preserve"> </w:t>
      </w:r>
      <w:r>
        <w:t xml:space="preserve">the SHA-256 hash of the prompt actually sent, so any row can be checked against</w:t>
      </w:r>
      <w:r>
        <w:t xml:space="preserve"> </w:t>
      </w:r>
      <w:r>
        <w:t xml:space="preserve">the frozen template. Model snapshot identifiers, prices, and knowledge cutoffs</w:t>
      </w:r>
      <w:r>
        <w:t xml:space="preserve"> </w:t>
      </w:r>
      <w:r>
        <w:t xml:space="preserve">were probe-verified before collection and are listed in Table </w:t>
      </w:r>
      <w:hyperlink w:anchor="tab:models">
        <w:r>
          <w:rPr>
            <w:rStyle w:val="Hyperlink"/>
          </w:rPr>
          <w:t xml:space="preserve">1</w:t>
        </w:r>
      </w:hyperlink>
      <w:r>
        <w:t xml:space="preserve">.</w:t>
      </w:r>
      <w:r>
        <w:t xml:space="preserve"> </w:t>
      </w:r>
      <w:r>
        <w:t xml:space="preserve">Pre-registration, prompt, configuration, and analysis code were hashed and</w:t>
      </w:r>
      <w:r>
        <w:t xml:space="preserve"> </w:t>
      </w:r>
      <w:r>
        <w:t xml:space="preserve">committed before collection began; the hashes and the commit timestamp are in the</w:t>
      </w:r>
      <w:r>
        <w:t xml:space="preserve"> </w:t>
      </w:r>
      <w:r>
        <w:t xml:space="preserve">released freeze receipt.</w:t>
      </w:r>
    </w:p>
    <w:bookmarkEnd w:id="72"/>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5.10</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de-correlation</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Single task domain.</w:t>
      </w:r>
      <w:r>
        <w:t xml:space="preserve"> </w:t>
      </w:r>
      <w:r>
        <w:t xml:space="preserve">The experiment evaluates one directional financial-analysis task using a single</w:t>
      </w:r>
      <w:r>
        <w:t xml:space="preserve"> </w:t>
      </w:r>
      <w:r>
        <w:t xml:space="preserve">prompt template and a three-class BUY/HOLD/SELL output space. The magnitude of</w:t>
      </w:r>
      <w:r>
        <w:t xml:space="preserve"> </w:t>
      </w:r>
      <w:r>
        <w:t xml:space="preserve">agreement reduction may differ for other tasks, prompts, domains, label</w:t>
      </w:r>
      <w:r>
        <w:t xml:space="preserve"> </w:t>
      </w:r>
      <w:r>
        <w:t xml:space="preserve">structures, or reasoning requirements. In particular, tasks involving factual</w:t>
      </w:r>
      <w:r>
        <w:t xml:space="preserve"> </w:t>
      </w:r>
      <w:r>
        <w:t xml:space="preserve">retrieval, open-ended generation, numerical reasoning, or multi-turn interaction</w:t>
      </w:r>
      <w:r>
        <w:t xml:space="preserve"> </w:t>
      </w:r>
      <w:r>
        <w:t xml:space="preserve">may exhibit different within-provider and cross-provider dependence. The present</w:t>
      </w:r>
      <w:r>
        <w:t xml:space="preserve"> </w:t>
      </w:r>
      <w:r>
        <w:t xml:space="preserve">results should therefore be interpreted as evidence for the evaluated task</w:t>
      </w:r>
      <w:r>
        <w:t xml:space="preserve"> </w:t>
      </w:r>
      <w:r>
        <w:t xml:space="preserve">rather than as a universal estimate of LLM ensemble de-correlation. An</w:t>
      </w:r>
      <w:r>
        <w:t xml:space="preserve"> </w:t>
      </w:r>
      <w:r>
        <w:t xml:space="preserve">out-of-domain replication using the same ensemble configurations,</w:t>
      </w:r>
      <w:r>
        <w:t xml:space="preserve"> </w:t>
      </w:r>
      <w:r>
        <w:t xml:space="preserve">independent-sampling protocol, and agreement estimator is required to determine</w:t>
      </w:r>
      <w:r>
        <w:t xml:space="preserve"> </w:t>
      </w:r>
      <w:r>
        <w:t xml:space="preserve">whether the observed ordering generalizes beyond the financial setting.</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p>
      <w:pPr>
        <w:pStyle w:val="BodyText"/>
      </w:pPr>
      <w:r>
        <w:rPr>
          <w:b/>
          <w:bCs/>
        </w:rPr>
        <w:t xml:space="preserve">Generalization.</w:t>
      </w:r>
      <w:r>
        <w:t xml:space="preserve"> </w:t>
      </w:r>
      <w:r>
        <w:t xml:space="preserve">The findings are specific to five-agent ensembles, three provider mixtures, the</w:t>
      </w:r>
      <w:r>
        <w:t xml:space="preserve"> </w:t>
      </w:r>
      <w:r>
        <w:t xml:space="preserve">selected models, and the tested heterogeneity levels. Different ensemble sizes,</w:t>
      </w:r>
      <w:r>
        <w:t xml:space="preserve"> </w:t>
      </w:r>
      <w:r>
        <w:t xml:space="preserve">provider allocations, aggregation rules, model tiers, prompts, or cost</w:t>
      </w:r>
      <w:r>
        <w:t xml:space="preserve"> </w:t>
      </w:r>
      <w:r>
        <w:t xml:space="preserve">structures may produce different agreement–cost frontiers. In addition, lower</w:t>
      </w:r>
      <w:r>
        <w:t xml:space="preserve"> </w:t>
      </w:r>
      <w:r>
        <w:t xml:space="preserve">agreement is not inherently beneficial; its value depends on whether</w:t>
      </w:r>
      <w:r>
        <w:t xml:space="preserve"> </w:t>
      </w:r>
      <w:r>
        <w:t xml:space="preserve">disagreement improves a relevant downstream outcome. Generalization therefore</w:t>
      </w:r>
      <w:r>
        <w:t xml:space="preserve"> </w:t>
      </w:r>
      <w:r>
        <w:t xml:space="preserve">requires replication across alternative ensemble compositions and decision</w:t>
      </w:r>
      <w:r>
        <w:t xml:space="preserve"> </w:t>
      </w:r>
      <w:r>
        <w:t xml:space="preserve">tasks.</w:t>
      </w:r>
    </w:p>
    <w:bookmarkEnd w:id="74"/>
    <w:bookmarkStart w:id="75" w:name="conclusion"/>
    <w:p>
      <w:pPr>
        <w:pStyle w:val="Heading1"/>
      </w:pPr>
      <w:r>
        <w:t xml:space="preserve">Conclusion</w:t>
      </w:r>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supporting provider identity as a major contributor to ensemble</w:t>
      </w:r>
      <w:r>
        <w:t xml:space="preserve"> </w:t>
      </w:r>
      <w:r>
        <w:t xml:space="preserve">de-correlation while not fully eliminating capability-related confounding.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de-correlation effect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yield</w:t>
      </w:r>
      <w:r>
        <w:t xml:space="preserve"> </w:t>
      </w:r>
      <w:r>
        <w:t xml:space="preserve">less-correlated judgments,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96"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Urbana-Champaign, Urbana, IL, USA,</w:t>
      </w:r>
      <w:r>
        <w:t xml:space="preserve"> </w:t>
      </w:r>
      <w:r>
        <w:t xml:space="preserve">in 2019. He has over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95"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1"/>
    <w:bookmarkStart w:id="82"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2"/>
    <w:bookmarkStart w:id="83"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3"/>
    <w:bookmarkStart w:id="84"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4"/>
    <w:bookmarkStart w:id="85"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5"/>
    <w:bookmarkStart w:id="86"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6"/>
    <w:bookmarkStart w:id="87"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87"/>
    <w:bookmarkStart w:id="88"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88"/>
    <w:bookmarkStart w:id="89"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89"/>
    <w:bookmarkStart w:id="90"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0"/>
    <w:bookmarkStart w:id="91"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1"/>
    <w:bookmarkStart w:id="92"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2"/>
    <w:bookmarkStart w:id="93"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3"/>
    <w:bookmarkStart w:id="94"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2026-09-29T16:57:15Z</dcterms:created>
  <dcterms:modified xsi:type="dcterms:W3CDTF">2026-09-29T16:57:15Z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Because agreement is not by itself a measure of dependence between errors, we also report the correlation between agents’ error indicators, which falls by \Delta\phi=0.454 (95% CI: 0.376–0.534) while per-agent accuracy is essentially unchanged: the effect is a reduction in error dependence, not a by-product of differing capability. A capability-matched control indicates that the effect is driven primarily by provider diversity rather than model capability differences. We also introduce an independent-draw measurement protocol that prevents shared sampling conditions from inflating estimated agreement. A pre-registered replication on a substantially different domain—537 expert clinical-decision items—reproduces the effect in direction: agreement falls by a smaller \Delta\kappa=0.072 (95% CI: 0.040–0.104), as predicted for a task on which agents are far more accurate, while error correlation falls by \Delta\phi=0.393 (95% CI: 0.325–0.459), close to the financial estimate. Although heterogeneity does not produce a reliable improvement in average directional accuracy, exploratory results indicate that homogeneous ensembles generate unanimous incorrect decisions at 1.84 times the rate of heterogeneous ensembles (95% CI: 1.51–2.35). These findings show that model diversity provides less-correlated judgments rather than guaranteed correctness, and offer a practical agreement–cost framework for designing LLM ensemble systems.</vt:lpwstr>
  </property>
  <property fmtid="{D5CDD505-2E9C-101B-9397-08002B2CF9AE}" pid="3" name="address">
    <vt:lpwstr>Independent Researcher (e-mail: samir.chincholikar@gmail.com; robin.chawla.cse14@iitbhu.ac.in)</vt:lpwstr>
  </property>
  <property fmtid="{D5CDD505-2E9C-101B-9397-08002B2CF9AE}" pid="4" name="bibliography">
    <vt:lpwstr/>
  </property>
</Properties>
</file>