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Original Manuscript ID: Access-2026-39991</w:t>
      </w:r>
      <w:r>
        <w:t xml:space="preserve"> </w:t>
      </w:r>
      <w:r>
        <w:t xml:space="preserve">Original Article Title:</w:t>
      </w:r>
      <w:r>
        <w:t xml:space="preserve"> </w:t>
      </w:r>
      <w:r>
        <w:t xml:space="preserve">“Version Migration as a Correlated Shock: Model Updates as an Unmanaged Risk Channel in LLM-Based Financial Systems”</w:t>
      </w:r>
    </w:p>
    <w:p>
      <w:pPr>
        <w:pStyle w:val="BodyText"/>
      </w:pPr>
      <w:r>
        <w:t xml:space="preserve">[GAP]</w:t>
      </w:r>
    </w:p>
    <w:p>
      <w:pPr>
        <w:pStyle w:val="BodyText"/>
      </w:pPr>
      <w:r>
        <w:t xml:space="preserve">To: IEEE Access Editor</w:t>
      </w:r>
      <w:r>
        <w:t xml:space="preserve"> </w:t>
      </w:r>
      <w:r>
        <w:t xml:space="preserve">Re: Response to reviewers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Thank you for allowing a resubmission of our manuscript, with an opportunity to address the</w:t>
      </w:r>
      <w:r>
        <w:t xml:space="preserve"> </w:t>
      </w:r>
      <w:r>
        <w:t xml:space="preserve">reviewers’ comments.</w:t>
      </w:r>
    </w:p>
    <w:p>
      <w:pPr>
        <w:pStyle w:val="BodyText"/>
      </w:pPr>
      <w:r>
        <w:t xml:space="preserve">We are uploading (a) our point-by-point response to the comments (below) (response to reviewers,</w:t>
      </w:r>
      <w:r>
        <w:t xml:space="preserve"> </w:t>
      </w:r>
      <w:r>
        <w:t xml:space="preserve">under</w:t>
      </w:r>
      <w:r>
        <w:t xml:space="preserve"> </w:t>
      </w:r>
      <w:r>
        <w:t xml:space="preserve">“Author’s Response Files”</w:t>
      </w:r>
      <w:r>
        <w:t xml:space="preserve">), (b) an updated manuscript with yellow highlighting indicating</w:t>
      </w:r>
      <w:r>
        <w:t xml:space="preserve"> </w:t>
      </w:r>
      <w:r>
        <w:t xml:space="preserve">changes (as</w:t>
      </w:r>
      <w:r>
        <w:t xml:space="preserve"> </w:t>
      </w:r>
      <w:r>
        <w:t xml:space="preserve">“Highlighted PDF”</w:t>
      </w:r>
      <w:r>
        <w:t xml:space="preserve">), and (c) a clean updated manuscript without highlights (</w:t>
      </w:r>
      <w:r>
        <w:t xml:space="preserve">“Main</w:t>
      </w:r>
      <w:r>
        <w:t xml:space="preserve"> </w:t>
      </w:r>
      <w:r>
        <w:t xml:space="preserve">Manuscript”</w:t>
      </w:r>
      <w:r>
        <w:t xml:space="preserve">).</w:t>
      </w:r>
    </w:p>
    <w:p>
      <w:pPr>
        <w:pStyle w:val="BodyText"/>
      </w:pPr>
      <w:r>
        <w:t xml:space="preserve">[SIGNATURE]</w:t>
      </w:r>
      <w:r>
        <w:t xml:space="preserve"> </w:t>
      </w:r>
      <w:r>
        <w:t xml:space="preserve">Best regards,</w:t>
      </w:r>
      <w:r>
        <w:t xml:space="preserve"> </w:t>
      </w:r>
      <w:r>
        <w:t xml:space="preserve">Samir Chincholikar</w:t>
      </w:r>
      <w:r>
        <w:t xml:space="preserve"> </w:t>
      </w:r>
      <w:r>
        <w:t xml:space="preserve">Robin Chawla</w:t>
      </w:r>
    </w:p>
    <w:p>
      <w:pPr>
        <w:pStyle w:val="BodyText"/>
      </w:pPr>
      <w:r>
        <w:t xml:space="preserve">[PAGEBREAK]</w:t>
      </w:r>
    </w:p>
    <w:p>
      <w:pPr>
        <w:pStyle w:val="BodyText"/>
      </w:pPr>
      <w:r>
        <w:rPr>
          <w:b/>
          <w:color w:val="008000"/>
        </w:rPr>
        <w:t xml:space="preserve">Reviewer #1,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1. Redefine or defend the excess-flip estimand</w:t>
      </w:r>
    </w:p>
    <w:p>
      <w:pPr>
        <w:pStyle w:val="BodyText"/>
      </w:pPr>
      <w:r>
        <w:rPr>
          <w:color w:val="008000"/>
        </w:rPr>
        <w:t xml:space="preserve">The within-version rates compare different replicate seeds, whereas Fcross compares the same</w:t>
      </w:r>
      <w:r>
        <w:rPr>
          <w:color w:val="008000"/>
        </w:rPr>
        <w:t xml:space="preserve"> </w:t>
      </w:r>
      <w:r>
        <w:rPr>
          <w:color w:val="008000"/>
        </w:rPr>
        <w:t xml:space="preserve">nominal seed across versions. Because seed behavior is provider and version specific, these</w:t>
      </w:r>
      <w:r>
        <w:rPr>
          <w:color w:val="008000"/>
        </w:rPr>
        <w:t xml:space="preserve"> </w:t>
      </w:r>
      <w:r>
        <w:rPr>
          <w:color w:val="008000"/>
        </w:rPr>
        <w:t xml:space="preserve">quantities need not share a common coupling.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1"/>
        </w:numPr>
      </w:pPr>
      <w:r>
        <w:t xml:space="preserve">We agree that Fwithin and Fcross use different constructions and need not share a common</w:t>
      </w:r>
      <w:r>
        <w:t xml:space="preserve"> </w:t>
      </w:r>
      <w:r>
        <w:t xml:space="preserve">coupling.</w:t>
      </w:r>
    </w:p>
    <w:p>
      <w:pPr>
        <w:pStyle w:val="Compact"/>
        <w:numPr>
          <w:ilvl w:val="0"/>
          <w:numId w:val="1001"/>
        </w:numPr>
      </w:pPr>
      <w:r>
        <w:t xml:space="preserve">We therefore no longer interpret Fexcess as a variance-reduced within-cell contrast or as the</w:t>
      </w:r>
      <w:r>
        <w:t xml:space="preserve"> </w:t>
      </w:r>
      <w:r>
        <w:t xml:space="preserve">causal share of decisions changed by migration.</w:t>
      </w:r>
    </w:p>
    <w:p>
      <w:pPr>
        <w:pStyle w:val="Compact"/>
        <w:numPr>
          <w:ilvl w:val="0"/>
          <w:numId w:val="1001"/>
        </w:numPr>
      </w:pPr>
      <w:r>
        <w:t xml:space="preserve">As an alternative sensitivity check, we estimated same-seed repeat-call disagreement on a</w:t>
      </w:r>
      <w:r>
        <w:t xml:space="preserve"> </w:t>
      </w:r>
      <w:r>
        <w:t xml:space="preserve">stratified subgrid.</w:t>
      </w:r>
    </w:p>
    <w:p>
      <w:pPr>
        <w:pStyle w:val="Compact"/>
        <w:numPr>
          <w:ilvl w:val="0"/>
          <w:numId w:val="1001"/>
        </w:numPr>
      </w:pPr>
      <w:r>
        <w:t xml:space="preserve">The repeat-call floors are 0.028 for OpenAI and 0.014 for Gemini.</w:t>
      </w:r>
    </w:p>
    <w:p>
      <w:pPr>
        <w:pStyle w:val="Compact"/>
        <w:numPr>
          <w:ilvl w:val="0"/>
          <w:numId w:val="1001"/>
        </w:numPr>
      </w:pPr>
      <w:r>
        <w:t xml:space="preserve">Applying these alternative noise-floor estimates to the full-grid cross-version disagreement</w:t>
      </w:r>
      <w:r>
        <w:t xml:space="preserve"> </w:t>
      </w:r>
      <w:r>
        <w:t xml:space="preserve">rates gives excess disagreement of 0.189 [0.147, 0.206] for OpenAI and 0.375 [0.339, 0.385] for</w:t>
      </w:r>
      <w:r>
        <w:t xml:space="preserve"> </w:t>
      </w:r>
      <w:r>
        <w:t xml:space="preserve">Gemini.</w:t>
      </w:r>
    </w:p>
    <w:p>
      <w:pPr>
        <w:pStyle w:val="Compact"/>
        <w:numPr>
          <w:ilvl w:val="0"/>
          <w:numId w:val="1001"/>
        </w:numPr>
      </w:pPr>
      <w:r>
        <w:t xml:space="preserve">The substantive conclusion is unchanged.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2"/>
        </w:numPr>
      </w:pPr>
      <w:r>
        <w:t xml:space="preserve">Section III-C,</w:t>
      </w:r>
      <w:r>
        <w:t xml:space="preserve"> </w:t>
      </w:r>
      <w:r>
        <w:t xml:space="preserve">“What the Two Baselines Measure, and a Repeat-Call Sensitivity,”</w:t>
      </w:r>
      <w:r>
        <w:t xml:space="preserve"> </w:t>
      </w:r>
      <w:r>
        <w:t xml:space="preserve">was added.</w:t>
      </w:r>
    </w:p>
    <w:p>
      <w:pPr>
        <w:pStyle w:val="Compact"/>
        <w:numPr>
          <w:ilvl w:val="0"/>
          <w:numId w:val="1002"/>
        </w:numPr>
      </w:pPr>
      <w:r>
        <w:t xml:space="preserve">The section now:</w:t>
      </w:r>
    </w:p>
    <w:p>
      <w:pPr>
        <w:pStyle w:val="Compact"/>
        <w:numPr>
          <w:ilvl w:val="1"/>
          <w:numId w:val="1003"/>
        </w:numPr>
      </w:pPr>
      <w:r>
        <w:t xml:space="preserve">explicitly distinguishes the construction of Fwithin and Fcross;</w:t>
      </w:r>
    </w:p>
    <w:p>
      <w:pPr>
        <w:pStyle w:val="Compact"/>
        <w:numPr>
          <w:ilvl w:val="1"/>
          <w:numId w:val="1003"/>
        </w:numPr>
      </w:pPr>
      <w:r>
        <w:t xml:space="preserve">narrows the interpretation of Fexcess;</w:t>
      </w:r>
    </w:p>
    <w:p>
      <w:pPr>
        <w:pStyle w:val="Compact"/>
        <w:numPr>
          <w:ilvl w:val="1"/>
          <w:numId w:val="1003"/>
        </w:numPr>
      </w:pPr>
      <w:r>
        <w:t xml:space="preserve">reports a same-seed repeat-call sensitivity analysis on a stratified subgrid;</w:t>
      </w:r>
    </w:p>
    <w:p>
      <w:pPr>
        <w:pStyle w:val="Compact"/>
        <w:numPr>
          <w:ilvl w:val="1"/>
          <w:numId w:val="1003"/>
        </w:numPr>
      </w:pPr>
      <w:r>
        <w:t xml:space="preserve">clearly states that the resulting repeat-call floor is applied as an alternative noise-floor</w:t>
      </w:r>
      <w:r>
        <w:t xml:space="preserve"> </w:t>
      </w:r>
      <w:r>
        <w:t xml:space="preserve">estimate to the full-grid cross-version disagreement rate; and</w:t>
      </w:r>
    </w:p>
    <w:p>
      <w:pPr>
        <w:pStyle w:val="Compact"/>
        <w:numPr>
          <w:ilvl w:val="1"/>
          <w:numId w:val="1003"/>
        </w:numPr>
      </w:pPr>
      <w:r>
        <w:t xml:space="preserve">retains the preregistered endpoint as primary.</w:t>
      </w:r>
    </w:p>
    <w:p>
      <w:pPr>
        <w:pStyle w:val="FirstParagraph"/>
      </w:pPr>
      <w:r>
        <w:rPr>
          <w:b/>
          <w:color w:val="008000"/>
        </w:rPr>
        <w:t xml:space="preserve">Reviewer #1,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2. Separate distributional distance from per-call migration flips:</w:t>
      </w:r>
    </w:p>
    <w:p>
      <w:pPr>
        <w:pStyle w:val="BodyText"/>
      </w:pPr>
      <w:r>
        <w:rPr>
          <w:color w:val="008000"/>
        </w:rPr>
        <w:t xml:space="preserve">If estimated with independent replicate draws, the proposed difference has a defensible</w:t>
      </w:r>
      <w:r>
        <w:rPr>
          <w:color w:val="008000"/>
        </w:rPr>
        <w:t xml:space="preserve"> </w:t>
      </w:r>
      <w:r>
        <w:rPr>
          <w:color w:val="008000"/>
        </w:rPr>
        <w:t xml:space="preserve">categorical distribution-distance interpretation. That is different from the probability that a</w:t>
      </w:r>
      <w:r>
        <w:rPr>
          <w:color w:val="008000"/>
        </w:rPr>
        <w:t xml:space="preserve"> </w:t>
      </w:r>
      <w:r>
        <w:rPr>
          <w:color w:val="008000"/>
        </w:rPr>
        <w:t xml:space="preserve">specific production decision will flip after cutover. Explain which operational question each</w:t>
      </w:r>
      <w:r>
        <w:rPr>
          <w:color w:val="008000"/>
        </w:rPr>
        <w:t xml:space="preserve"> </w:t>
      </w:r>
      <w:r>
        <w:rPr>
          <w:color w:val="008000"/>
        </w:rPr>
        <w:t xml:space="preserve">statistic answers and avoid treating them as interchangeable.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4"/>
        </w:numPr>
      </w:pPr>
      <w:r>
        <w:t xml:space="preserve">We agree that these quantities answer different operational questions.</w:t>
      </w:r>
    </w:p>
    <w:p>
      <w:pPr>
        <w:pStyle w:val="Compact"/>
        <w:numPr>
          <w:ilvl w:val="0"/>
          <w:numId w:val="1004"/>
        </w:numPr>
      </w:pPr>
      <w:r>
        <w:t xml:space="preserve">TVD measures movement in the aggregate label distribution.</w:t>
      </w:r>
    </w:p>
    <w:p>
      <w:pPr>
        <w:pStyle w:val="Compact"/>
        <w:numPr>
          <w:ilvl w:val="0"/>
          <w:numId w:val="1004"/>
        </w:numPr>
      </w:pPr>
      <w:r>
        <w:t xml:space="preserve">Fcross measures matched decision disagreement across versions.</w:t>
      </w:r>
    </w:p>
    <w:p>
      <w:pPr>
        <w:pStyle w:val="Compact"/>
        <w:numPr>
          <w:ilvl w:val="0"/>
          <w:numId w:val="1004"/>
        </w:numPr>
      </w:pPr>
      <w:r>
        <w:t xml:space="preserve">We also clarify that TVD equals the marginal component M of the prevalence-churn decomposition.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5"/>
        </w:numPr>
      </w:pPr>
      <w:r>
        <w:t xml:space="preserve">Section III-D,</w:t>
      </w:r>
      <w:r>
        <w:t xml:space="preserve"> </w:t>
      </w:r>
      <w:r>
        <w:t xml:space="preserve">“Distribution Distance Is Not Per-Call Flip Probability”</w:t>
      </w:r>
      <w:r>
        <w:t xml:space="preserve"> </w:t>
      </w:r>
      <w:r>
        <w:t xml:space="preserve">was added.</w:t>
      </w:r>
    </w:p>
    <w:p>
      <w:pPr>
        <w:pStyle w:val="Compact"/>
        <w:numPr>
          <w:ilvl w:val="0"/>
          <w:numId w:val="1005"/>
        </w:numPr>
      </w:pPr>
      <w:r>
        <w:t xml:space="preserve">The new section:</w:t>
      </w:r>
    </w:p>
    <w:p>
      <w:pPr>
        <w:pStyle w:val="Compact"/>
        <w:numPr>
          <w:ilvl w:val="1"/>
          <w:numId w:val="1006"/>
        </w:numPr>
      </w:pPr>
      <w:r>
        <w:t xml:space="preserve">formally distinguishes TVD from Fcross;</w:t>
      </w:r>
    </w:p>
    <w:p>
      <w:pPr>
        <w:pStyle w:val="Compact"/>
        <w:numPr>
          <w:ilvl w:val="1"/>
          <w:numId w:val="1006"/>
        </w:numPr>
      </w:pPr>
      <w:r>
        <w:t xml:space="preserve">reports both quantities side by side for both migration pairs;</w:t>
      </w:r>
    </w:p>
    <w:p>
      <w:pPr>
        <w:pStyle w:val="Compact"/>
        <w:numPr>
          <w:ilvl w:val="1"/>
          <w:numId w:val="1006"/>
        </w:numPr>
      </w:pPr>
      <w:r>
        <w:t xml:space="preserve">explains their different operational interpretations; and</w:t>
      </w:r>
    </w:p>
    <w:p>
      <w:pPr>
        <w:pStyle w:val="Compact"/>
        <w:numPr>
          <w:ilvl w:val="1"/>
          <w:numId w:val="1006"/>
        </w:numPr>
      </w:pPr>
      <w:r>
        <w:t xml:space="preserve">links TVD explicitly to the marginal component M.</w:t>
      </w:r>
    </w:p>
    <w:p>
      <w:pPr>
        <w:pStyle w:val="FirstParagraph"/>
      </w:pPr>
      <w:r>
        <w:rPr>
          <w:b/>
          <w:color w:val="008000"/>
        </w:rPr>
        <w:t xml:space="preserve">Reviewer #1,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5) Are there references that are not appropriate for the topic being discussed?: Yes</w:t>
      </w:r>
    </w:p>
    <w:p>
      <w:pPr>
        <w:pStyle w:val="BodyText"/>
      </w:pPr>
      <w:r>
        <w:rPr>
          <w:color w:val="008000"/>
        </w:rPr>
        <w:t xml:space="preserve">5a) If yes, then please indicate which references should be removed.: Reference [24] Emergent</w:t>
      </w:r>
      <w:r>
        <w:rPr>
          <w:color w:val="008000"/>
        </w:rPr>
        <w:t xml:space="preserve"> </w:t>
      </w:r>
      <w:r>
        <w:rPr>
          <w:color w:val="008000"/>
        </w:rPr>
        <w:t xml:space="preserve">Abilities of Large Language Models, does not support the sentence that a provider designated</w:t>
      </w:r>
      <w:r>
        <w:rPr>
          <w:color w:val="008000"/>
        </w:rPr>
        <w:t xml:space="preserve"> </w:t>
      </w:r>
      <w:r>
        <w:rPr>
          <w:color w:val="008000"/>
        </w:rPr>
        <w:t xml:space="preserve">successor need not be behaviorally equivalent to its predecessor.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7"/>
        </w:numPr>
      </w:pPr>
      <w:r>
        <w:t xml:space="preserve">We agree that the cited reference did not support the statement.</w:t>
      </w:r>
    </w:p>
    <w:p>
      <w:pPr>
        <w:pStyle w:val="Compact"/>
        <w:numPr>
          <w:ilvl w:val="0"/>
          <w:numId w:val="1007"/>
        </w:numPr>
      </w:pPr>
      <w:r>
        <w:t xml:space="preserve">The citation has therefore been removed rather than replaced with an unrelated reference.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08"/>
        </w:numPr>
      </w:pPr>
      <w:r>
        <w:t xml:space="preserve">The unsupported citation was removed from the relevant sentence.</w:t>
      </w:r>
    </w:p>
    <w:p>
      <w:pPr>
        <w:pStyle w:val="Compact"/>
        <w:numPr>
          <w:ilvl w:val="0"/>
          <w:numId w:val="1008"/>
        </w:numPr>
      </w:pPr>
      <w:r>
        <w:t xml:space="preserve">The now-unused bibliography entry was also deleted.</w:t>
      </w:r>
    </w:p>
    <w:p>
      <w:pPr>
        <w:pStyle w:val="FirstParagraph"/>
      </w:pPr>
      <w:r>
        <w:rPr>
          <w:b/>
          <w:color w:val="008000"/>
        </w:rPr>
        <w:t xml:space="preserve">Reviewer #2, Concern #1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1. Please justify the construction of the primary excess-flip endpoint. F_within is computed from</w:t>
      </w:r>
      <w:r>
        <w:rPr>
          <w:color w:val="008000"/>
        </w:rPr>
        <w:t xml:space="preserve"> </w:t>
      </w:r>
      <w:r>
        <w:rPr>
          <w:color w:val="008000"/>
        </w:rPr>
        <w:t xml:space="preserve">all three unordered replicate pairs within each company-date, whereas F_cross compares matched</w:t>
      </w:r>
      <w:r>
        <w:rPr>
          <w:color w:val="008000"/>
        </w:rPr>
        <w:t xml:space="preserve"> </w:t>
      </w:r>
      <w:r>
        <w:rPr>
          <w:color w:val="008000"/>
        </w:rPr>
        <w:t xml:space="preserve">company-date-replicate cells. Please explain why the former is the appropriate noise baseline for</w:t>
      </w:r>
      <w:r>
        <w:rPr>
          <w:color w:val="008000"/>
        </w:rPr>
        <w:t xml:space="preserve"> </w:t>
      </w:r>
      <w:r>
        <w:rPr>
          <w:color w:val="008000"/>
        </w:rPr>
        <w:t xml:space="preserve">the latter and, if possible, add a sensitivity analysis using an alternative matched or</w:t>
      </w:r>
      <w:r>
        <w:rPr>
          <w:color w:val="008000"/>
        </w:rPr>
        <w:t xml:space="preserve"> </w:t>
      </w:r>
      <w:r>
        <w:rPr>
          <w:color w:val="008000"/>
        </w:rPr>
        <w:t xml:space="preserve">repeated-call baseline.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09"/>
        </w:numPr>
      </w:pPr>
      <w:r>
        <w:t xml:space="preserve">This overlaps with Reviewer #1, Concern #1.</w:t>
      </w:r>
    </w:p>
    <w:p>
      <w:pPr>
        <w:pStyle w:val="Compact"/>
        <w:numPr>
          <w:ilvl w:val="0"/>
          <w:numId w:val="1009"/>
        </w:numPr>
      </w:pPr>
      <w:r>
        <w:t xml:space="preserve">We addressed it by estimating same-seed repeat-call disagreement on a stratified subgrid, rather</w:t>
      </w:r>
      <w:r>
        <w:t xml:space="preserve"> </w:t>
      </w:r>
      <w:r>
        <w:t xml:space="preserve">than relying only on an interpretive defense.</w:t>
      </w:r>
    </w:p>
    <w:p>
      <w:pPr>
        <w:pStyle w:val="Compact"/>
        <w:numPr>
          <w:ilvl w:val="0"/>
          <w:numId w:val="1009"/>
        </w:numPr>
      </w:pPr>
      <w:r>
        <w:t xml:space="preserve">Applying that repeat-call floor as an alternative noise-floor estimate to the full-grid</w:t>
      </w:r>
      <w:r>
        <w:t xml:space="preserve"> </w:t>
      </w:r>
      <w:r>
        <w:t xml:space="preserve">cross-version disagreement rate leaves the endpoint positive for both migrations: 0.189 for</w:t>
      </w:r>
      <w:r>
        <w:t xml:space="preserve"> </w:t>
      </w:r>
      <w:r>
        <w:t xml:space="preserve">OpenAI and 0.375 for Gemini.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0"/>
        </w:numPr>
      </w:pPr>
      <w:r>
        <w:t xml:space="preserve">Section III-C was added.</w:t>
      </w:r>
    </w:p>
    <w:p>
      <w:pPr>
        <w:pStyle w:val="Compact"/>
        <w:numPr>
          <w:ilvl w:val="0"/>
          <w:numId w:val="1010"/>
        </w:numPr>
      </w:pPr>
      <w:r>
        <w:t xml:space="preserve">It now:</w:t>
      </w:r>
    </w:p>
    <w:p>
      <w:pPr>
        <w:pStyle w:val="Compact"/>
        <w:numPr>
          <w:ilvl w:val="1"/>
          <w:numId w:val="1011"/>
        </w:numPr>
      </w:pPr>
      <w:r>
        <w:t xml:space="preserve">explains why the preregistered within-version floor answers the intended operational</w:t>
      </w:r>
      <w:r>
        <w:t xml:space="preserve"> </w:t>
      </w:r>
      <w:r>
        <w:t xml:space="preserve">question;</w:t>
      </w:r>
    </w:p>
    <w:p>
      <w:pPr>
        <w:pStyle w:val="Compact"/>
        <w:numPr>
          <w:ilvl w:val="1"/>
          <w:numId w:val="1011"/>
        </w:numPr>
      </w:pPr>
      <w:r>
        <w:t xml:space="preserve">explicitly acknowledges the different coupling structures; and</w:t>
      </w:r>
    </w:p>
    <w:p>
      <w:pPr>
        <w:pStyle w:val="Compact"/>
        <w:numPr>
          <w:ilvl w:val="1"/>
          <w:numId w:val="1011"/>
        </w:numPr>
      </w:pPr>
      <w:r>
        <w:t xml:space="preserve">reports the requested same-seed repeat-call sensitivity analysis, stating that its floor is</w:t>
      </w:r>
      <w:r>
        <w:t xml:space="preserve"> </w:t>
      </w:r>
      <w:r>
        <w:t xml:space="preserve">applied to the full-grid cross-version disagreement rate.</w:t>
      </w:r>
    </w:p>
    <w:p>
      <w:pPr>
        <w:pStyle w:val="FirstParagraph"/>
      </w:pPr>
      <w:r>
        <w:rPr>
          <w:b/>
          <w:color w:val="008000"/>
        </w:rPr>
        <w:t xml:space="preserve">Reviewer #2, Concern #2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2. Please make the Gemini migration provenance independently verifiable. Table 1 gives</w:t>
      </w:r>
      <w:r>
        <w:rPr>
          <w:color w:val="008000"/>
        </w:rPr>
        <w:t xml:space="preserve"> </w:t>
      </w:r>
      <w:r>
        <w:rPr>
          <w:color w:val="008000"/>
        </w:rPr>
        <w:t xml:space="preserve">gemini-2.5-flash -&gt; gemini-3.5-flash with an announced shutdown of October 16, 2026, sourced to</w:t>
      </w:r>
      <w:r>
        <w:rPr>
          <w:color w:val="008000"/>
        </w:rPr>
        <w:t xml:space="preserve"> </w:t>
      </w:r>
      <w:r>
        <w:rPr>
          <w:color w:val="008000"/>
        </w:rPr>
        <w:t xml:space="preserve">[34] as accessed on July 4, 2026. Please include an archived capture or other stable provider</w:t>
      </w:r>
      <w:r>
        <w:rPr>
          <w:color w:val="008000"/>
        </w:rPr>
        <w:t xml:space="preserve"> </w:t>
      </w:r>
      <w:r>
        <w:rPr>
          <w:color w:val="008000"/>
        </w:rPr>
        <w:t xml:space="preserve">evidence establishing the shutdown date and designated successor as of the protocol-freeze date.</w:t>
      </w:r>
      <w:r>
        <w:rPr>
          <w:color w:val="008000"/>
        </w:rPr>
        <w:t xml:space="preserve"> </w:t>
      </w:r>
      <w:r>
        <w:rPr>
          <w:color w:val="008000"/>
        </w:rPr>
        <w:t xml:space="preserve">If the pair was selected experimentally rather than explicitly designated by the provider, the</w:t>
      </w:r>
      <w:r>
        <w:rPr>
          <w:color w:val="008000"/>
        </w:rPr>
        <w:t xml:space="preserve"> </w:t>
      </w:r>
      <w:r>
        <w:rPr>
          <w:color w:val="008000"/>
        </w:rPr>
        <w:t xml:space="preserve">“vendor-declared migration”</w:t>
      </w:r>
      <w:r>
        <w:rPr>
          <w:color w:val="008000"/>
        </w:rPr>
        <w:t xml:space="preserve"> </w:t>
      </w:r>
      <w:r>
        <w:rPr>
          <w:color w:val="008000"/>
        </w:rPr>
        <w:t xml:space="preserve">terminology should be revised throughout.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2"/>
        </w:numPr>
      </w:pPr>
      <w:r>
        <w:t xml:space="preserve">We located an archived Google deprecation-page capture dated 1 July 2026.</w:t>
      </w:r>
    </w:p>
    <w:p>
      <w:pPr>
        <w:pStyle w:val="Compact"/>
        <w:numPr>
          <w:ilvl w:val="0"/>
          <w:numId w:val="1012"/>
        </w:numPr>
      </w:pPr>
      <w:r>
        <w:t xml:space="preserve">It confirms:</w:t>
      </w:r>
    </w:p>
    <w:p>
      <w:pPr>
        <w:pStyle w:val="Compact"/>
        <w:numPr>
          <w:ilvl w:val="1"/>
          <w:numId w:val="1013"/>
        </w:numPr>
      </w:pPr>
      <w:r>
        <w:t xml:space="preserve">gemini-2.5-flash;</w:t>
      </w:r>
    </w:p>
    <w:p>
      <w:pPr>
        <w:pStyle w:val="Compact"/>
        <w:numPr>
          <w:ilvl w:val="1"/>
          <w:numId w:val="1013"/>
        </w:numPr>
      </w:pPr>
      <w:r>
        <w:t xml:space="preserve">shutdown date 16 October 2026; and</w:t>
      </w:r>
    </w:p>
    <w:p>
      <w:pPr>
        <w:pStyle w:val="Compact"/>
        <w:numPr>
          <w:ilvl w:val="1"/>
          <w:numId w:val="1013"/>
        </w:numPr>
      </w:pPr>
      <w:r>
        <w:t xml:space="preserve">gemini-3.5-flash as the recommended replacement.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t xml:space="preserve">“vendor-declared”</w:t>
      </w:r>
      <w:r>
        <w:t xml:space="preserve"> </w:t>
      </w:r>
      <w:r>
        <w:t xml:space="preserve">terminology is therefore retained: the manuscript describes the</w:t>
      </w:r>
      <w:r>
        <w:t xml:space="preserve"> </w:t>
      </w:r>
      <w:r>
        <w:t xml:space="preserve">pairs as vendor-declared model-version migrations.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4"/>
        </w:numPr>
      </w:pPr>
      <w:r>
        <w:t xml:space="preserve">Section IV-D,</w:t>
      </w:r>
      <w:r>
        <w:t xml:space="preserve"> </w:t>
      </w:r>
      <w:r>
        <w:t xml:space="preserve">“Models and Migration Pairs”</w:t>
      </w:r>
      <w:r>
        <w:t xml:space="preserve"> </w:t>
      </w:r>
      <w:r>
        <w:t xml:space="preserve">was revised.</w:t>
      </w:r>
    </w:p>
    <w:p>
      <w:pPr>
        <w:pStyle w:val="Compact"/>
        <w:numPr>
          <w:ilvl w:val="0"/>
          <w:numId w:val="1014"/>
        </w:numPr>
      </w:pPr>
      <w:r>
        <w:t xml:space="preserve">We:</w:t>
      </w:r>
    </w:p>
    <w:p>
      <w:pPr>
        <w:pStyle w:val="Compact"/>
        <w:numPr>
          <w:ilvl w:val="1"/>
          <w:numId w:val="1015"/>
        </w:numPr>
      </w:pPr>
      <w:r>
        <w:t xml:space="preserve">added the archived provider evidence;</w:t>
      </w:r>
    </w:p>
    <w:p>
      <w:pPr>
        <w:pStyle w:val="Compact"/>
        <w:numPr>
          <w:ilvl w:val="1"/>
          <w:numId w:val="1015"/>
        </w:numPr>
      </w:pPr>
      <w:r>
        <w:t xml:space="preserve">stated the shutdown date and designated successor explicitly;</w:t>
      </w:r>
    </w:p>
    <w:p>
      <w:pPr>
        <w:pStyle w:val="Compact"/>
        <w:numPr>
          <w:ilvl w:val="1"/>
          <w:numId w:val="1015"/>
        </w:numPr>
      </w:pPr>
      <w:r>
        <w:t xml:space="preserve">explained why an archived capture is used instead of relying on a revisable live page; and</w:t>
      </w:r>
    </w:p>
    <w:p>
      <w:pPr>
        <w:pStyle w:val="Compact"/>
        <w:numPr>
          <w:ilvl w:val="1"/>
          <w:numId w:val="1015"/>
        </w:numPr>
      </w:pPr>
      <w:r>
        <w:t xml:space="preserve">added the archived source as a numbered reference.</w:t>
      </w:r>
    </w:p>
    <w:p>
      <w:pPr>
        <w:pStyle w:val="FirstParagraph"/>
      </w:pPr>
      <w:r>
        <w:rPr>
          <w:b/>
          <w:color w:val="008000"/>
        </w:rPr>
        <w:t xml:space="preserve">Reviewer #2, Concern #3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3. Please cite the SR 26-2 provisions with greater precision. Section VII states that SR 26-2</w:t>
      </w:r>
      <w:r>
        <w:rPr>
          <w:color w:val="008000"/>
        </w:rPr>
        <w:t xml:space="preserve"> </w:t>
      </w:r>
      <w:r>
        <w:rPr>
          <w:color w:val="008000"/>
        </w:rPr>
        <w:t xml:space="preserve">replaced SR 11-7 in April 2026 and expressly excludes generative and agentic AI from scope; this</w:t>
      </w:r>
      <w:r>
        <w:rPr>
          <w:color w:val="008000"/>
        </w:rPr>
        <w:t xml:space="preserve"> </w:t>
      </w:r>
      <w:r>
        <w:rPr>
          <w:color w:val="008000"/>
        </w:rPr>
        <w:t xml:space="preserve">premise carries the governance-gap argument. Please identify the specific provisions supporting</w:t>
      </w:r>
      <w:r>
        <w:rPr>
          <w:color w:val="008000"/>
        </w:rPr>
        <w:t xml:space="preserve"> </w:t>
      </w:r>
      <w:r>
        <w:rPr>
          <w:color w:val="008000"/>
        </w:rPr>
        <w:t xml:space="preserve">these statements and reconcile Table 5, which maps only SR 11-7 provisions, with the text’s</w:t>
      </w:r>
      <w:r>
        <w:rPr>
          <w:color w:val="008000"/>
        </w:rPr>
        <w:t xml:space="preserve"> </w:t>
      </w:r>
      <w:r>
        <w:rPr>
          <w:color w:val="008000"/>
        </w:rPr>
        <w:t xml:space="preserve">position that SR 26-2 is the operative framework.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6"/>
        </w:numPr>
      </w:pPr>
      <w:r>
        <w:t xml:space="preserve">We agree that the governance discussion required more precise sourcing.</w:t>
      </w:r>
    </w:p>
    <w:p>
      <w:pPr>
        <w:pStyle w:val="Compact"/>
        <w:numPr>
          <w:ilvl w:val="0"/>
          <w:numId w:val="1016"/>
        </w:numPr>
      </w:pPr>
      <w:r>
        <w:t xml:space="preserve">The revised manuscript now identifies:</w:t>
      </w:r>
    </w:p>
    <w:p>
      <w:pPr>
        <w:pStyle w:val="Compact"/>
        <w:numPr>
          <w:ilvl w:val="1"/>
          <w:numId w:val="1017"/>
        </w:numPr>
      </w:pPr>
      <w:r>
        <w:t xml:space="preserve">Footnote 3 for the generative/agentic AI scope carve-out;</w:t>
      </w:r>
    </w:p>
    <w:p>
      <w:pPr>
        <w:pStyle w:val="Compact"/>
        <w:numPr>
          <w:ilvl w:val="1"/>
          <w:numId w:val="1017"/>
        </w:numPr>
      </w:pPr>
      <w:r>
        <w:t xml:space="preserve">Section III for aggregate model risk; and</w:t>
      </w:r>
    </w:p>
    <w:p>
      <w:pPr>
        <w:pStyle w:val="Compact"/>
        <w:numPr>
          <w:ilvl w:val="1"/>
          <w:numId w:val="1017"/>
        </w:numPr>
      </w:pPr>
      <w:r>
        <w:t xml:space="preserve">Section VII for vendor and third-party models.</w:t>
      </w:r>
    </w:p>
    <w:p>
      <w:pPr>
        <w:pStyle w:val="Compact"/>
        <w:numPr>
          <w:ilvl w:val="0"/>
          <w:numId w:val="1016"/>
        </w:numPr>
      </w:pPr>
      <w:r>
        <w:t xml:space="preserve">We also clarify that the carve-out delegates governance to institutional risk-management</w:t>
      </w:r>
      <w:r>
        <w:t xml:space="preserve"> </w:t>
      </w:r>
      <w:r>
        <w:t xml:space="preserve">practices rather than implying an absence of governance obligations.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18"/>
        </w:numPr>
      </w:pPr>
      <w:r>
        <w:t xml:space="preserve">Section VII,</w:t>
      </w:r>
      <w:r>
        <w:t xml:space="preserve"> </w:t>
      </w:r>
      <w:r>
        <w:t xml:space="preserve">“Governance: SR 11-7, SR 26-2, and a Pre-Migration Control”</w:t>
      </w:r>
      <w:r>
        <w:t xml:space="preserve"> </w:t>
      </w:r>
      <w:r>
        <w:t xml:space="preserve">was substantially</w:t>
      </w:r>
      <w:r>
        <w:t xml:space="preserve"> </w:t>
      </w:r>
      <w:r>
        <w:t xml:space="preserve">revised.</w:t>
      </w:r>
    </w:p>
    <w:p>
      <w:pPr>
        <w:pStyle w:val="Compact"/>
        <w:numPr>
          <w:ilvl w:val="0"/>
          <w:numId w:val="1018"/>
        </w:numPr>
      </w:pPr>
      <w:r>
        <w:t xml:space="preserve">Table 5 now carries a separate column for each framework, so the mapping no longer</w:t>
      </w:r>
      <w:r>
        <w:t xml:space="preserve"> </w:t>
      </w:r>
      <w:r>
        <w:t xml:space="preserve">rests on SR 11-7 alone, and each cell gives the section number together with the</w:t>
      </w:r>
      <w:r>
        <w:t xml:space="preserve"> </w:t>
      </w:r>
      <w:r>
        <w:t xml:space="preserve">provision title as the guidance itself words it, rather than a section number the</w:t>
      </w:r>
      <w:r>
        <w:t xml:space="preserve"> </w:t>
      </w:r>
      <w:r>
        <w:t xml:space="preserve">reader would have to look up. The five rows are the governance concepts the paper</w:t>
      </w:r>
      <w:r>
        <w:t xml:space="preserve"> </w:t>
      </w:r>
      <w:r>
        <w:t xml:space="preserve">relies on: vendor and third-party responsibility; ongoing monitoring; effective</w:t>
      </w:r>
      <w:r>
        <w:t xml:space="preserve"> </w:t>
      </w:r>
      <w:r>
        <w:t xml:space="preserve">challenge and validation before use; model inventory and change control; and aggregate</w:t>
      </w:r>
      <w:r>
        <w:t xml:space="preserve"> </w:t>
      </w:r>
      <w:r>
        <w:t xml:space="preserve">model risk. Two further columns state, for each concept, how version migration breaks</w:t>
      </w:r>
      <w:r>
        <w:t xml:space="preserve"> </w:t>
      </w:r>
      <w:r>
        <w:t xml:space="preserve">it and what control we propose.</w:t>
      </w:r>
    </w:p>
    <w:p>
      <w:pPr>
        <w:pStyle w:val="Compact"/>
        <w:numPr>
          <w:ilvl w:val="0"/>
          <w:numId w:val="1018"/>
        </w:numPr>
      </w:pPr>
      <w:r>
        <w:t xml:space="preserve">The caption states that the SR 26-2 column gives the provisions that would otherwise</w:t>
      </w:r>
      <w:r>
        <w:t xml:space="preserve"> </w:t>
      </w:r>
      <w:r>
        <w:t xml:space="preserve">apply, because SR 26-2’s own footnote 3, attached to its Purpose and Scope section,</w:t>
      </w:r>
      <w:r>
        <w:t xml:space="preserve"> </w:t>
      </w:r>
      <w:r>
        <w:t xml:space="preserve">provides that generative and agentic AI models</w:t>
      </w:r>
      <w:r>
        <w:t xml:space="preserve"> </w:t>
      </w:r>
      <w:r>
        <w:t xml:space="preserve">“are not within the scope of this</w:t>
      </w:r>
      <w:r>
        <w:t xml:space="preserve"> </w:t>
      </w:r>
      <w:r>
        <w:t xml:space="preserve">guidance.”</w:t>
      </w:r>
      <w:r>
        <w:t xml:space="preserve"> </w:t>
      </w:r>
      <w:r>
        <w:t xml:space="preserve">Section VII now quotes the scope exclusion and incorporates the accompanying</w:t>
      </w:r>
      <w:r>
        <w:t xml:space="preserve"> </w:t>
      </w:r>
      <w:r>
        <w:t xml:space="preserve">governance language, under which an institution’s own risk-management and governance</w:t>
      </w:r>
      <w:r>
        <w:t xml:space="preserve"> </w:t>
      </w:r>
      <w:r>
        <w:t xml:space="preserve">practices determine the controls for systems not covered. The carve-out therefore</w:t>
      </w:r>
      <w:r>
        <w:t xml:space="preserve"> </w:t>
      </w:r>
      <w:r>
        <w:t xml:space="preserve">delegates the governance of these systems to institutional discretion rather than</w:t>
      </w:r>
      <w:r>
        <w:t xml:space="preserve"> </w:t>
      </w:r>
      <w:r>
        <w:t xml:space="preserve">leaving it unaddressed, and the proposed control is framed as a way to discharge that</w:t>
      </w:r>
      <w:r>
        <w:t xml:space="preserve"> </w:t>
      </w:r>
      <w:r>
        <w:t xml:space="preserve">delegated responsibility.</w:t>
      </w:r>
    </w:p>
    <w:p>
      <w:pPr>
        <w:pStyle w:val="Compact"/>
        <w:numPr>
          <w:ilvl w:val="0"/>
          <w:numId w:val="1018"/>
        </w:numPr>
      </w:pPr>
      <w:r>
        <w:t xml:space="preserve">Reference [3] now cites an archived capture of SR 11-7, since the issuing page was</w:t>
      </w:r>
      <w:r>
        <w:t xml:space="preserve"> </w:t>
      </w:r>
      <w:r>
        <w:t xml:space="preserve">withdrawn after supersession, and names the provisions relied upon. Reference [4] does</w:t>
      </w:r>
      <w:r>
        <w:t xml:space="preserve"> </w:t>
      </w:r>
      <w:r>
        <w:t xml:space="preserve">the same for SR 26-2.</w:t>
      </w:r>
    </w:p>
    <w:p>
      <w:pPr>
        <w:pStyle w:val="Compact"/>
        <w:numPr>
          <w:ilvl w:val="0"/>
          <w:numId w:val="1018"/>
        </w:numPr>
      </w:pPr>
      <w:r>
        <w:t xml:space="preserve">The governance language was narrowed to describe a governance challenge rather than an absence of</w:t>
      </w:r>
      <w:r>
        <w:t xml:space="preserve"> </w:t>
      </w:r>
      <w:r>
        <w:t xml:space="preserve">regulatory obligations.</w:t>
      </w:r>
    </w:p>
    <w:p>
      <w:pPr>
        <w:pStyle w:val="FirstParagraph"/>
      </w:pPr>
      <w:r>
        <w:rPr>
          <w:b/>
          <w:color w:val="008000"/>
        </w:rPr>
        <w:t xml:space="preserve">Reviewer #2, Concern #4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4. Please correct the description of the sector-restricted analysis. It is introduced with</w:t>
      </w:r>
      <w:r>
        <w:rPr>
          <w:color w:val="008000"/>
        </w:rPr>
        <w:t xml:space="preserve"> </w:t>
      </w:r>
      <w:r>
        <w:rPr>
          <w:color w:val="008000"/>
        </w:rPr>
        <w:t xml:space="preserve">“The</w:t>
      </w:r>
      <w:r>
        <w:rPr>
          <w:color w:val="008000"/>
        </w:rPr>
        <w:t xml:space="preserve"> </w:t>
      </w:r>
      <w:r>
        <w:rPr>
          <w:color w:val="008000"/>
        </w:rPr>
        <w:t xml:space="preserve">principal pattern remains,”</w:t>
      </w:r>
      <w:r>
        <w:rPr>
          <w:color w:val="008000"/>
        </w:rPr>
        <w:t xml:space="preserve"> </w:t>
      </w:r>
      <w:r>
        <w:rPr>
          <w:color w:val="008000"/>
        </w:rPr>
        <w:t xml:space="preserve">but the OpenAI hit rate improves 0.539 -&gt; 0.564 across all sectors and</w:t>
      </w:r>
      <w:r>
        <w:rPr>
          <w:color w:val="008000"/>
        </w:rPr>
        <w:t xml:space="preserve"> </w:t>
      </w:r>
      <w:r>
        <w:rPr>
          <w:color w:val="008000"/>
        </w:rPr>
        <w:t xml:space="preserve">declines 0.590 -&gt; 0.562 when Financials and Real Estate are excluded. Because the restricted</w:t>
      </w:r>
      <w:r>
        <w:rPr>
          <w:color w:val="008000"/>
        </w:rPr>
        <w:t xml:space="preserve"> </w:t>
      </w:r>
      <w:r>
        <w:rPr>
          <w:color w:val="008000"/>
        </w:rPr>
        <w:t xml:space="preserve">subset is where the Altman Z” reference is more appropriate, this reversal should be stated</w:t>
      </w:r>
      <w:r>
        <w:rPr>
          <w:color w:val="008000"/>
        </w:rPr>
        <w:t xml:space="preserve"> </w:t>
      </w:r>
      <w:r>
        <w:rPr>
          <w:color w:val="008000"/>
        </w:rPr>
        <w:t xml:space="preserve">directly, and the Discussion’s description of</w:t>
      </w:r>
      <w:r>
        <w:rPr>
          <w:color w:val="008000"/>
        </w:rPr>
        <w:t xml:space="preserve"> </w:t>
      </w:r>
      <w:r>
        <w:rPr>
          <w:color w:val="008000"/>
        </w:rPr>
        <w:t xml:space="preserve">“modest numerical improvement”</w:t>
      </w:r>
      <w:r>
        <w:rPr>
          <w:color w:val="008000"/>
        </w:rPr>
        <w:t xml:space="preserve"> </w:t>
      </w:r>
      <w:r>
        <w:rPr>
          <w:color w:val="008000"/>
        </w:rPr>
        <w:t xml:space="preserve">qualified</w:t>
      </w:r>
      <w:r>
        <w:rPr>
          <w:color w:val="008000"/>
        </w:rPr>
        <w:t xml:space="preserve"> </w:t>
      </w:r>
      <w:r>
        <w:rPr>
          <w:color w:val="008000"/>
        </w:rPr>
        <w:t xml:space="preserve">accordingly. Please also report balanced accuracy and macro-F1 for the restricted analysis, since</w:t>
      </w:r>
      <w:r>
        <w:rPr>
          <w:color w:val="008000"/>
        </w:rPr>
        <w:t xml:space="preserve"> </w:t>
      </w:r>
      <w:r>
        <w:rPr>
          <w:color w:val="008000"/>
        </w:rPr>
        <w:t xml:space="preserve">the manuscript argues these are required for imbalanced classes.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19"/>
        </w:numPr>
      </w:pPr>
      <w:r>
        <w:t xml:space="preserve">We agree that the earlier text incorrectly described the OpenAI restricted-sample result as a</w:t>
      </w:r>
      <w:r>
        <w:t xml:space="preserve"> </w:t>
      </w:r>
      <w:r>
        <w:t xml:space="preserve">continuation rather than a reversal.</w:t>
      </w:r>
    </w:p>
    <w:p>
      <w:pPr>
        <w:pStyle w:val="Compact"/>
        <w:numPr>
          <w:ilvl w:val="0"/>
          <w:numId w:val="1019"/>
        </w:numPr>
      </w:pPr>
      <w:r>
        <w:t xml:space="preserve">The revised results now state explicitly:</w:t>
      </w:r>
    </w:p>
    <w:p>
      <w:pPr>
        <w:pStyle w:val="Compact"/>
        <w:numPr>
          <w:ilvl w:val="1"/>
          <w:numId w:val="1020"/>
        </w:numPr>
      </w:pPr>
      <w:r>
        <w:t xml:space="preserve">Full-sample OpenAI hit rate: 0.539 to 0.564</w:t>
      </w:r>
    </w:p>
    <w:p>
      <w:pPr>
        <w:pStyle w:val="Compact"/>
        <w:numPr>
          <w:ilvl w:val="1"/>
          <w:numId w:val="1020"/>
        </w:numPr>
      </w:pPr>
      <w:r>
        <w:t xml:space="preserve">Restricted-sample OpenAI hit rate: 0.590 to 0.562</w:t>
      </w:r>
    </w:p>
    <w:p>
      <w:pPr>
        <w:pStyle w:val="Compact"/>
        <w:numPr>
          <w:ilvl w:val="0"/>
          <w:numId w:val="1019"/>
        </w:numPr>
      </w:pPr>
      <w:r>
        <w:t xml:space="preserve">We also added balanced accuracy and macro-F1 for the restricted sample.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1"/>
        </w:numPr>
      </w:pPr>
      <w:r>
        <w:t xml:space="preserve">Section V-E,</w:t>
      </w:r>
      <w:r>
        <w:t xml:space="preserve"> </w:t>
      </w:r>
      <w:r>
        <w:t xml:space="preserve">“Secondary Accuracy Analysis”</w:t>
      </w:r>
      <w:r>
        <w:t xml:space="preserve"> </w:t>
      </w:r>
      <w:r>
        <w:t xml:space="preserve">was revised.</w:t>
      </w:r>
    </w:p>
    <w:p>
      <w:pPr>
        <w:pStyle w:val="Compact"/>
        <w:numPr>
          <w:ilvl w:val="0"/>
          <w:numId w:val="1021"/>
        </w:numPr>
      </w:pPr>
      <w:r>
        <w:t xml:space="preserve">We:</w:t>
      </w:r>
    </w:p>
    <w:p>
      <w:pPr>
        <w:pStyle w:val="Compact"/>
        <w:numPr>
          <w:ilvl w:val="1"/>
          <w:numId w:val="1022"/>
        </w:numPr>
      </w:pPr>
      <w:r>
        <w:t xml:space="preserve">explicitly report the OpenAI hit-rate reversal;</w:t>
      </w:r>
    </w:p>
    <w:p>
      <w:pPr>
        <w:pStyle w:val="Compact"/>
        <w:numPr>
          <w:ilvl w:val="1"/>
          <w:numId w:val="1022"/>
        </w:numPr>
      </w:pPr>
      <w:r>
        <w:t xml:space="preserve">added restricted-sample balanced accuracy and macro-F1 for both providers;</w:t>
      </w:r>
    </w:p>
    <w:p>
      <w:pPr>
        <w:pStyle w:val="Compact"/>
        <w:numPr>
          <w:ilvl w:val="1"/>
          <w:numId w:val="1022"/>
        </w:numPr>
      </w:pPr>
      <w:r>
        <w:t xml:space="preserve">identify the sector-restricted sample as the more informative accuracy view; and</w:t>
      </w:r>
    </w:p>
    <w:p>
      <w:pPr>
        <w:pStyle w:val="Compact"/>
        <w:numPr>
          <w:ilvl w:val="1"/>
          <w:numId w:val="1022"/>
        </w:numPr>
      </w:pPr>
      <w:r>
        <w:t xml:space="preserve">updated the Discussion and Conclusion so they no longer overstate the OpenAI improvement.</w:t>
      </w:r>
    </w:p>
    <w:p>
      <w:pPr>
        <w:pStyle w:val="FirstParagraph"/>
      </w:pPr>
      <w:r>
        <w:rPr>
          <w:b/>
          <w:color w:val="008000"/>
        </w:rPr>
        <w:t xml:space="preserve">Reviewer #2, Concern #5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5. Please report uncertainty for the aggregate secondary comparisons or qualify them. Balanced</w:t>
      </w:r>
      <w:r>
        <w:rPr>
          <w:color w:val="008000"/>
        </w:rPr>
        <w:t xml:space="preserve"> </w:t>
      </w:r>
      <w:r>
        <w:rPr>
          <w:color w:val="008000"/>
        </w:rPr>
        <w:t xml:space="preserve">accuracy changes 0.538 -&gt; 0.570 for OpenAI and 0.488 -&gt; 0.408 for Gemini, and macro-F1 changes</w:t>
      </w:r>
      <w:r>
        <w:rPr>
          <w:color w:val="008000"/>
        </w:rPr>
        <w:t xml:space="preserve"> </w:t>
      </w:r>
      <w:r>
        <w:rPr>
          <w:color w:val="008000"/>
        </w:rPr>
        <w:t xml:space="preserve">0.517 -&gt; 0.565 and 0.463 -&gt; 0.325, without intervals, unlike the flip-conditional analysis.</w:t>
      </w:r>
      <w:r>
        <w:rPr>
          <w:color w:val="008000"/>
        </w:rPr>
        <w:t xml:space="preserve"> </w:t>
      </w:r>
      <w:r>
        <w:rPr>
          <w:color w:val="008000"/>
        </w:rPr>
        <w:t xml:space="preserve">Confidence intervals or paired bootstrap estimates would clarify whether these are inferential or</w:t>
      </w:r>
      <w:r>
        <w:rPr>
          <w:color w:val="008000"/>
        </w:rPr>
        <w:t xml:space="preserve"> </w:t>
      </w:r>
      <w:r>
        <w:rPr>
          <w:color w:val="008000"/>
        </w:rPr>
        <w:t xml:space="preserve">descriptive.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3"/>
        </w:numPr>
      </w:pPr>
      <w:r>
        <w:t xml:space="preserve">We added ticker-clustered bootstrap confidence intervals for the changes in balanced accuracy and</w:t>
      </w:r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3"/>
        </w:numPr>
      </w:pPr>
      <w:r>
        <w:t xml:space="preserve">OpenAI:</w:t>
      </w:r>
    </w:p>
    <w:p>
      <w:pPr>
        <w:pStyle w:val="Compact"/>
        <w:numPr>
          <w:ilvl w:val="1"/>
          <w:numId w:val="1024"/>
        </w:numPr>
      </w:pPr>
      <w:r>
        <w:t xml:space="preserve">Balanced accuracy: +0.032 [-0.005, 0.070]</w:t>
      </w:r>
    </w:p>
    <w:p>
      <w:pPr>
        <w:pStyle w:val="Compact"/>
        <w:numPr>
          <w:ilvl w:val="1"/>
          <w:numId w:val="1024"/>
        </w:numPr>
      </w:pPr>
      <w:r>
        <w:t xml:space="preserve">Macro-F1: +0.048 [0.007, 0.090]</w:t>
      </w:r>
    </w:p>
    <w:p>
      <w:pPr>
        <w:pStyle w:val="Compact"/>
        <w:numPr>
          <w:ilvl w:val="0"/>
          <w:numId w:val="1023"/>
        </w:numPr>
      </w:pPr>
      <w:r>
        <w:t xml:space="preserve">Gemini:</w:t>
      </w:r>
    </w:p>
    <w:p>
      <w:pPr>
        <w:pStyle w:val="Compact"/>
        <w:numPr>
          <w:ilvl w:val="1"/>
          <w:numId w:val="1025"/>
        </w:numPr>
      </w:pPr>
      <w:r>
        <w:t xml:space="preserve">Balanced accuracy: -0.080 [-0.140, -0.028]</w:t>
      </w:r>
    </w:p>
    <w:p>
      <w:pPr>
        <w:pStyle w:val="Compact"/>
        <w:numPr>
          <w:ilvl w:val="1"/>
          <w:numId w:val="1025"/>
        </w:numPr>
      </w:pPr>
      <w:r>
        <w:t xml:space="preserve">Macro-F1: -0.138 [-0.203, -0.078]</w:t>
      </w:r>
    </w:p>
    <w:p>
      <w:pPr>
        <w:pStyle w:val="Compact"/>
        <w:numPr>
          <w:ilvl w:val="0"/>
          <w:numId w:val="1023"/>
        </w:numPr>
      </w:pPr>
      <w:r>
        <w:t xml:space="preserve">The OpenAI improvement is therefore characterized as weak, while the Gemini deterioration is</w:t>
      </w:r>
      <w:r>
        <w:t xml:space="preserve"> </w:t>
      </w:r>
      <w:r>
        <w:t xml:space="preserve">clearly resolved.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6"/>
        </w:numPr>
      </w:pPr>
      <w:r>
        <w:t xml:space="preserve">Section V-E now reports bootstrap confidence intervals for both secondary metrics and both</w:t>
      </w:r>
      <w:r>
        <w:t xml:space="preserve"> </w:t>
      </w:r>
      <w:r>
        <w:t xml:space="preserve">migration pairs.</w:t>
      </w:r>
    </w:p>
    <w:p>
      <w:pPr>
        <w:pStyle w:val="Compact"/>
        <w:numPr>
          <w:ilvl w:val="0"/>
          <w:numId w:val="1026"/>
        </w:numPr>
      </w:pPr>
      <w:r>
        <w:t xml:space="preserve">The corresponding claims in the Results, Discussion, and Conclusion were moderated to match the</w:t>
      </w:r>
      <w:r>
        <w:t xml:space="preserve"> </w:t>
      </w:r>
      <w:r>
        <w:t xml:space="preserve">inferential evidence.</w:t>
      </w:r>
    </w:p>
    <w:p>
      <w:pPr>
        <w:pStyle w:val="FirstParagraph"/>
      </w:pPr>
      <w:r>
        <w:rPr>
          <w:b/>
          <w:color w:val="008000"/>
        </w:rPr>
        <w:t xml:space="preserve">Reviewer #2, Concern #6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6. Please reconcile the temperature subgrid with the primary result. The T = 0 subgrid estimates</w:t>
      </w:r>
      <w:r>
        <w:rPr>
          <w:color w:val="008000"/>
        </w:rPr>
        <w:t xml:space="preserve"> </w:t>
      </w:r>
      <w:r>
        <w:rPr>
          <w:color w:val="008000"/>
        </w:rPr>
        <w:t xml:space="preserve">are 0.153 for OpenAI and 0.222 for Gemini, against full-grid values of 0.112 and 0.381 at the same</w:t>
      </w:r>
      <w:r>
        <w:rPr>
          <w:color w:val="008000"/>
        </w:rPr>
        <w:t xml:space="preserve"> </w:t>
      </w:r>
      <w:r>
        <w:rPr>
          <w:color w:val="008000"/>
        </w:rPr>
        <w:t xml:space="preserve">nominal setting. The wide intervals are explained, but the difference in point estimates is not.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27"/>
        </w:numPr>
      </w:pPr>
      <w:r>
        <w:t xml:space="preserve">We verified that the difference between the full-grid and subgrid T=0 estimates is due to cell</w:t>
      </w:r>
      <w:r>
        <w:t xml:space="preserve"> </w:t>
      </w:r>
      <w:r>
        <w:t xml:space="preserve">selection, not temperature.</w:t>
      </w:r>
    </w:p>
    <w:p>
      <w:pPr>
        <w:pStyle w:val="Compact"/>
        <w:numPr>
          <w:ilvl w:val="0"/>
          <w:numId w:val="1027"/>
        </w:numPr>
      </w:pPr>
      <w:r>
        <w:t xml:space="preserve">Re-running the primary estimator on exactly the 24 subgrid cells reproduces:</w:t>
      </w:r>
    </w:p>
    <w:p>
      <w:pPr>
        <w:pStyle w:val="Compact"/>
        <w:numPr>
          <w:ilvl w:val="1"/>
          <w:numId w:val="1028"/>
        </w:numPr>
      </w:pPr>
      <w:r>
        <w:t xml:space="preserve">OpenAI: 0.153</w:t>
      </w:r>
    </w:p>
    <w:p>
      <w:pPr>
        <w:pStyle w:val="Compact"/>
        <w:numPr>
          <w:ilvl w:val="1"/>
          <w:numId w:val="1028"/>
        </w:numPr>
      </w:pPr>
      <w:r>
        <w:t xml:space="preserve">Gemini: 0.222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29"/>
        </w:numPr>
      </w:pPr>
      <w:r>
        <w:t xml:space="preserve">Section V-F,</w:t>
      </w:r>
      <w:r>
        <w:t xml:space="preserve"> </w:t>
      </w:r>
      <w:r>
        <w:t xml:space="preserve">“Temperature Sensitivity”</w:t>
      </w:r>
      <w:r>
        <w:t xml:space="preserve"> </w:t>
      </w:r>
      <w:r>
        <w:t xml:space="preserve">was revised.</w:t>
      </w:r>
    </w:p>
    <w:p>
      <w:pPr>
        <w:pStyle w:val="Compact"/>
        <w:numPr>
          <w:ilvl w:val="0"/>
          <w:numId w:val="1029"/>
        </w:numPr>
      </w:pPr>
      <w:r>
        <w:t xml:space="preserve">We:</w:t>
      </w:r>
    </w:p>
    <w:p>
      <w:pPr>
        <w:pStyle w:val="Compact"/>
        <w:numPr>
          <w:ilvl w:val="1"/>
          <w:numId w:val="1030"/>
        </w:numPr>
      </w:pPr>
      <w:r>
        <w:t xml:space="preserve">added the restricted-cell recomputation;</w:t>
      </w:r>
    </w:p>
    <w:p>
      <w:pPr>
        <w:pStyle w:val="Compact"/>
        <w:numPr>
          <w:ilvl w:val="1"/>
          <w:numId w:val="1030"/>
        </w:numPr>
      </w:pPr>
      <w:r>
        <w:t xml:space="preserve">explain that the T=0 row applies the primary estimator to the small stratified subset; and</w:t>
      </w:r>
    </w:p>
    <w:p>
      <w:pPr>
        <w:pStyle w:val="Compact"/>
        <w:numPr>
          <w:ilvl w:val="1"/>
          <w:numId w:val="1030"/>
        </w:numPr>
      </w:pPr>
      <w:r>
        <w:t xml:space="preserve">clarify that it serves as the anchor for comparison with T=0.7 and T=1.0, rather than as an</w:t>
      </w:r>
      <w:r>
        <w:t xml:space="preserve"> </w:t>
      </w:r>
      <w:r>
        <w:t xml:space="preserve">independent full-grid estimate.</w:t>
      </w:r>
    </w:p>
    <w:p>
      <w:pPr>
        <w:pStyle w:val="FirstParagraph"/>
      </w:pPr>
      <w:r>
        <w:rPr>
          <w:b/>
          <w:color w:val="008000"/>
        </w:rPr>
        <w:t xml:space="preserve">Reviewer #2, Concern #7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7. Please moderate the</w:t>
      </w:r>
      <w:r>
        <w:rPr>
          <w:color w:val="008000"/>
        </w:rPr>
        <w:t xml:space="preserve"> </w:t>
      </w:r>
      <w:r>
        <w:rPr>
          <w:color w:val="008000"/>
        </w:rPr>
        <w:t xml:space="preserve">“decision boundary”</w:t>
      </w:r>
      <w:r>
        <w:rPr>
          <w:color w:val="008000"/>
        </w:rPr>
        <w:t xml:space="preserve"> </w:t>
      </w:r>
      <w:r>
        <w:rPr>
          <w:color w:val="008000"/>
        </w:rPr>
        <w:t xml:space="preserve">interpretation. That cells unstable within the</w:t>
      </w:r>
      <w:r>
        <w:rPr>
          <w:color w:val="008000"/>
        </w:rPr>
        <w:t xml:space="preserve"> </w:t>
      </w:r>
      <w:r>
        <w:rPr>
          <w:color w:val="008000"/>
        </w:rPr>
        <w:t xml:space="preserve">incumbent version show higher cross-version flip rates is a useful observation, but within-version</w:t>
      </w:r>
      <w:r>
        <w:rPr>
          <w:color w:val="008000"/>
        </w:rPr>
        <w:t xml:space="preserve"> </w:t>
      </w:r>
      <w:r>
        <w:rPr>
          <w:color w:val="008000"/>
        </w:rPr>
        <w:t xml:space="preserve">instability does not establish proximity to an underlying decision boundary. Describing these as</w:t>
      </w:r>
      <w:r>
        <w:rPr>
          <w:color w:val="008000"/>
        </w:rPr>
        <w:t xml:space="preserve"> </w:t>
      </w:r>
      <w:r>
        <w:rPr>
          <w:color w:val="008000"/>
        </w:rPr>
        <w:t xml:space="preserve">cases with greater pre-existing output instability would be sufficient.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31"/>
        </w:numPr>
      </w:pPr>
      <w:r>
        <w:t xml:space="preserve">We agree that within-version instability does not establish proximity to an underlying decision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31"/>
        </w:numPr>
      </w:pPr>
      <w:r>
        <w:t xml:space="preserve">We removed that interpretation.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32"/>
        </w:numPr>
      </w:pPr>
      <w:r>
        <w:t xml:space="preserve">Section V-D,</w:t>
      </w:r>
      <w:r>
        <w:t xml:space="preserve"> </w:t>
      </w:r>
      <w:r>
        <w:t xml:space="preserve">“Robustness of Cross-Version Agreement”</w:t>
      </w:r>
      <w:r>
        <w:t xml:space="preserve"> </w:t>
      </w:r>
      <w:r>
        <w:t xml:space="preserve">was revised.</w:t>
      </w:r>
    </w:p>
    <w:p>
      <w:pPr>
        <w:pStyle w:val="Compact"/>
        <w:numPr>
          <w:ilvl w:val="0"/>
          <w:numId w:val="1032"/>
        </w:numPr>
      </w:pPr>
      <w:r>
        <w:t xml:space="preserve">The text now states only that migration changes are concentrated among observations with greater</w:t>
      </w:r>
      <w:r>
        <w:t xml:space="preserve"> </w:t>
      </w:r>
      <w:r>
        <w:t xml:space="preserve">pre-existing within-version output instability.</w:t>
      </w:r>
    </w:p>
    <w:p>
      <w:pPr>
        <w:pStyle w:val="Compact"/>
        <w:numPr>
          <w:ilvl w:val="0"/>
          <w:numId w:val="1032"/>
        </w:numPr>
      </w:pPr>
      <w:r>
        <w:t xml:space="preserve">It explicitly states that proximity to an underlying decision boundary is not measured.</w:t>
      </w:r>
    </w:p>
    <w:p>
      <w:pPr>
        <w:pStyle w:val="FirstParagraph"/>
      </w:pPr>
      <w:r>
        <w:rPr>
          <w:b/>
          <w:color w:val="008000"/>
        </w:rPr>
        <w:t xml:space="preserve">Reviewer #2, Concern #8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8. Please clarify the noise-floor interpretation. A positive cluster-bootstrap interval shows that</w:t>
      </w:r>
      <w:r>
        <w:rPr>
          <w:color w:val="008000"/>
        </w:rPr>
        <w:t xml:space="preserve"> </w:t>
      </w:r>
      <w:r>
        <w:rPr>
          <w:color w:val="008000"/>
        </w:rPr>
        <w:t xml:space="preserve">the defined cross-version disagreement exceeds the defined within-version baseline. The statement</w:t>
      </w:r>
      <w:r>
        <w:rPr>
          <w:color w:val="008000"/>
        </w:rPr>
        <w:t xml:space="preserve"> </w:t>
      </w:r>
      <w:r>
        <w:rPr>
          <w:color w:val="008000"/>
        </w:rPr>
        <w:t xml:space="preserve">that the result cannot be explained</w:t>
      </w:r>
      <w:r>
        <w:rPr>
          <w:color w:val="008000"/>
        </w:rPr>
        <w:t xml:space="preserve"> </w:t>
      </w:r>
      <w:r>
        <w:rPr>
          <w:color w:val="008000"/>
        </w:rPr>
        <w:t xml:space="preserve">“solely”</w:t>
      </w:r>
      <w:r>
        <w:rPr>
          <w:color w:val="008000"/>
        </w:rPr>
        <w:t xml:space="preserve"> </w:t>
      </w:r>
      <w:r>
        <w:rPr>
          <w:color w:val="008000"/>
        </w:rPr>
        <w:t xml:space="preserve">by residual sampling variability should be justified</w:t>
      </w:r>
      <w:r>
        <w:rPr>
          <w:color w:val="008000"/>
        </w:rPr>
        <w:t xml:space="preserve"> </w:t>
      </w:r>
      <w:r>
        <w:rPr>
          <w:color w:val="008000"/>
        </w:rPr>
        <w:t xml:space="preserve">under the estimator’s assumptions or phrased more narrowly.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33"/>
        </w:numPr>
      </w:pPr>
      <w:r>
        <w:t xml:space="preserve">We agree that the previous language was too broad.</w:t>
      </w:r>
    </w:p>
    <w:p>
      <w:pPr>
        <w:pStyle w:val="Compact"/>
        <w:numPr>
          <w:ilvl w:val="0"/>
          <w:numId w:val="1033"/>
        </w:numPr>
      </w:pPr>
      <w:r>
        <w:t xml:space="preserve">The result establishes that the defined cross-version disagreement exceeds the defined</w:t>
      </w:r>
      <w:r>
        <w:t xml:space="preserve"> </w:t>
      </w:r>
      <w:r>
        <w:t xml:space="preserve">within-version baseline under the estimator’s assumptions.</w:t>
      </w:r>
    </w:p>
    <w:p>
      <w:pPr>
        <w:pStyle w:val="Compact"/>
        <w:numPr>
          <w:ilvl w:val="0"/>
          <w:numId w:val="1033"/>
        </w:numPr>
      </w:pPr>
      <w:r>
        <w:t xml:space="preserve">It does not exclude every possible sampling-related explanation.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34"/>
        </w:numPr>
      </w:pPr>
      <w:r>
        <w:t xml:space="preserve">Section V-A,</w:t>
      </w:r>
      <w:r>
        <w:t xml:space="preserve"> </w:t>
      </w:r>
      <w:r>
        <w:t xml:space="preserve">“Migration-Induced Decision Instability”</w:t>
      </w:r>
      <w:r>
        <w:t xml:space="preserve"> </w:t>
      </w:r>
      <w:r>
        <w:t xml:space="preserve">was revised.</w:t>
      </w:r>
    </w:p>
    <w:p>
      <w:pPr>
        <w:pStyle w:val="Compact"/>
        <w:numPr>
          <w:ilvl w:val="0"/>
          <w:numId w:val="1034"/>
        </w:numPr>
      </w:pPr>
      <w:r>
        <w:t xml:space="preserve">The previous</w:t>
      </w:r>
      <w:r>
        <w:t xml:space="preserve"> </w:t>
      </w:r>
      <w:r>
        <w:t xml:space="preserve">“cannot be explained solely by sampling variability”</w:t>
      </w:r>
      <w:r>
        <w:t xml:space="preserve"> </w:t>
      </w:r>
      <w:r>
        <w:t xml:space="preserve">language was replaced with a</w:t>
      </w:r>
      <w:r>
        <w:t xml:space="preserve"> </w:t>
      </w:r>
      <w:r>
        <w:t xml:space="preserve">narrower statement describing exactly what the confidence interval establishes.</w:t>
      </w:r>
    </w:p>
    <w:p>
      <w:pPr>
        <w:pStyle w:val="FirstParagraph"/>
      </w:pPr>
      <w:r>
        <w:rPr>
          <w:b/>
          <w:color w:val="008000"/>
        </w:rPr>
        <w:t xml:space="preserve">Reviewer #2, Concern #9</w:t>
      </w:r>
    </w:p>
    <w:p>
      <w:pPr>
        <w:pStyle w:val="BodyText"/>
      </w:pPr>
      <w:r>
        <w:rPr>
          <w:b/>
          <w:color w:val="008000"/>
        </w:rPr>
        <w:t xml:space="preserve">Reviewer comment:</w:t>
      </w:r>
    </w:p>
    <w:p>
      <w:pPr>
        <w:pStyle w:val="BodyText"/>
      </w:pPr>
      <w:r>
        <w:rPr>
          <w:color w:val="008000"/>
        </w:rPr>
        <w:t xml:space="preserve">9. Please retain the current limitations on systemic-risk interpretation. The manuscript</w:t>
      </w:r>
      <w:r>
        <w:rPr>
          <w:color w:val="008000"/>
        </w:rPr>
        <w:t xml:space="preserve"> </w:t>
      </w:r>
      <w:r>
        <w:rPr>
          <w:color w:val="008000"/>
        </w:rPr>
        <w:t xml:space="preserve">appropriately states that it demonstrates a potential shared-update mechanism rather than realized</w:t>
      </w:r>
      <w:r>
        <w:rPr>
          <w:color w:val="008000"/>
        </w:rPr>
        <w:t xml:space="preserve"> </w:t>
      </w:r>
      <w:r>
        <w:rPr>
          <w:color w:val="008000"/>
        </w:rPr>
        <w:t xml:space="preserve">cross-institutional correlation or losses, and this distinction should remain explicit in the</w:t>
      </w:r>
      <w:r>
        <w:rPr>
          <w:color w:val="008000"/>
        </w:rPr>
        <w:t xml:space="preserve"> </w:t>
      </w:r>
      <w:r>
        <w:rPr>
          <w:color w:val="008000"/>
        </w:rPr>
        <w:t xml:space="preserve">Abstract, Discussion, and Conclusion.</w:t>
      </w:r>
    </w:p>
    <w:p>
      <w:pPr>
        <w:pStyle w:val="BodyText"/>
      </w:pPr>
      <w:r>
        <w:rPr>
          <w:b/>
        </w:rPr>
        <w:t xml:space="preserve">Author response:</w:t>
      </w:r>
    </w:p>
    <w:p>
      <w:pPr>
        <w:pStyle w:val="Compact"/>
        <w:numPr>
          <w:ilvl w:val="0"/>
          <w:numId w:val="1035"/>
        </w:numPr>
      </w:pPr>
      <w:r>
        <w:t xml:space="preserve">We agree and retained this limitation throughout the manuscript.</w:t>
      </w:r>
    </w:p>
    <w:p>
      <w:pPr>
        <w:pStyle w:val="Compact"/>
        <w:numPr>
          <w:ilvl w:val="0"/>
          <w:numId w:val="1035"/>
        </w:numPr>
      </w:pPr>
      <w:r>
        <w:t xml:space="preserve">The study demonstrates a deployment-level shared-update mechanism, not realized</w:t>
      </w:r>
      <w:r>
        <w:t xml:space="preserve"> </w:t>
      </w:r>
      <w:r>
        <w:t xml:space="preserve">cross-institutional correlation, losses, or market-level systemic effects.</w:t>
      </w:r>
    </w:p>
    <w:p>
      <w:pPr>
        <w:pStyle w:val="FirstParagraph"/>
      </w:pPr>
      <w:r>
        <w:rPr>
          <w:b/>
        </w:rPr>
        <w:t xml:space="preserve">Author action:</w:t>
      </w:r>
    </w:p>
    <w:p>
      <w:pPr>
        <w:pStyle w:val="Compact"/>
        <w:numPr>
          <w:ilvl w:val="0"/>
          <w:numId w:val="1036"/>
        </w:numPr>
      </w:pPr>
      <w:r>
        <w:t xml:space="preserve">The limitation was verified and retained in the Abstract and Discussion.</w:t>
      </w:r>
    </w:p>
    <w:p>
      <w:pPr>
        <w:pStyle w:val="Compact"/>
        <w:numPr>
          <w:ilvl w:val="0"/>
          <w:numId w:val="1036"/>
        </w:numPr>
      </w:pPr>
      <w:r>
        <w:t xml:space="preserve">Section IX, Conclusion was strengthened to state explicitly that the study does not estimate:</w:t>
      </w:r>
    </w:p>
    <w:p>
      <w:pPr>
        <w:pStyle w:val="Compact"/>
        <w:numPr>
          <w:ilvl w:val="1"/>
          <w:numId w:val="1037"/>
        </w:numPr>
      </w:pPr>
      <w:r>
        <w:t xml:space="preserve">typical migration effects;</w:t>
      </w:r>
    </w:p>
    <w:p>
      <w:pPr>
        <w:pStyle w:val="Compact"/>
        <w:numPr>
          <w:ilvl w:val="1"/>
          <w:numId w:val="1037"/>
        </w:numPr>
      </w:pPr>
      <w:r>
        <w:t xml:space="preserve">realized cross-institutional correlation; or</w:t>
      </w:r>
    </w:p>
    <w:p>
      <w:pPr>
        <w:pStyle w:val="Compact"/>
        <w:numPr>
          <w:ilvl w:val="1"/>
          <w:numId w:val="1037"/>
        </w:numPr>
      </w:pPr>
      <w:r>
        <w:t xml:space="preserve">market-level losses.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2026-09-28T16:28:06Z</dcterms:created>
  <dcterms:modified xsi:type="dcterms:W3CDTF">2026-09-28T16:28:06Z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