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w:t>
      </w:r>
      <w:r>
        <w:t xml:space="preserve"> </w:t>
      </w:r>
      <w:r>
        <w:t xml:space="preserve">Migration</w:t>
      </w:r>
      <w:r>
        <w:t xml:space="preserve"> </w:t>
      </w:r>
      <w:r>
        <w:t xml:space="preserve">as</w:t>
      </w:r>
      <w:r>
        <w:t xml:space="preserve"> </w:t>
      </w:r>
      <w:r>
        <w:t xml:space="preserve">a</w:t>
      </w:r>
      <w:r>
        <w:t xml:space="preserve"> </w:t>
      </w:r>
      <w:r>
        <w:t xml:space="preserve">Correlated</w:t>
      </w:r>
      <w:r>
        <w:t xml:space="preserve"> </w:t>
      </w:r>
      <w:r>
        <w:t xml:space="preserve">Shock:</w:t>
      </w:r>
      <w:r>
        <w:t xml:space="preserve"> </w:t>
      </w:r>
      <w:r>
        <w:t xml:space="preserve">Model</w:t>
      </w:r>
      <w:r>
        <w:t xml:space="preserve"> </w:t>
      </w:r>
      <w:r>
        <w:t xml:space="preserve">Updates</w:t>
      </w:r>
      <w:r>
        <w:t xml:space="preserve"> </w:t>
      </w:r>
      <w:r>
        <w:t xml:space="preserve">as</w:t>
      </w:r>
      <w:r>
        <w:t xml:space="preserve"> </w:t>
      </w:r>
      <w:r>
        <w:t xml:space="preserve">an</w:t>
      </w:r>
      <w:r>
        <w:t xml:space="preserve"> </w:t>
      </w:r>
      <w:r>
        <w:t xml:space="preserve">Unmanaged</w:t>
      </w:r>
      <w:r>
        <w:t xml:space="preserve"> </w:t>
      </w:r>
      <w:r>
        <w:t xml:space="preserve">Risk</w:t>
      </w:r>
      <w:r>
        <w:t xml:space="preserve"> </w:t>
      </w:r>
      <w:r>
        <w:t xml:space="preserve">Channel</w:t>
      </w:r>
      <w:r>
        <w:t xml:space="preserve"> </w:t>
      </w:r>
      <w:r>
        <w:t xml:space="preserve">in</w:t>
      </w:r>
      <w:r>
        <w:t xml:space="preserve"> </w:t>
      </w:r>
      <w:r>
        <w:t xml:space="preserve">LLM-Based</w:t>
      </w:r>
      <w:r>
        <w:t xml:space="preserve"> </w:t>
      </w:r>
      <w:r>
        <w:t xml:space="preserve">Financial</w:t>
      </w:r>
      <w:r>
        <w:t xml:space="preserve"> </w:t>
      </w:r>
      <w:r>
        <w:t xml:space="preserve">Systems</w:t>
      </w:r>
    </w:p>
    <w:p>
      <w:pPr>
        <w:pStyle w:val="Author"/>
      </w:pPr>
      <w:r>
        <w:t xml:space="preserve">Samir</w:t>
      </w:r>
      <w:r>
        <w:t xml:space="preserve"> </w:t>
      </w:r>
      <w:r>
        <w:t xml:space="preserve">Chincholikar,</w:t>
      </w:r>
      <w:r>
        <w:t xml:space="preserve"> </w:t>
      </w:r>
      <w:r>
        <w:t xml:space="preserve">Robin</w:t>
      </w:r>
      <w:r>
        <w:t xml:space="preserve"> </w:t>
      </w:r>
      <w:r>
        <w:t xml:space="preserve">Chawla</w:t>
      </w:r>
    </w:p>
    <w:p>
      <w:pPr>
        <w:pStyle w:val="Abstract"/>
      </w:pPr>
      <w:r>
        <w:t xml:space="preserve">Financial</w:t>
      </w:r>
      <w:r>
        <w:t xml:space="preserve"> </w:t>
      </w:r>
      <w:r>
        <w:t xml:space="preserve">institutions</w:t>
      </w:r>
      <w:r>
        <w:t xml:space="preserve"> </w:t>
      </w:r>
      <w:r>
        <w:t xml:space="preserve">increasingly</w:t>
      </w:r>
      <w:r>
        <w:t xml:space="preserve"> </w:t>
      </w:r>
      <w:r>
        <w:t xml:space="preserve">deploy</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within</w:t>
      </w:r>
      <w:r>
        <w:t xml:space="preserve"> </w:t>
      </w:r>
      <w:r>
        <w:t xml:space="preserve">credit</w:t>
      </w:r>
      <w:r>
        <w:t xml:space="preserve"> </w:t>
      </w:r>
      <w:r>
        <w:t xml:space="preserve">and</w:t>
      </w:r>
      <w:r>
        <w:t xml:space="preserve"> </w:t>
      </w:r>
      <w:r>
        <w:t xml:space="preserve">other</w:t>
      </w:r>
      <w:r>
        <w:t xml:space="preserve"> </w:t>
      </w:r>
      <w:r>
        <w:t xml:space="preserve">decision-support</w:t>
      </w:r>
      <w:r>
        <w:t xml:space="preserve"> </w:t>
      </w:r>
      <w:r>
        <w:t xml:space="preserve">workflows.</w:t>
      </w:r>
      <w:r>
        <w:t xml:space="preserve"> </w:t>
      </w:r>
      <w:r>
        <w:t xml:space="preserve">However,</w:t>
      </w:r>
      <w:r>
        <w:t xml:space="preserve"> </w:t>
      </w:r>
      <w:r>
        <w:t xml:space="preserve">vendor-driven</w:t>
      </w:r>
      <w:r>
        <w:t xml:space="preserve"> </w:t>
      </w:r>
      <w:r>
        <w:t xml:space="preserve">model</w:t>
      </w:r>
      <w:r>
        <w:t xml:space="preserve"> </w:t>
      </w:r>
      <w:r>
        <w:t xml:space="preserve">updates</w:t>
      </w:r>
      <w:r>
        <w:t xml:space="preserve"> </w:t>
      </w:r>
      <w:r>
        <w:t xml:space="preserve">can</w:t>
      </w:r>
      <w:r>
        <w:t xml:space="preserve"> </w:t>
      </w:r>
      <w:r>
        <w:t xml:space="preserve">alter</w:t>
      </w:r>
      <w:r>
        <w:t xml:space="preserve"> </w:t>
      </w:r>
      <w:r>
        <w:t xml:space="preserve">behavior</w:t>
      </w:r>
      <w:r>
        <w:t xml:space="preserve"> </w:t>
      </w:r>
      <w:r>
        <w:t xml:space="preserve">even</w:t>
      </w:r>
      <w:r>
        <w:t xml:space="preserve"> </w:t>
      </w:r>
      <w:r>
        <w:t xml:space="preserve">when</w:t>
      </w:r>
      <w:r>
        <w:t xml:space="preserve"> </w:t>
      </w:r>
      <w:r>
        <w:t xml:space="preserve">an</w:t>
      </w:r>
      <w:r>
        <w:t xml:space="preserve"> </w:t>
      </w:r>
      <w:r>
        <w:t xml:space="preserve">institution</w:t>
      </w:r>
      <w:r>
        <w:t xml:space="preserve"> </w:t>
      </w:r>
      <w:r>
        <w:t xml:space="preserve">holds</w:t>
      </w:r>
      <w:r>
        <w:t xml:space="preserve"> </w:t>
      </w:r>
      <w:r>
        <w:t xml:space="preserve">its</w:t>
      </w:r>
      <w:r>
        <w:t xml:space="preserve"> </w:t>
      </w:r>
      <w:r>
        <w:t xml:space="preserve">prompts,</w:t>
      </w:r>
      <w:r>
        <w:t xml:space="preserve"> </w:t>
      </w:r>
      <w:r>
        <w:t xml:space="preserve">inputs,</w:t>
      </w:r>
      <w:r>
        <w:t xml:space="preserve"> </w:t>
      </w:r>
      <w:r>
        <w:t xml:space="preserve">and</w:t>
      </w:r>
      <w:r>
        <w:t xml:space="preserve"> </w:t>
      </w:r>
      <w:r>
        <w:t xml:space="preserve">downstream</w:t>
      </w:r>
      <w:r>
        <w:t xml:space="preserve"> </w:t>
      </w:r>
      <w:r>
        <w:t xml:space="preserve">processes</w:t>
      </w:r>
      <w:r>
        <w:t xml:space="preserve"> </w:t>
      </w:r>
      <w:r>
        <w:t xml:space="preserve">fixed.</w:t>
      </w:r>
      <w:r>
        <w:t xml:space="preserve"> </w:t>
      </w:r>
      <w:r>
        <w:t xml:space="preserve">We</w:t>
      </w:r>
      <w:r>
        <w:t xml:space="preserve"> </w:t>
      </w:r>
      <w:r>
        <w:t xml:space="preserve">quantify</w:t>
      </w:r>
      <w:r>
        <w:t xml:space="preserve"> </w:t>
      </w:r>
      <w:r>
        <w:t xml:space="preserve">the</w:t>
      </w:r>
      <w:r>
        <w:t xml:space="preserve"> </w:t>
      </w:r>
      <w:r>
        <w:t xml:space="preserve">decision</w:t>
      </w:r>
      <w:r>
        <w:t xml:space="preserve"> </w:t>
      </w:r>
      <w:r>
        <w:t xml:space="preserve">instability</w:t>
      </w:r>
      <w:r>
        <w:t xml:space="preserve"> </w:t>
      </w:r>
      <w:r>
        <w:t xml:space="preserve">associated</w:t>
      </w:r>
      <w:r>
        <w:t xml:space="preserve"> </w:t>
      </w:r>
      <w:r>
        <w:t xml:space="preserve">with</w:t>
      </w:r>
      <w:r>
        <w:t xml:space="preserve"> </w:t>
      </w:r>
      <w:r>
        <w:t xml:space="preserve">two</w:t>
      </w:r>
      <w:r>
        <w:t xml:space="preserve"> </w:t>
      </w:r>
      <w:r>
        <w:t xml:space="preserve">prespecified</w:t>
      </w:r>
      <w:r>
        <w:t xml:space="preserve"> </w:t>
      </w:r>
      <w:r>
        <w:t xml:space="preserve">model-version</w:t>
      </w:r>
      <w:r>
        <w:t xml:space="preserve"> </w:t>
      </w:r>
      <w:r>
        <w:t xml:space="preserve">transitions:</w:t>
      </w:r>
      <w:r>
        <w:t xml:space="preserve"> </w:t>
      </w:r>
      <w:r>
        <w:t xml:space="preserve">an</w:t>
      </w:r>
      <w:r>
        <w:t xml:space="preserve"> </w:t>
      </w:r>
      <w:r>
        <w:t xml:space="preserve">OpenAI</w:t>
      </w:r>
      <w:r>
        <w:t xml:space="preserve"> </w:t>
      </w:r>
      <w:r>
        <w:t xml:space="preserve">efficient-model</w:t>
      </w:r>
      <w:r>
        <w:t xml:space="preserve"> </w:t>
      </w:r>
      <w:r>
        <w:t xml:space="preserve">update</w:t>
      </w:r>
      <w:r>
        <w:t xml:space="preserve"> </w:t>
      </w:r>
      <w:r>
        <w:t xml:space="preserve">and</w:t>
      </w:r>
      <w:r>
        <w:t xml:space="preserve"> </w:t>
      </w:r>
      <w:r>
        <w:t xml:space="preserve">a</w:t>
      </w:r>
      <w:r>
        <w:t xml:space="preserve"> </w:t>
      </w:r>
      <w:r>
        <w:t xml:space="preserve">Google</w:t>
      </w:r>
      <w:r>
        <w:t xml:space="preserve"> </w:t>
      </w:r>
      <w:r>
        <w:t xml:space="preserve">Gemini</w:t>
      </w:r>
      <w:r>
        <w:t xml:space="preserve"> </w:t>
      </w:r>
      <w:r>
        <w:t xml:space="preserve">Flash</w:t>
      </w:r>
      <w:r>
        <w:t xml:space="preserve"> </w:t>
      </w:r>
      <w:r>
        <w:t xml:space="preserve">update.</w:t>
      </w:r>
      <w:r>
        <w:t xml:space="preserve"> </w:t>
      </w:r>
      <w:r>
        <w:t xml:space="preserve">Across</w:t>
      </w:r>
      <w:r>
        <w:t xml:space="preserve"> </w:t>
      </w:r>
      <w:r>
        <w:t xml:space="preserve">both</w:t>
      </w:r>
      <w:r>
        <w:t xml:space="preserve"> </w:t>
      </w:r>
      <w:r>
        <w:t xml:space="preserve">transitions,</w:t>
      </w:r>
      <w:r>
        <w:t xml:space="preserve"> </w:t>
      </w:r>
      <w:r>
        <w:t xml:space="preserve">the</w:t>
      </w:r>
      <w:r>
        <w:t xml:space="preserve"> </w:t>
      </w:r>
      <w:r>
        <w:t xml:space="preserve">experiment</w:t>
      </w:r>
      <w:r>
        <w:t xml:space="preserve"> </w:t>
      </w:r>
      <w:r>
        <w:t xml:space="preserve">covers</w:t>
      </w:r>
      <w:r>
        <w:t xml:space="preserve"> </w:t>
      </w:r>
      <w:r>
        <w:t xml:space="preserve">100</w:t>
      </w:r>
      <w:r>
        <w:t xml:space="preserve"> </w:t>
      </w:r>
      <w:r>
        <w:t xml:space="preserve">companies,</w:t>
      </w:r>
      <w:r>
        <w:t xml:space="preserve"> </w:t>
      </w:r>
      <w:r>
        <w:t xml:space="preserve">12</w:t>
      </w:r>
      <w:r>
        <w:t xml:space="preserve"> </w:t>
      </w:r>
      <w:r>
        <w:t xml:space="preserve">analysis</w:t>
      </w:r>
      <w:r>
        <w:t xml:space="preserve"> </w:t>
      </w:r>
      <w:r>
        <w:t xml:space="preserve">dates,</w:t>
      </w:r>
      <w:r>
        <w:t xml:space="preserve"> </w:t>
      </w:r>
      <w:r>
        <w:t xml:space="preserve">and</w:t>
      </w:r>
      <w:r>
        <w:t xml:space="preserve"> </w:t>
      </w:r>
      <w:r>
        <w:t xml:space="preserve">three</w:t>
      </w:r>
      <w:r>
        <w:t xml:space="preserve"> </w:t>
      </w:r>
      <w:r>
        <w:t xml:space="preserve">replicates</w:t>
      </w:r>
      <w:r>
        <w:t xml:space="preserve"> </w:t>
      </w:r>
      <w:r>
        <w:t xml:space="preserve">per</w:t>
      </w:r>
      <w:r>
        <w:t xml:space="preserve"> </w:t>
      </w:r>
      <w:r>
        <w:t xml:space="preserve">version,</w:t>
      </w:r>
      <w:r>
        <w:t xml:space="preserve"> </w:t>
      </w:r>
      <w:r>
        <w:t xml:space="preserve">producing</w:t>
      </w:r>
      <w:r>
        <w:t xml:space="preserve"> </w:t>
      </w:r>
      <w:r>
        <w:t xml:space="preserve">14,400</w:t>
      </w:r>
      <w:r>
        <w:t xml:space="preserve"> </w:t>
      </w:r>
      <w:r>
        <w:t xml:space="preserve">model</w:t>
      </w:r>
      <w:r>
        <w:t xml:space="preserve"> </w:t>
      </w:r>
      <w:r>
        <w:t xml:space="preserve">calls.</w:t>
      </w:r>
      <w:r>
        <w:t xml:space="preserve"> </w:t>
      </w:r>
      <w:r>
        <w:t xml:space="preserve">Identical</w:t>
      </w:r>
      <w:r>
        <w:t xml:space="preserve"> </w:t>
      </w:r>
      <w:r>
        <w:t xml:space="preserve">inputs</w:t>
      </w:r>
      <w:r>
        <w:t xml:space="preserve"> </w:t>
      </w:r>
      <w:r>
        <w:t xml:space="preserve">and</w:t>
      </w:r>
      <w:r>
        <w:t xml:space="preserve"> </w:t>
      </w:r>
      <w:r>
        <w:t xml:space="preserve">matched</w:t>
      </w:r>
      <w:r>
        <w:t xml:space="preserve"> </w:t>
      </w:r>
      <w:r>
        <w:t xml:space="preserve">per-cell</w:t>
      </w:r>
      <w:r>
        <w:t xml:space="preserve"> </w:t>
      </w:r>
      <w:r>
        <w:t xml:space="preserve">seeds</w:t>
      </w:r>
      <w:r>
        <w:t xml:space="preserve"> </w:t>
      </w:r>
      <w:r>
        <w:t xml:space="preserve">hold</w:t>
      </w:r>
      <w:r>
        <w:t xml:space="preserve"> </w:t>
      </w:r>
      <w:r>
        <w:t xml:space="preserve">sampling</w:t>
      </w:r>
      <w:r>
        <w:t xml:space="preserve"> </w:t>
      </w:r>
      <w:r>
        <w:t xml:space="preserve">conditions</w:t>
      </w:r>
      <w:r>
        <w:t xml:space="preserve"> </w:t>
      </w:r>
      <w:r>
        <w:t xml:space="preserve">fixed,</w:t>
      </w:r>
      <w:r>
        <w:t xml:space="preserve"> </w:t>
      </w:r>
      <w:r>
        <w:t xml:space="preserve">and</w:t>
      </w:r>
      <w:r>
        <w:t xml:space="preserve"> </w:t>
      </w:r>
      <w:r>
        <w:t xml:space="preserve">within-version</w:t>
      </w:r>
      <w:r>
        <w:t xml:space="preserve"> </w:t>
      </w:r>
      <w:r>
        <w:t xml:space="preserve">replicate</w:t>
      </w:r>
      <w:r>
        <w:t xml:space="preserve"> </w:t>
      </w:r>
      <w:r>
        <w:t xml:space="preserve">disagreement</w:t>
      </w:r>
      <w:r>
        <w:t xml:space="preserve"> </w:t>
      </w:r>
      <w:r>
        <w:t xml:space="preserve">provides</w:t>
      </w:r>
      <w:r>
        <w:t xml:space="preserve"> </w:t>
      </w:r>
      <w:r>
        <w:t xml:space="preserve">an</w:t>
      </w:r>
      <w:r>
        <w:t xml:space="preserve"> </w:t>
      </w:r>
      <w:r>
        <w:t xml:space="preserve">empirical</w:t>
      </w:r>
      <w:r>
        <w:t xml:space="preserve"> </w:t>
      </w:r>
      <w:r>
        <w:t xml:space="preserve">noise</w:t>
      </w:r>
      <w:r>
        <w:t xml:space="preserve"> </w:t>
      </w:r>
      <w:r>
        <w:t xml:space="preserve">floor.</w:t>
      </w:r>
      <w:r>
        <w:t xml:space="preserve"> </w:t>
      </w:r>
      <w:r>
        <w:t xml:space="preserve">The</w:t>
      </w:r>
      <w:r>
        <w:t xml:space="preserve"> </w:t>
      </w:r>
      <w:r>
        <w:t xml:space="preserve">primary</w:t>
      </w:r>
      <w:r>
        <w:t xml:space="preserve"> </w:t>
      </w:r>
      <w:r>
        <w:t xml:space="preserve">endpoint</w:t>
      </w:r>
      <w:r>
        <w:t xml:space="preserve"> </w:t>
      </w:r>
      <w:r>
        <w:t xml:space="preserve">is</w:t>
      </w:r>
      <w:r>
        <w:t xml:space="preserve"> </w:t>
      </w:r>
      <w:r>
        <w:t xml:space="preserve">the</w:t>
      </w:r>
      <w:r>
        <w:t xml:space="preserve"> </w:t>
      </w:r>
      <w:r>
        <w:t xml:space="preserve">excess</w:t>
      </w:r>
      <w:r>
        <w:t xml:space="preserve"> </w:t>
      </w:r>
      <w:r>
        <w:t xml:space="preserve">cross-version</w:t>
      </w:r>
      <w:r>
        <w:t xml:space="preserve"> </w:t>
      </w:r>
      <w:r>
        <w:t xml:space="preserve">flip</w:t>
      </w:r>
      <w:r>
        <w:t xml:space="preserve"> </w:t>
      </w:r>
      <w:r>
        <w:t xml:space="preserve">rate</w:t>
      </w:r>
      <w:r>
        <w:t xml:space="preserve"> </w:t>
      </w:r>
      <w:r>
        <w:t xml:space="preserve">above</w:t>
      </w:r>
      <w:r>
        <w:t xml:space="preserve"> </w:t>
      </w:r>
      <w:r>
        <w:t xml:space="preserve">this</w:t>
      </w:r>
      <w:r>
        <w:t xml:space="preserve"> </w:t>
      </w:r>
      <w:r>
        <w:t xml:space="preserve">floor.</w:t>
      </w:r>
      <w:r>
        <w:t xml:space="preserve"> </w:t>
      </w:r>
      <w:r>
        <w:t xml:space="preserve">For</w:t>
      </w:r>
      <w:r>
        <w:t xml:space="preserve"> </w:t>
      </w:r>
      <w:r>
        <w:t xml:space="preserve">the</w:t>
      </w:r>
      <w:r>
        <w:t xml:space="preserve"> </w:t>
      </w:r>
      <w:r>
        <w:t xml:space="preserve">OpenAI</w:t>
      </w:r>
      <w:r>
        <w:t xml:space="preserve"> </w:t>
      </w:r>
      <w:r>
        <w:t xml:space="preserve">migration,</w:t>
      </w:r>
      <w:r>
        <w:t xml:space="preserve"> </w:t>
      </w:r>
      <w:r>
        <w:t xml:space="preserve">the</w:t>
      </w:r>
      <w:r>
        <w:t xml:space="preserve"> </w:t>
      </w:r>
      <w:r>
        <w:t xml:space="preserve">cross-version</w:t>
      </w:r>
      <w:r>
        <w:t xml:space="preserve"> </w:t>
      </w:r>
      <w:r>
        <w:t xml:space="preserve">disagreement</w:t>
      </w:r>
      <w:r>
        <w:t xml:space="preserve"> </w:t>
      </w:r>
      <w:r>
        <w:t xml:space="preserve">rate</w:t>
      </w:r>
      <w:r>
        <w:t xml:space="preserve"> </w:t>
      </w:r>
      <w:r>
        <w:t xml:space="preserve">exceeds</w:t>
      </w:r>
      <w:r>
        <w:t xml:space="preserve"> </w:t>
      </w:r>
      <w:r>
        <w:t xml:space="preserve">the</w:t>
      </w:r>
      <w:r>
        <w:t xml:space="preserve"> </w:t>
      </w:r>
      <w:r>
        <w:t xml:space="preserve">within-version</w:t>
      </w:r>
      <w:r>
        <w:t xml:space="preserve"> </w:t>
      </w:r>
      <w:r>
        <w:t xml:space="preserve">noise</w:t>
      </w:r>
      <w:r>
        <w:t xml:space="preserve"> </w:t>
      </w:r>
      <w:r>
        <w:t xml:space="preserve">floor</w:t>
      </w:r>
      <w:r>
        <w:t xml:space="preserve"> </w:t>
      </w:r>
      <w:r>
        <w:t xml:space="preserve">by</w:t>
      </w:r>
      <w:r>
        <w:t xml:space="preserve"> </w:t>
      </w:r>
      <w:r>
        <w:t xml:space="preserve">11.2</w:t>
      </w:r>
      <w:r>
        <w:t xml:space="preserve"> </w:t>
      </w:r>
      <w:r>
        <w:t xml:space="preserve">percentage</w:t>
      </w:r>
      <w:r>
        <w:t xml:space="preserve"> </w:t>
      </w:r>
      <w:r>
        <w:t xml:space="preserve">points</w:t>
      </w:r>
      <w:r>
        <w:t xml:space="preserve"> </w:t>
      </w:r>
      <w:r>
        <w:t xml:space="preserve">(95%</w:t>
      </w:r>
      <w:r>
        <w:t xml:space="preserve"> </w:t>
      </w:r>
      <w:r>
        <w:t xml:space="preserve">CI:</w:t>
      </w:r>
      <w:r>
        <w:t xml:space="preserve"> </w:t>
      </w:r>
      <w:r>
        <w:t xml:space="preserve">7.7–15.0);</w:t>
      </w:r>
      <w:r>
        <w:t xml:space="preserve"> </w:t>
      </w:r>
      <w:r>
        <w:t xml:space="preserve">for</w:t>
      </w:r>
      <w:r>
        <w:t xml:space="preserve"> </w:t>
      </w:r>
      <w:r>
        <w:t xml:space="preserve">the</w:t>
      </w:r>
      <w:r>
        <w:t xml:space="preserve"> </w:t>
      </w:r>
      <w:r>
        <w:t xml:space="preserve">Gemini</w:t>
      </w:r>
      <w:r>
        <w:t xml:space="preserve"> </w:t>
      </w:r>
      <w:r>
        <w:t xml:space="preserve">migration</w:t>
      </w:r>
      <w:r>
        <w:t xml:space="preserve"> </w:t>
      </w:r>
      <w:r>
        <w:t xml:space="preserve">this</w:t>
      </w:r>
      <w:r>
        <w:t xml:space="preserve"> </w:t>
      </w:r>
      <w:r>
        <w:t xml:space="preserve">excess</w:t>
      </w:r>
      <w:r>
        <w:t xml:space="preserve"> </w:t>
      </w:r>
      <w:r>
        <w:t xml:space="preserve">is</w:t>
      </w:r>
      <w:r>
        <w:t xml:space="preserve"> </w:t>
      </w:r>
      <w:r>
        <w:t xml:space="preserve">38.1</w:t>
      </w:r>
      <w:r>
        <w:t xml:space="preserve"> </w:t>
      </w:r>
      <w:r>
        <w:t xml:space="preserve">percentage</w:t>
      </w:r>
      <w:r>
        <w:t xml:space="preserve"> </w:t>
      </w:r>
      <w:r>
        <w:t xml:space="preserve">points</w:t>
      </w:r>
      <w:r>
        <w:t xml:space="preserve"> </w:t>
      </w:r>
      <w:r>
        <w:t xml:space="preserve">(95%</w:t>
      </w:r>
      <w:r>
        <w:t xml:space="preserve"> </w:t>
      </w:r>
      <w:r>
        <w:t xml:space="preserve">CI:</w:t>
      </w:r>
      <w:r>
        <w:t xml:space="preserve"> </w:t>
      </w:r>
      <w:r>
        <w:t xml:space="preserve">30.3–45.8).</w:t>
      </w:r>
      <w:r>
        <w:t xml:space="preserve"> </w:t>
      </w:r>
      <w:r>
        <w:t xml:space="preserve">A</w:t>
      </w:r>
      <w:r>
        <w:t xml:space="preserve"> </w:t>
      </w:r>
      <w:r>
        <w:t xml:space="preserve">prevalence–churn</w:t>
      </w:r>
      <w:r>
        <w:t xml:space="preserve"> </w:t>
      </w:r>
      <w:r>
        <w:t xml:space="preserve">decomposition</w:t>
      </w:r>
      <w:r>
        <w:t xml:space="preserve"> </w:t>
      </w:r>
      <w:r>
        <w:t xml:space="preserve">shows</w:t>
      </w:r>
      <w:r>
        <w:t xml:space="preserve"> </w:t>
      </w:r>
      <w:r>
        <w:t xml:space="preserve">that</w:t>
      </w:r>
      <w:r>
        <w:t xml:space="preserve"> </w:t>
      </w:r>
      <w:r>
        <w:t xml:space="preserve">the</w:t>
      </w:r>
      <w:r>
        <w:t xml:space="preserve"> </w:t>
      </w:r>
      <w:r>
        <w:t xml:space="preserve">OpenAI</w:t>
      </w:r>
      <w:r>
        <w:t xml:space="preserve"> </w:t>
      </w:r>
      <w:r>
        <w:t xml:space="preserve">update</w:t>
      </w:r>
      <w:r>
        <w:t xml:space="preserve"> </w:t>
      </w:r>
      <w:r>
        <w:t xml:space="preserve">primarily</w:t>
      </w:r>
      <w:r>
        <w:t xml:space="preserve"> </w:t>
      </w:r>
      <w:r>
        <w:t xml:space="preserve">reconsiders</w:t>
      </w:r>
      <w:r>
        <w:t xml:space="preserve"> </w:t>
      </w:r>
      <w:r>
        <w:t xml:space="preserve">individual</w:t>
      </w:r>
      <w:r>
        <w:t xml:space="preserve"> </w:t>
      </w:r>
      <w:r>
        <w:t xml:space="preserve">companies</w:t>
      </w:r>
      <w:r>
        <w:t xml:space="preserve"> </w:t>
      </w:r>
      <w:r>
        <w:t xml:space="preserve">and</w:t>
      </w:r>
      <w:r>
        <w:t xml:space="preserve"> </w:t>
      </w:r>
      <w:r>
        <w:t xml:space="preserve">shifts</w:t>
      </w:r>
      <w:r>
        <w:t xml:space="preserve"> </w:t>
      </w:r>
      <w:r>
        <w:t xml:space="preserve">decisions</w:t>
      </w:r>
      <w:r>
        <w:t xml:space="preserve"> </w:t>
      </w:r>
      <w:r>
        <w:t xml:space="preserve">toward</w:t>
      </w:r>
      <w:r>
        <w:t xml:space="preserve"> </w:t>
      </w:r>
      <w:r>
        <w:t xml:space="preserve">greater</w:t>
      </w:r>
      <w:r>
        <w:t xml:space="preserve"> </w:t>
      </w:r>
      <w:r>
        <w:t xml:space="preserve">severity,</w:t>
      </w:r>
      <w:r>
        <w:t xml:space="preserve"> </w:t>
      </w:r>
      <w:r>
        <w:t xml:space="preserve">while</w:t>
      </w:r>
      <w:r>
        <w:t xml:space="preserve"> </w:t>
      </w:r>
      <w:r>
        <w:t xml:space="preserve">the</w:t>
      </w:r>
      <w:r>
        <w:t xml:space="preserve"> </w:t>
      </w:r>
      <w:r>
        <w:t xml:space="preserve">Gemini</w:t>
      </w:r>
      <w:r>
        <w:t xml:space="preserve"> </w:t>
      </w:r>
      <w:r>
        <w:t xml:space="preserve">update</w:t>
      </w:r>
      <w:r>
        <w:t xml:space="preserve"> </w:t>
      </w:r>
      <w:r>
        <w:t xml:space="preserve">produces</w:t>
      </w:r>
      <w:r>
        <w:t xml:space="preserve"> </w:t>
      </w:r>
      <w:r>
        <w:t xml:space="preserve">a</w:t>
      </w:r>
      <w:r>
        <w:t xml:space="preserve"> </w:t>
      </w:r>
      <w:r>
        <w:t xml:space="preserve">broad</w:t>
      </w:r>
      <w:r>
        <w:t xml:space="preserve"> </w:t>
      </w:r>
      <w:r>
        <w:t xml:space="preserve">distributional</w:t>
      </w:r>
      <w:r>
        <w:t xml:space="preserve"> </w:t>
      </w:r>
      <w:r>
        <w:t xml:space="preserve">shift</w:t>
      </w:r>
      <w:r>
        <w:t xml:space="preserve"> </w:t>
      </w:r>
      <w:r>
        <w:t xml:space="preserve">toward</w:t>
      </w:r>
      <w:r>
        <w:t xml:space="preserve"> </w:t>
      </w:r>
      <w:r>
        <w:t xml:space="preserve">the</w:t>
      </w:r>
      <w:r>
        <w:t xml:space="preserve"> </w:t>
      </w:r>
      <w:r>
        <w:t xml:space="preserve">SAFE</w:t>
      </w:r>
      <w:r>
        <w:t xml:space="preserve"> </w:t>
      </w:r>
      <w:r>
        <w:t xml:space="preserve">category.</w:t>
      </w:r>
      <w:r>
        <w:t xml:space="preserve"> </w:t>
      </w:r>
      <w:r>
        <w:t xml:space="preserve">Neither</w:t>
      </w:r>
      <w:r>
        <w:t xml:space="preserve"> </w:t>
      </w:r>
      <w:r>
        <w:t xml:space="preserve">migration</w:t>
      </w:r>
      <w:r>
        <w:t xml:space="preserve"> </w:t>
      </w:r>
      <w:r>
        <w:t xml:space="preserve">shows</w:t>
      </w:r>
      <w:r>
        <w:t xml:space="preserve"> </w:t>
      </w:r>
      <w:r>
        <w:t xml:space="preserve">clear</w:t>
      </w:r>
      <w:r>
        <w:t xml:space="preserve"> </w:t>
      </w:r>
      <w:r>
        <w:t xml:space="preserve">improvement</w:t>
      </w:r>
      <w:r>
        <w:t xml:space="preserve"> </w:t>
      </w:r>
      <w:r>
        <w:t xml:space="preserve">among</w:t>
      </w:r>
      <w:r>
        <w:t xml:space="preserve"> </w:t>
      </w:r>
      <w:r>
        <w:t xml:space="preserve">observations</w:t>
      </w:r>
      <w:r>
        <w:t xml:space="preserve"> </w:t>
      </w:r>
      <w:r>
        <w:t xml:space="preserve">whose</w:t>
      </w:r>
      <w:r>
        <w:t xml:space="preserve"> </w:t>
      </w:r>
      <w:r>
        <w:t xml:space="preserve">labels</w:t>
      </w:r>
      <w:r>
        <w:t xml:space="preserve"> </w:t>
      </w:r>
      <w:r>
        <w:t xml:space="preserve">change;</w:t>
      </w:r>
      <w:r>
        <w:t xml:space="preserve"> </w:t>
      </w:r>
      <w:r>
        <w:t xml:space="preserve">the</w:t>
      </w:r>
      <w:r>
        <w:t xml:space="preserve"> </w:t>
      </w:r>
      <w:r>
        <w:t xml:space="preserve">Gemini</w:t>
      </w:r>
      <w:r>
        <w:t xml:space="preserve"> </w:t>
      </w:r>
      <w:r>
        <w:t xml:space="preserve">successor</w:t>
      </w:r>
      <w:r>
        <w:t xml:space="preserve"> </w:t>
      </w:r>
      <w:r>
        <w:t xml:space="preserve">also</w:t>
      </w:r>
      <w:r>
        <w:t xml:space="preserve"> </w:t>
      </w:r>
      <w:r>
        <w:t xml:space="preserve">shows</w:t>
      </w:r>
      <w:r>
        <w:t xml:space="preserve"> </w:t>
      </w:r>
      <w:r>
        <w:t xml:space="preserve">lower</w:t>
      </w:r>
      <w:r>
        <w:t xml:space="preserve"> </w:t>
      </w:r>
      <w:r>
        <w:t xml:space="preserve">aggregate</w:t>
      </w:r>
      <w:r>
        <w:t xml:space="preserve"> </w:t>
      </w:r>
      <w:r>
        <w:t xml:space="preserve">class-balanced</w:t>
      </w:r>
      <w:r>
        <w:t xml:space="preserve"> </w:t>
      </w:r>
      <w:r>
        <w:t xml:space="preserve">performance.</w:t>
      </w:r>
      <w:r>
        <w:t xml:space="preserve"> </w:t>
      </w:r>
      <w:r>
        <w:t xml:space="preserve">Vendor</w:t>
      </w:r>
      <w:r>
        <w:t xml:space="preserve"> </w:t>
      </w:r>
      <w:r>
        <w:t xml:space="preserve">version</w:t>
      </w:r>
      <w:r>
        <w:t xml:space="preserve"> </w:t>
      </w:r>
      <w:r>
        <w:t xml:space="preserve">migration</w:t>
      </w:r>
      <w:r>
        <w:t xml:space="preserve"> </w:t>
      </w:r>
      <w:r>
        <w:t xml:space="preserve">can</w:t>
      </w:r>
      <w:r>
        <w:t xml:space="preserve"> </w:t>
      </w:r>
      <w:r>
        <w:t xml:space="preserve">therefore</w:t>
      </w:r>
      <w:r>
        <w:t xml:space="preserve"> </w:t>
      </w:r>
      <w:r>
        <w:t xml:space="preserve">create</w:t>
      </w:r>
      <w:r>
        <w:t xml:space="preserve"> </w:t>
      </w:r>
      <w:r>
        <w:t xml:space="preserve">material,</w:t>
      </w:r>
      <w:r>
        <w:t xml:space="preserve"> </w:t>
      </w:r>
      <w:r>
        <w:t xml:space="preserve">directionally</w:t>
      </w:r>
      <w:r>
        <w:t xml:space="preserve"> </w:t>
      </w:r>
      <w:r>
        <w:t xml:space="preserve">unpredictable</w:t>
      </w:r>
      <w:r>
        <w:t xml:space="preserve"> </w:t>
      </w:r>
      <w:r>
        <w:t xml:space="preserve">decision</w:t>
      </w:r>
      <w:r>
        <w:t xml:space="preserve"> </w:t>
      </w:r>
      <w:r>
        <w:t xml:space="preserve">discontinuities</w:t>
      </w:r>
      <w:r>
        <w:t xml:space="preserve"> </w:t>
      </w:r>
      <w:r>
        <w:t xml:space="preserve">within</w:t>
      </w:r>
      <w:r>
        <w:t xml:space="preserve"> </w:t>
      </w:r>
      <w:r>
        <w:t xml:space="preserve">otherwise</w:t>
      </w:r>
      <w:r>
        <w:t xml:space="preserve"> </w:t>
      </w:r>
      <w:r>
        <w:t xml:space="preserve">unchanged</w:t>
      </w:r>
      <w:r>
        <w:t xml:space="preserve"> </w:t>
      </w:r>
      <w:r>
        <w:t xml:space="preserve">LLM</w:t>
      </w:r>
      <w:r>
        <w:t xml:space="preserve"> </w:t>
      </w:r>
      <w:r>
        <w:t xml:space="preserve">pipelines.</w:t>
      </w:r>
      <w:r>
        <w:t xml:space="preserve"> </w:t>
      </w:r>
      <w:r>
        <w:t xml:space="preserve">We</w:t>
      </w:r>
      <w:r>
        <w:t xml:space="preserve"> </w:t>
      </w:r>
      <w:r>
        <w:t xml:space="preserve">propose</w:t>
      </w:r>
      <w:r>
        <w:t xml:space="preserve"> </w:t>
      </w:r>
      <w:r>
        <w:t xml:space="preserve">a</w:t>
      </w:r>
      <w:r>
        <w:t xml:space="preserve"> </w:t>
      </w:r>
      <w:r>
        <w:t xml:space="preserve">pre-migration</w:t>
      </w:r>
      <w:r>
        <w:t xml:space="preserve"> </w:t>
      </w:r>
      <w:r>
        <w:t xml:space="preserve">parallel-run</w:t>
      </w:r>
      <w:r>
        <w:t xml:space="preserve"> </w:t>
      </w:r>
      <w:r>
        <w:t xml:space="preserve">control</w:t>
      </w:r>
      <w:r>
        <w:t xml:space="preserve"> </w:t>
      </w:r>
      <w:r>
        <w:t xml:space="preserve">that</w:t>
      </w:r>
      <w:r>
        <w:t xml:space="preserve"> </w:t>
      </w:r>
      <w:r>
        <w:t xml:space="preserve">measures</w:t>
      </w:r>
      <w:r>
        <w:t xml:space="preserve"> </w:t>
      </w:r>
      <w:r>
        <w:t xml:space="preserve">excess</w:t>
      </w:r>
      <w:r>
        <w:t xml:space="preserve"> </w:t>
      </w:r>
      <w:r>
        <w:t xml:space="preserve">flip</w:t>
      </w:r>
      <w:r>
        <w:t xml:space="preserve"> </w:t>
      </w:r>
      <w:r>
        <w:t xml:space="preserve">rate,</w:t>
      </w:r>
      <w:r>
        <w:t xml:space="preserve"> </w:t>
      </w:r>
      <w:r>
        <w:t xml:space="preserve">label-distribution</w:t>
      </w:r>
      <w:r>
        <w:t xml:space="preserve"> </w:t>
      </w:r>
      <w:r>
        <w:t xml:space="preserve">shift,</w:t>
      </w:r>
      <w:r>
        <w:t xml:space="preserve"> </w:t>
      </w:r>
      <w:r>
        <w:t xml:space="preserve">per-company</w:t>
      </w:r>
      <w:r>
        <w:t xml:space="preserve"> </w:t>
      </w:r>
      <w:r>
        <w:t xml:space="preserve">churn,</w:t>
      </w:r>
      <w:r>
        <w:t xml:space="preserve"> </w:t>
      </w:r>
      <w:r>
        <w:t xml:space="preserve">and</w:t>
      </w:r>
      <w:r>
        <w:t xml:space="preserve"> </w:t>
      </w:r>
      <w:r>
        <w:t xml:space="preserve">directional</w:t>
      </w:r>
      <w:r>
        <w:t xml:space="preserve"> </w:t>
      </w:r>
      <w:r>
        <w:t xml:space="preserve">drift</w:t>
      </w:r>
      <w:r>
        <w:t xml:space="preserve"> </w:t>
      </w:r>
      <w:r>
        <w:t xml:space="preserve">before</w:t>
      </w:r>
      <w:r>
        <w:t xml:space="preserve"> </w:t>
      </w:r>
      <w:r>
        <w:t xml:space="preserve">production</w:t>
      </w:r>
      <w:r>
        <w:t xml:space="preserve"> </w:t>
      </w:r>
      <w:r>
        <w:t xml:space="preserve">cutover.</w:t>
      </w:r>
      <w:r>
        <w:t xml:space="preserve"> </w:t>
      </w:r>
      <w:r>
        <w:t xml:space="preserve">The</w:t>
      </w:r>
      <w:r>
        <w:t xml:space="preserve"> </w:t>
      </w:r>
      <w:r>
        <w:t xml:space="preserve">findings</w:t>
      </w:r>
      <w:r>
        <w:t xml:space="preserve"> </w:t>
      </w:r>
      <w:r>
        <w:t xml:space="preserve">provide</w:t>
      </w:r>
      <w:r>
        <w:t xml:space="preserve"> </w:t>
      </w:r>
      <w:r>
        <w:t xml:space="preserve">controlled</w:t>
      </w:r>
      <w:r>
        <w:t xml:space="preserve"> </w:t>
      </w:r>
      <w:r>
        <w:t xml:space="preserve">evidence</w:t>
      </w:r>
      <w:r>
        <w:t xml:space="preserve"> </w:t>
      </w:r>
      <w:r>
        <w:t xml:space="preserve">of</w:t>
      </w:r>
      <w:r>
        <w:t xml:space="preserve"> </w:t>
      </w:r>
      <w:r>
        <w:t xml:space="preserve">deployment-level</w:t>
      </w:r>
      <w:r>
        <w:t xml:space="preserve"> </w:t>
      </w:r>
      <w:r>
        <w:t xml:space="preserve">migration</w:t>
      </w:r>
      <w:r>
        <w:t xml:space="preserve"> </w:t>
      </w:r>
      <w:r>
        <w:t xml:space="preserve">risk;</w:t>
      </w:r>
      <w:r>
        <w:t xml:space="preserve"> </w:t>
      </w:r>
      <w:r>
        <w:t xml:space="preserve">broader</w:t>
      </w:r>
      <w:r>
        <w:t xml:space="preserve"> </w:t>
      </w:r>
      <w:r>
        <w:t xml:space="preserve">cross-task</w:t>
      </w:r>
      <w:r>
        <w:t xml:space="preserve"> </w:t>
      </w:r>
      <w:r>
        <w:t xml:space="preserve">and</w:t>
      </w:r>
      <w:r>
        <w:t xml:space="preserve"> </w:t>
      </w:r>
      <w:r>
        <w:t xml:space="preserve">cross-institution</w:t>
      </w:r>
      <w:r>
        <w:t xml:space="preserve"> </w:t>
      </w:r>
      <w:r>
        <w:t xml:space="preserve">effects</w:t>
      </w:r>
      <w:r>
        <w:t xml:space="preserve"> </w:t>
      </w:r>
      <w:r>
        <w:t xml:space="preserve">remain</w:t>
      </w:r>
      <w:r>
        <w:t xml:space="preserve"> </w:t>
      </w:r>
      <w:r>
        <w:t xml:space="preserve">for</w:t>
      </w:r>
      <w:r>
        <w:t xml:space="preserve"> </w:t>
      </w:r>
      <w:r>
        <w:t xml:space="preserve">future</w:t>
      </w:r>
      <w:r>
        <w:t xml:space="preserve"> </w:t>
      </w:r>
      <w:r>
        <w:t xml:space="preserve">study.</w:t>
      </w:r>
    </w:p>
    <w:p>
      <w:pPr>
        <w:pStyle w:val="FirstParagraph"/>
      </w:pPr>
      <w:r>
        <w:t xml:space="preserve">Independent Researcher (e-mail: samir.chincholikar@gmail.com, ORCID: 0009-0007-2779-3492; robin.chawla.cse14@iitbhu.ac.in, ORCID: 0009-0007-2807-3948)</w:t>
      </w:r>
    </w:p>
    <w:p>
      <w:pPr>
        <w:pStyle w:val="BodyText"/>
      </w:pPr>
      <w:r>
        <w:t xml:space="preserve">This work received no specific grant from any funding agency in the public, commercial, or not-for-profit sectors. Manuscript submitted August 5, 2026.</w:t>
      </w:r>
    </w:p>
    <w:p>
      <w:pPr>
        <w:pStyle w:val="BodyText"/>
      </w:pPr>
      <w:r>
        <w:t xml:space="preserve">Corresponding author: Robin Chawla (e-mail: robin.chawla.cse14@iitbhu.ac.in).</w:t>
      </w:r>
    </w:p>
    <w:p>
      <w:pPr>
        <w:pStyle w:val="BodyText"/>
      </w:pPr>
      <w:r>
        <w:rPr>
          <w:b/>
        </w:rPr>
        <w:t xml:space="preserve">Index Terms—</w:t>
      </w:r>
      <w:r>
        <w:t xml:space="preserve">Algorithmic monoculture, credit risk, financial artificial intelligence, large language models, model drift, model risk management, model version migration, reproducible evaluation, third-party model risk.</w:t>
      </w:r>
    </w:p>
    <w:p>
      <w:pPr>
        <w:pStyle w:val="Heading1"/>
      </w:pPr>
      <w:bookmarkStart w:id="20" w:name="introduction"/>
      <w:r>
        <w:t xml:space="preserve">Introduction</w:t>
      </w:r>
      <w:bookmarkEnd w:id="20"/>
    </w:p>
    <w:p>
      <w:pPr>
        <w:pStyle w:val="FirstParagraph"/>
      </w:pPr>
      <w:r>
        <w:t xml:space="preserve">Large language models (LLMs) are increasingly incorporated into financial decision-support workflows [21, 22], including credit screening, counterparty assessment, disclosure review, and operational triage. In these applications, model outputs may influence downstream classifications, escalation decisions, or review priorities. Unlike conventional institution-developed models governed under established model-risk frameworks [7, 8], however, many LLMs are accessed through third-party application programming interfaces whose underlying model versions are controlled by the provider. When an incumbent version is deprecated or replaced, institutions may be required to migrate even when their prompts, data, and downstream processes remain unchanged.</w:t>
      </w:r>
    </w:p>
    <w:p>
      <w:pPr>
        <w:pStyle w:val="BodyText"/>
      </w:pPr>
      <w:r>
        <w:t xml:space="preserve">Such migrations create a distinct form of model-change risk. A successor version may preserve the behavior of its predecessor, in which case migration has limited operational consequence. Alternatively, differences in training data, architecture, optimization, or alignment may cause the same inputs to receive materially different decisions [1, 2, 19]. The size, direction, and structure of this discontinuity cannot be inferred from the fact that a provider designates one version as the recommended replacement for another [24]. It must be measured empirically under controlled input and sampling conditions.</w:t>
      </w:r>
    </w:p>
    <w:p>
      <w:pPr>
        <w:pStyle w:val="BodyText"/>
      </w:pPr>
      <w:r>
        <w:t xml:space="preserve">Existing evaluations of model updates face two measurement challenges. First, repeated calls to the same model version may produce different outputs because of residual sampling variability. A raw before-and-after disagreement rate may therefore attribute ordinary within-version variation to the migration itself. Second, an aggregate flip rate does not reveal how the change occurs. A successor may alter the overall distribution of labels across the evaluated portfolio, or it may reconsider individual companies while leaving the aggregate distribution approximately unchanged. These mechanisms have different operational and governance implications and should be measured separately.</w:t>
      </w:r>
    </w:p>
    <w:p>
      <w:pPr>
        <w:pStyle w:val="BodyText"/>
      </w:pPr>
      <w:r>
        <w:t xml:space="preserve">This study evaluates two vendor-declared model migrations on a controlled financial classification task. Each incumbent and successor version receives identical, dated financial information and matched per-cell sampling seeds. Within-version replicate disagreement is used to estimate the ordinary noise floor, and the primary endpoint measures the cross-version flip rate in excess of that baseline. We further decompose observed migration changes into a marginal label-distribution shift and per-company churn, assess directional movement across credit-health categories, and compare both versions with a deterministic, rule-based Altman</w:t>
      </w:r>
      <w:r>
        <w:t xml:space="preserve"> </w:t>
      </w:r>
      <m:oMath>
        <m:r>
          <m:t>Z</m:t>
        </m:r>
        <m:r>
          <m:t>″</m:t>
        </m:r>
      </m:oMath>
      <w:r>
        <w:t xml:space="preserve">-based reference proxy [11, 12].</w:t>
      </w:r>
    </w:p>
    <w:p>
      <w:pPr>
        <w:pStyle w:val="BodyText"/>
      </w:pPr>
      <w:r>
        <w:t xml:space="preserve">The paper focuses on deployment-level migration risk: the possibility that a provider-controlled update materially changes decisions within an otherwise fixed LLM pipeline. Because deployments using the same version encounter the same vendor-initiated transition, this mechanism can create synchronized changes across systems pinned to that version [3, 4, 5, 6]. The study does not measure realized cross-institution or market-level effects; instead, it provides controlled evidence that the underlying decision-shock mechanism exists and can be quantified. In this study,</w:t>
      </w:r>
      <w:r>
        <w:t xml:space="preserve"> </w:t>
      </w:r>
      <w:r>
        <w:t xml:space="preserve">“</w:t>
      </w:r>
      <w:r>
        <w:t xml:space="preserve">correlated shock</w:t>
      </w:r>
      <w:r>
        <w:t xml:space="preserve">”</w:t>
      </w:r>
      <w:r>
        <w:t xml:space="preserve"> </w:t>
      </w:r>
      <w:r>
        <w:t xml:space="preserve">denotes a common upstream version change capable of affecting multiple deployments at approximately the same time; it does not denote an empirical estimate of cross-institutional correlation.</w:t>
      </w:r>
    </w:p>
    <w:p>
      <w:pPr>
        <w:pStyle w:val="BodyText"/>
      </w:pPr>
      <w:r>
        <w:t xml:space="preserve">The principal contributions of this study are as follows:</w:t>
      </w:r>
    </w:p>
    <w:p>
      <w:pPr>
        <w:numPr>
          <w:ilvl w:val="0"/>
          <w:numId w:val="1001"/>
        </w:numPr>
      </w:pPr>
      <w:r>
        <w:rPr>
          <w:b/>
        </w:rPr>
        <w:t xml:space="preserve">Controlled measurement of migration-induced decision instability:</w:t>
      </w:r>
      <w:r>
        <w:t xml:space="preserve"> </w:t>
      </w:r>
      <w:r>
        <w:t xml:space="preserve">We provide a preregistered evaluation of two real vendor migrations using an explicit within-version noise floor to distinguish update effects from ordinary sampling variability.</w:t>
      </w:r>
    </w:p>
    <w:p>
      <w:pPr>
        <w:numPr>
          <w:ilvl w:val="0"/>
          <w:numId w:val="1001"/>
        </w:numPr>
      </w:pPr>
      <w:r>
        <w:rPr>
          <w:b/>
        </w:rPr>
        <w:t xml:space="preserve">Mechanism-level decomposition:</w:t>
      </w:r>
      <w:r>
        <w:t xml:space="preserve"> </w:t>
      </w:r>
      <w:r>
        <w:t xml:space="preserve">We separate migration-induced changes into marginal label-distribution shifts and per-company churn and report complementary chance-corrected agreement and directional-drift statistics.</w:t>
      </w:r>
    </w:p>
    <w:p>
      <w:pPr>
        <w:numPr>
          <w:ilvl w:val="0"/>
          <w:numId w:val="1001"/>
        </w:numPr>
      </w:pPr>
      <w:r>
        <w:rPr>
          <w:b/>
        </w:rPr>
        <w:t xml:space="preserve">Outcome linkage:</w:t>
      </w:r>
      <w:r>
        <w:t xml:space="preserve"> </w:t>
      </w:r>
      <w:r>
        <w:t xml:space="preserve">We evaluate whether the decisions changed by each migration are associated with improved classification quality against a deterministic, rule-based financial-health reference proxy.</w:t>
      </w:r>
    </w:p>
    <w:p>
      <w:pPr>
        <w:numPr>
          <w:ilvl w:val="0"/>
          <w:numId w:val="1001"/>
        </w:numPr>
      </w:pPr>
      <w:r>
        <w:rPr>
          <w:b/>
        </w:rPr>
        <w:t xml:space="preserve">Governance application:</w:t>
      </w:r>
      <w:r>
        <w:t xml:space="preserve"> </w:t>
      </w:r>
      <w:r>
        <w:t xml:space="preserve">We translate the empirical measurements into a pre-migration parallel-run control that can detect material decision changes before production cutover.</w:t>
      </w:r>
    </w:p>
    <w:p>
      <w:pPr>
        <w:numPr>
          <w:ilvl w:val="0"/>
          <w:numId w:val="1001"/>
        </w:numPr>
      </w:pPr>
      <w:r>
        <w:rPr>
          <w:b/>
        </w:rPr>
        <w:t xml:space="preserve">Reproducible research artifact:</w:t>
      </w:r>
      <w:r>
        <w:t xml:space="preserve"> </w:t>
      </w:r>
      <w:r>
        <w:t xml:space="preserve">We provide frozen inputs, exact model-version identifiers, matched seeds, raw responses, preregistration materials, and a deterministic analysis pipeline that regenerates the reported results.</w:t>
      </w:r>
    </w:p>
    <w:p>
      <w:pPr>
        <w:pStyle w:val="Heading1"/>
      </w:pPr>
      <w:bookmarkStart w:id="21" w:name="related-work"/>
      <w:r>
        <w:t xml:space="preserve">Related Work</w:t>
      </w:r>
      <w:bookmarkEnd w:id="21"/>
    </w:p>
    <w:p>
      <w:pPr>
        <w:pStyle w:val="Heading2"/>
      </w:pPr>
      <w:bookmarkStart w:id="22" w:name="Xf6bd938fec1a3cdffd706fd119399c02f757ff9"/>
      <w:r>
        <w:t xml:space="preserve">Model-Update Regression in General Machine Learning</w:t>
      </w:r>
      <w:bookmarkEnd w:id="22"/>
    </w:p>
    <w:p>
      <w:pPr>
        <w:pStyle w:val="FirstParagraph"/>
      </w:pPr>
      <w:r>
        <w:t xml:space="preserve">Model updates can alter predictions even when task inputs and downstream decision rules remain unchanged. Prior work describes such instance-level regressions as negative flips, in which a successor model overturns a previously correct or stable prediction. MUSCLE examines this problem in LLM evolution and proposes compatibility mechanisms intended to reduce regressions between model versions [1], paralleling regression-free update objectives developed for vision models [26]. Related work on concept drift distinguishes genuine model changes from ordinary within-model variability [25], while standardized, holistic model-evaluation frameworks emphasize the need to evaluate successor versions before deployment [20]. Studies of task underspecification further show that apparently fixed prompts may leave substantial behavioral discretion to the underlying model [2, 27], allowing updates to change responses along dimensions not explicitly constrained by the prompt.</w:t>
      </w:r>
    </w:p>
    <w:p>
      <w:pPr>
        <w:pStyle w:val="BodyText"/>
      </w:pPr>
      <w:r>
        <w:t xml:space="preserve">These studies primarily frame update regression as a model-performance, compatibility, or deployment-engineering problem. The present study examines a complementary question: how much a vendor-declared version migration changes categorical financial decisions after ordinary within-version response variability is removed. Rather than focusing only on whether individual predictions improve or deteriorate, we measure the aggregate decision discontinuity, its directional structure, and the mechanism through which the portfolio of classifications changes. This extends model-update research from instance-level compatibility to the operational risk created when a provider-controlled migration affects an otherwise unchanged financial decision pipeline.</w:t>
      </w:r>
    </w:p>
    <w:p>
      <w:pPr>
        <w:pStyle w:val="Heading2"/>
      </w:pPr>
      <w:bookmarkStart w:id="23" w:name="Xae99d67dfe525bfe4d3ac40f52c0ab8992ea948"/>
      <w:r>
        <w:t xml:space="preserve">Algorithmic Monoculture and Systemic Risk in Finance</w:t>
      </w:r>
      <w:bookmarkEnd w:id="23"/>
    </w:p>
    <w:p>
      <w:pPr>
        <w:pStyle w:val="FirstParagraph"/>
      </w:pPr>
      <w:r>
        <w:t xml:space="preserve">A growing literature examines the possibility that widespread reliance on similar artificial intelligence systems may create correlated behavior across financial institutions and markets. Shared foundation models, common training data, and similar optimization objectives may cause otherwise independent users to produce aligned decisions, thereby reducing effective model diversity and increasing susceptibility to common failures [23, 3]. Related work has linked such convergence to algorithmic herding, concentration risk, and broader forms of systemic fragility [4, 5], while supervisory research has begun to identify AI homogenization as a potential source of correlated financial risk [6, 28].</w:t>
      </w:r>
    </w:p>
    <w:p>
      <w:pPr>
        <w:pStyle w:val="BodyText"/>
      </w:pPr>
      <w:r>
        <w:t xml:space="preserve">Most existing work addresses this concern conceptually or through market-level models of correlated trading and decision behavior. The empirical mechanism through which a common external change could simultaneously alter deployed decisions remains less directly measured. A vendor-controlled version migration provides one such mechanism: multiple deployments pinned to the same model version may encounter the same successor model and therefore experience a synchronized change in behavior. The present study evaluates this mechanism at the decision level by measuring how two vendor migrations alter fixed, graded credit-health classifications under identical inputs.</w:t>
      </w:r>
    </w:p>
    <w:p>
      <w:pPr>
        <w:pStyle w:val="BodyText"/>
      </w:pPr>
      <w:r>
        <w:t xml:space="preserve">The analysis does not estimate realized systemic effects or cross-institution losses. Instead, the study establishes a mechanism through which deployments using the shared version could experience a common behavioral change. This decision-level evidence complements the systemic-risk literature by connecting abstract concerns about model concentration to a measurable operational event within an LLM-based financial workflow.</w:t>
      </w:r>
    </w:p>
    <w:p>
      <w:pPr>
        <w:pStyle w:val="Heading2"/>
      </w:pPr>
      <w:bookmarkStart w:id="24" w:name="Xa6f3ef35b6470839836a1ba8dba18d9418f0818"/>
      <w:r>
        <w:t xml:space="preserve">Agreement, Prevalence, and the Kappa Paradox</w:t>
      </w:r>
      <w:bookmarkEnd w:id="24"/>
    </w:p>
    <w:p>
      <w:pPr>
        <w:pStyle w:val="FirstParagraph"/>
      </w:pPr>
      <w:r>
        <w:t xml:space="preserve">Categorical agreement between an incumbent and successor model can be measured using chance-corrected statistics such as Cohen’s</w:t>
      </w:r>
      <w:r>
        <w:t xml:space="preserve"> </w:t>
      </w:r>
      <m:oMath>
        <m:r>
          <m:t>κ</m:t>
        </m:r>
      </m:oMath>
      <w:r>
        <w:t xml:space="preserve"> [13], Scott’s</w:t>
      </w:r>
      <w:r>
        <w:t xml:space="preserve"> </w:t>
      </w:r>
      <m:oMath>
        <m:r>
          <m:t>π</m:t>
        </m:r>
      </m:oMath>
      <w:r>
        <w:t xml:space="preserve"> [14], and Gwet’s AC1 [10] (with Fleiss’ generalization to multiple raters [15]). In this study, the two model versions are treated as paired raters that assign one of three credit-health labels (SAFE, WATCH, or DISTRESS) to the same company-date-replicate cells. These statistics summarize the extent to which the two versions produce consistent classifications beyond the level expected from their marginal label distributions.</w:t>
      </w:r>
    </w:p>
    <w:p>
      <w:pPr>
        <w:pStyle w:val="BodyText"/>
      </w:pPr>
      <w:r>
        <w:t xml:space="preserve">Reliance on a single agreement statistic can be misleading when category prevalence is highly uneven or changes materially across versions. Cohen’s</w:t>
      </w:r>
      <w:r>
        <w:t xml:space="preserve"> </w:t>
      </w:r>
      <m:oMath>
        <m:r>
          <m:t>κ</m:t>
        </m:r>
      </m:oMath>
      <w:r>
        <w:t xml:space="preserve"> </w:t>
      </w:r>
      <w:r>
        <w:t xml:space="preserve">and related measures may decline even when raw agreement remains substantial, a behavior commonly described as the</w:t>
      </w:r>
      <w:r>
        <w:t xml:space="preserve"> </w:t>
      </w:r>
      <m:oMath>
        <m:r>
          <m:t>κ</m:t>
        </m:r>
      </m:oMath>
      <w:r>
        <w:t xml:space="preserve"> </w:t>
      </w:r>
      <w:r>
        <w:t xml:space="preserve">paradox [16]. Gwet’s AC1 is less sensitive to this prevalence effect, while Scott’s</w:t>
      </w:r>
      <w:r>
        <w:t xml:space="preserve"> </w:t>
      </w:r>
      <m:oMath>
        <m:r>
          <m:t>π</m:t>
        </m:r>
      </m:oMath>
      <w:r>
        <w:t xml:space="preserve"> </w:t>
      </w:r>
      <w:r>
        <w:t xml:space="preserve">provides an additional chance-corrected comparison under a different expected-agreement formulation. Reporting all three statistics therefore allows the observed migration effect to be assessed for robustness to alternative treatments of marginal imbalance.</w:t>
      </w:r>
    </w:p>
    <w:p>
      <w:pPr>
        <w:pStyle w:val="BodyText"/>
      </w:pPr>
      <w:r>
        <w:t xml:space="preserve">Agreement statistics alone, however, do not identify how a migration changes the portfolio of decisions. A low cross-version agreement value may result from a broad shift in label prevalence, from offsetting company-level reclassifications that leave the aggregate label mix largely unchanged, or from a combination of both. We therefore complement the agreement measures with an explicit prevalence–churn decomposition. The marginal component measures the minimum share of observations that must change to produce the successor version’s label distribution, while the remaining churn component captures company-level reshuffling that cancels in aggregate.</w:t>
      </w:r>
    </w:p>
    <w:p>
      <w:pPr>
        <w:pStyle w:val="BodyText"/>
      </w:pPr>
      <w:r>
        <w:t xml:space="preserve">This combined framework separates three related but distinct quantities: overall cross-version consistency, distributional movement across credit-health categories, and genuine reclassification of individual companies. It therefore provides a more informative characterization of migration behavior than either raw flip rates or a single chance-corrected agreement statistic alone.</w:t>
      </w:r>
    </w:p>
    <w:p>
      <w:pPr>
        <w:pStyle w:val="Heading2"/>
      </w:pPr>
      <w:bookmarkStart w:id="25" w:name="model-risk-management-and-generative-ai"/>
      <w:r>
        <w:t xml:space="preserve">Model Risk Management and Generative AI</w:t>
      </w:r>
      <w:bookmarkEnd w:id="25"/>
    </w:p>
    <w:p>
      <w:pPr>
        <w:pStyle w:val="FirstParagraph"/>
      </w:pPr>
      <w:r>
        <w:t xml:space="preserve">Model-risk management frameworks emphasize validation, ongoing monitoring, change control, documentation, effective challenge, and institutional accountability for third-party models. In the United States, SR 11-7 historically established these expectations, but its lifecycle largely assumes that an institution can identify when a model changes and initiate review before the modified model enters production [7].</w:t>
      </w:r>
    </w:p>
    <w:p>
      <w:pPr>
        <w:pStyle w:val="BodyText"/>
      </w:pPr>
      <w:r>
        <w:t xml:space="preserve">Vendor-hosted LLMs complicate this assumption because model versions may be updated, replaced, or deprecated according to the provider’s schedule. A migration can therefore alter model behavior even when the institution holds its prompts, inputs, application logic, and downstream controls fixed. Recent research has proposed broader governance approaches for generative and agentic AI [9], but the present study addresses a narrower empirical problem: decision discontinuity caused specifically by vendor-directed model-version migration. We operationalize this risk through paired version testing, a within-version noise floor, and measures of excess disagreement, distributional shift, churn, and directional drift. The corresponding supervisory implications and proposed control are developed in Section </w:t>
      </w:r>
      <w:hyperlink w:anchor="sec:gov">
        <w:r>
          <w:rPr>
            <w:rStyle w:val="Hyperlink"/>
          </w:rPr>
          <w:t xml:space="preserve">7</w:t>
        </w:r>
      </w:hyperlink>
      <w:r>
        <w:t xml:space="preserve">.</w:t>
      </w:r>
    </w:p>
    <w:p>
      <w:pPr>
        <w:pStyle w:val="Heading2"/>
      </w:pPr>
      <w:bookmarkStart w:id="26" w:name="reproducibility-and-preregistration"/>
      <w:r>
        <w:t xml:space="preserve">Reproducibility and Preregistration</w:t>
      </w:r>
      <w:bookmarkEnd w:id="26"/>
    </w:p>
    <w:p>
      <w:pPr>
        <w:pStyle w:val="FirstParagraph"/>
      </w:pPr>
      <w:r>
        <w:t xml:space="preserve">Empirical LLM evaluations are sensitive to model versions, prompts, sampling settings, data selection, exclusion rules, and statistical choices [31], while proprietary endpoint changes may prevent exact retrospective replay. We therefore specify the migration pairs, evaluation grid, prompt, seeds, endpoints, reference-label procedure, and decision rule before confirmatory data collection [30]; assign the frozen protocol a cryptographic hash; preserve immutable call-level responses and configurations; and regenerate all reported results through a seeded, build-validated analysis pipeline [32]. The archived responses, rather than future API replay, constitute the empirical record. Full procedural details are provided in Section </w:t>
      </w:r>
      <w:hyperlink w:anchor="subsec:freeze">
        <w:r>
          <w:rPr>
            <w:rStyle w:val="Hyperlink"/>
          </w:rPr>
          <w:t xml:space="preserve">4.5</w:t>
        </w:r>
      </w:hyperlink>
      <w:r>
        <w:t xml:space="preserve"> </w:t>
      </w:r>
      <w:r>
        <w:t xml:space="preserve">and the Data and Code Availability statement.</w:t>
      </w:r>
    </w:p>
    <w:p>
      <w:pPr>
        <w:pStyle w:val="Heading1"/>
      </w:pPr>
      <w:bookmarkStart w:id="27" w:name="problem-formulation-and-metrics"/>
      <w:r>
        <w:t xml:space="preserve">Problem Formulation and Metrics</w:t>
      </w:r>
      <w:bookmarkEnd w:id="27"/>
    </w:p>
    <w:p>
      <w:pPr>
        <w:pStyle w:val="Heading2"/>
      </w:pPr>
      <w:bookmarkStart w:id="28" w:name="task-and-unit-of-analysis"/>
      <w:r>
        <w:t xml:space="preserve">Task and Unit of Analysis</w:t>
      </w:r>
      <w:bookmarkEnd w:id="28"/>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t>=</m:t>
          </m:r>
          <m:r>
            <m:t>(</m:t>
          </m:r>
          <m:r>
            <m:t>j</m:t>
          </m:r>
          <m:r>
            <m:t>,</m:t>
          </m:r>
          <m:r>
            <m:t>t</m:t>
          </m:r>
          <m:r>
            <m:t>,</m:t>
          </m:r>
          <m:r>
            <m:t>r</m:t>
          </m:r>
          <m:r>
            <m:t>)</m:t>
          </m:r>
          <m: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t>,</m:t>
              </m:r>
              <m:r>
                <m:t>s</m:t>
              </m:r>
            </m:sub>
          </m:sSub>
          <m:r>
            <m:t>∈</m:t>
          </m:r>
          <m:r>
            <m:t>{</m:t>
          </m:r>
          <m:r>
            <m:rPr>
              <m:nor/>
              <m:sty m:val="p"/>
            </m:rPr>
            <m:t>SAFE</m:t>
          </m:r>
          <m:r>
            <m:t>,</m:t>
          </m:r>
          <m:r>
            <m:rPr>
              <m:nor/>
              <m:sty m:val="p"/>
            </m:rPr>
            <m:t>WATCH</m:t>
          </m:r>
          <m:r>
            <m:t>,</m:t>
          </m:r>
          <m:r>
            <m:rPr>
              <m:nor/>
              <m:sty m:val="p"/>
            </m:rPr>
            <m:t>DISTRESS</m:t>
          </m:r>
          <m:r>
            <m:t>}</m:t>
          </m:r>
          <m:r>
            <m:t>.</m:t>
          </m:r>
        </m:oMath>
      </m:oMathPara>
    </w:p>
    <w:p>
      <w:pPr>
        <w:pStyle w:val="FirstParagraph"/>
      </w:pPr>
      <w:r>
        <w:t xml:space="preserve">The model response is required to follow a fixed JSON schema containing the categorical label, a self-reported conviction score, and a free-text rationale. The categorical label is the output used in the present analysis.</w:t>
      </w:r>
    </w:p>
    <w:p>
      <w:pPr>
        <w:pStyle w:val="BodyText"/>
      </w:pPr>
      <w:r>
        <w:t xml:space="preserve">The experimental comparison is paired. For every valid cell, the incumbent and successor versions are evaluated using identical financial inputs, prompt structure, inference settings, and matched cell-level seeds. Consequently, the model version is the principal experimental factor that varies between the two observations in each pair.</w:t>
      </w:r>
    </w:p>
    <w:p>
      <w:pPr>
        <w:pStyle w:val="BodyText"/>
      </w:pPr>
      <w:r>
        <w:t xml:space="preserve">The primary estimand is not whether either version produces the correct financial classification. Instead, it is the extent to which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produced by an otherwise unchanged pipeline. Reference labels are introduced separately for the secondary accuracy analysis and are not required to estimate migration-induced decision instability.</w:t>
      </w:r>
    </w:p>
    <w:p>
      <w:pPr>
        <w:pStyle w:val="Heading2"/>
      </w:pPr>
      <w:bookmarkStart w:id="29" w:name="subsec:noisefloor"/>
      <w:r>
        <w:t xml:space="preserve">Flip Rate and the Within-Version Noise Floor</w:t>
      </w:r>
      <w:bookmarkEnd w:id="29"/>
    </w:p>
    <w:p>
      <w:pPr>
        <w:pStyle w:val="FirstParagraph"/>
      </w:pPr>
      <w:r>
        <w:t xml:space="preserve">A raw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may overstate migration-induced instability because repeated calls to the same model version can produce different labels under identical inputs.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t>,</m:t>
              </m:r>
              <m:r>
                <m:t>v</m:t>
              </m:r>
            </m:sub>
          </m:sSub>
          <m:r>
            <m:t>=</m:t>
          </m:r>
          <m:r>
            <m:rPr>
              <m:nor/>
              <m:sty m:val="p"/>
            </m:rPr>
            <m:t>Pr</m:t>
          </m:r>
          <m:r>
            <m:t>​</m:t>
          </m:r>
          <m:d>
            <m:dPr>
              <m:begChr m:val="("/>
              <m:endChr m:val=")"/>
              <m:grow/>
            </m:dPr>
            <m:e>
              <m:sSub>
                <m:e>
                  <m:r>
                    <m:t>y</m:t>
                  </m:r>
                </m:e>
                <m:sub>
                  <m:r>
                    <m:t>v</m:t>
                  </m:r>
                  <m:r>
                    <m:t>,</m:t>
                  </m:r>
                  <m:r>
                    <m:t>j</m:t>
                  </m:r>
                  <m:r>
                    <m:t>,</m:t>
                  </m:r>
                  <m:r>
                    <m:t>t</m:t>
                  </m:r>
                  <m:r>
                    <m:t>,</m:t>
                  </m:r>
                  <m:sSub>
                    <m:e>
                      <m:r>
                        <m:t>r</m:t>
                      </m:r>
                    </m:e>
                    <m:sub>
                      <m:r>
                        <m:t>1</m:t>
                      </m:r>
                    </m:sub>
                  </m:sSub>
                </m:sub>
              </m:sSub>
              <m:r>
                <m:t>≠</m:t>
              </m:r>
              <m:sSub>
                <m:e>
                  <m:r>
                    <m:t>y</m:t>
                  </m:r>
                </m:e>
                <m:sub>
                  <m:r>
                    <m:t>v</m:t>
                  </m:r>
                  <m:r>
                    <m:t>,</m:t>
                  </m:r>
                  <m:r>
                    <m:t>j</m:t>
                  </m:r>
                  <m:r>
                    <m:t>,</m:t>
                  </m:r>
                  <m:r>
                    <m:t>t</m:t>
                  </m:r>
                  <m:r>
                    <m:t>,</m:t>
                  </m:r>
                  <m:sSub>
                    <m:e>
                      <m:r>
                        <m:t>r</m:t>
                      </m:r>
                    </m:e>
                    <m:sub>
                      <m:r>
                        <m:t>2</m:t>
                      </m:r>
                    </m:sub>
                  </m:sSub>
                </m:sub>
              </m:sSub>
            </m:e>
          </m:d>
          <m:r>
            <m:t>,</m:t>
          </m:r>
          <m:r>
            <m:t>  </m:t>
          </m:r>
          <m:sSub>
            <m:e>
              <m:r>
                <m:t>r</m:t>
              </m:r>
            </m:e>
            <m:sub>
              <m:r>
                <m:t>1</m:t>
              </m:r>
            </m:sub>
          </m:sSub>
          <m:r>
            <m:t>≠</m:t>
          </m:r>
          <m:sSub>
            <m:e>
              <m:r>
                <m:t>r</m:t>
              </m:r>
            </m:e>
            <m:sub>
              <m:r>
                <m:t>2</m:t>
              </m:r>
            </m:sub>
          </m:sSub>
          <m: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t>=</m:t>
          </m:r>
          <m:f>
            <m:fPr>
              <m:type m:val="lin"/>
            </m:fPr>
            <m:num>
              <m:r>
                <m:t>1</m:t>
              </m:r>
            </m:num>
            <m:den>
              <m:r>
                <m:t>2</m:t>
              </m:r>
            </m:den>
          </m:f>
          <m:d>
            <m:dPr>
              <m:begChr m:val="("/>
              <m:endChr m:val=")"/>
              <m:grow/>
            </m:dPr>
            <m:e>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o</m:t>
                      </m:r>
                      <m:r>
                        <m:rPr>
                          <m:sty m:val="p"/>
                        </m:rPr>
                        <m:t>l</m:t>
                      </m:r>
                      <m:r>
                        <m:rPr>
                          <m:sty m:val="p"/>
                        </m:rPr>
                        <m:t>d</m:t>
                      </m:r>
                    </m:sub>
                  </m:sSub>
                </m:sub>
              </m:sSub>
              <m:r>
                <m:t>+</m:t>
              </m:r>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n</m:t>
                      </m:r>
                      <m:r>
                        <m:rPr>
                          <m:sty m:val="p"/>
                        </m:rPr>
                        <m:t>e</m:t>
                      </m:r>
                      <m:r>
                        <m:rPr>
                          <m:sty m:val="p"/>
                        </m:rPr>
                        <m:t>w</m:t>
                      </m:r>
                    </m:sub>
                  </m:sSub>
                </m:sub>
              </m:sSub>
            </m:e>
          </m:d>
          <m: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t>=</m:t>
          </m:r>
          <m:r>
            <m:rPr>
              <m:nor/>
              <m:sty m:val="p"/>
            </m:rPr>
            <m:t>Pr</m:t>
          </m:r>
          <m:r>
            <m:t>​</m:t>
          </m:r>
          <m:d>
            <m:dPr>
              <m:begChr m:val="("/>
              <m:endChr m:val=")"/>
              <m:grow/>
            </m:dPr>
            <m:e>
              <m:sSub>
                <m:e>
                  <m:r>
                    <m:t>y</m:t>
                  </m:r>
                </m:e>
                <m:sub>
                  <m:sSub>
                    <m:e>
                      <m:r>
                        <m:t>v</m:t>
                      </m:r>
                    </m:e>
                    <m:sub>
                      <m:r>
                        <m:rPr>
                          <m:sty m:val="p"/>
                        </m:rPr>
                        <m:t>o</m:t>
                      </m:r>
                      <m:r>
                        <m:rPr>
                          <m:sty m:val="p"/>
                        </m:rPr>
                        <m:t>l</m:t>
                      </m:r>
                      <m:r>
                        <m:rPr>
                          <m:sty m:val="p"/>
                        </m:rPr>
                        <m:t>d</m:t>
                      </m:r>
                    </m:sub>
                  </m:sSub>
                  <m:r>
                    <m:t>,</m:t>
                  </m:r>
                  <m:r>
                    <m:t>s</m:t>
                  </m:r>
                </m:sub>
              </m:sSub>
              <m:r>
                <m:t>≠</m:t>
              </m:r>
              <m:sSub>
                <m:e>
                  <m:r>
                    <m:t>y</m:t>
                  </m:r>
                </m:e>
                <m:sub>
                  <m:sSub>
                    <m:e>
                      <m:r>
                        <m:t>v</m:t>
                      </m:r>
                    </m:e>
                    <m:sub>
                      <m:r>
                        <m:rPr>
                          <m:sty m:val="p"/>
                        </m:rPr>
                        <m:t>n</m:t>
                      </m:r>
                      <m:r>
                        <m:rPr>
                          <m:sty m:val="p"/>
                        </m:rPr>
                        <m:t>e</m:t>
                      </m:r>
                      <m:r>
                        <m:rPr>
                          <m:sty m:val="p"/>
                        </m:rPr>
                        <m:t>w</m:t>
                      </m:r>
                    </m:sub>
                  </m:sSub>
                  <m:r>
                    <m:t>,</m:t>
                  </m:r>
                  <m:r>
                    <m:t>s</m:t>
                  </m:r>
                </m:sub>
              </m:sSub>
            </m:e>
          </m:d>
          <m: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m:t>
          </m:r>
          <m:sSub>
            <m:e>
              <m:r>
                <m:t>F</m:t>
              </m:r>
            </m:e>
            <m:sub>
              <m:r>
                <m:rPr>
                  <m:sty m:val="p"/>
                </m:rPr>
                <m:t>c</m:t>
              </m:r>
              <m:r>
                <m:rPr>
                  <m:sty m:val="p"/>
                </m:rPr>
                <m:t>r</m:t>
              </m:r>
              <m:r>
                <m:rPr>
                  <m:sty m:val="p"/>
                </m:rPr>
                <m:t>o</m:t>
              </m:r>
              <m:r>
                <m:rPr>
                  <m:sty m:val="p"/>
                </m:rPr>
                <m:t>s</m:t>
              </m:r>
              <m:r>
                <m:rPr>
                  <m:sty m:val="p"/>
                </m:rPr>
                <m:t>s</m:t>
              </m:r>
            </m:sub>
          </m:sSub>
          <m:r>
            <m:t>−</m:t>
          </m:r>
          <m:sSub>
            <m:e>
              <m:r>
                <m:t>F</m:t>
              </m:r>
            </m:e>
            <m:sub>
              <m:r>
                <m:rPr>
                  <m:sty m:val="p"/>
                </m:rPr>
                <m:t>n</m:t>
              </m:r>
              <m:r>
                <m:rPr>
                  <m:sty m:val="p"/>
                </m:rPr>
                <m:t>o</m:t>
              </m:r>
              <m:r>
                <m:rPr>
                  <m:sty m:val="p"/>
                </m:rPr>
                <m:t>i</m:t>
              </m:r>
              <m:r>
                <m:rPr>
                  <m:sty m:val="p"/>
                </m:rPr>
                <m:t>s</m:t>
              </m:r>
              <m:r>
                <m:rPr>
                  <m:sty m:val="p"/>
                </m:rPr>
                <m:t>e</m:t>
              </m:r>
            </m:sub>
          </m:sSub>
          <m:r>
            <m:t>.</m:t>
          </m:r>
        </m:oMath>
      </m:oMathPara>
    </w:p>
    <w:p>
      <w:pPr>
        <w:pStyle w:val="FirstParagraph"/>
      </w:pPr>
      <w:r>
        <w:t xml:space="preserve">This quantity is the cross-version disagreement rate in excess of the estimated within-version noise floor. It quantifies how much more the incumbent and successor versions disagree than repeated invocations of a single version, and we interpret it as a noise-adjusted measure of cross-version disagreement rather than a formal identification of the causal share of decisions changed by the migration. A positive value indicates that the two versions disagree more than ordinary within-version sampling variability alone would produce.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t>=</m:t>
          </m:r>
          <m:sSub>
            <m:e>
              <m:r>
                <m:t>F</m:t>
              </m:r>
            </m:e>
            <m:sub>
              <m:r>
                <m:rPr>
                  <m:sty m:val="p"/>
                </m:rPr>
                <m:t>c</m:t>
              </m:r>
              <m:r>
                <m:rPr>
                  <m:sty m:val="p"/>
                </m:rPr>
                <m:t>r</m:t>
              </m:r>
              <m:r>
                <m:rPr>
                  <m:sty m:val="p"/>
                </m:rPr>
                <m:t>o</m:t>
              </m:r>
              <m:r>
                <m:rPr>
                  <m:sty m:val="p"/>
                </m:rPr>
                <m:t>s</m:t>
              </m:r>
              <m:r>
                <m:rPr>
                  <m:sty m:val="p"/>
                </m:rPr>
                <m:t>s</m:t>
              </m:r>
            </m:sub>
          </m:sSub>
          <m:r>
            <m:t>−</m:t>
          </m:r>
          <m:r>
            <m:rPr>
              <m:nor/>
              <m:sty m:val="p"/>
            </m:rPr>
            <m:t>max</m:t>
          </m:r>
          <m:r>
            <m:t>​</m:t>
          </m:r>
          <m:d>
            <m:dPr>
              <m:begChr m:val="("/>
              <m:endChr m:val=")"/>
              <m:grow/>
            </m:dPr>
            <m:e>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o</m:t>
                      </m:r>
                      <m:r>
                        <m:rPr>
                          <m:sty m:val="p"/>
                        </m:rPr>
                        <m:t>l</m:t>
                      </m:r>
                      <m:r>
                        <m:rPr>
                          <m:sty m:val="p"/>
                        </m:rPr>
                        <m:t>d</m:t>
                      </m:r>
                    </m:sub>
                  </m:sSub>
                </m:sub>
              </m:sSub>
              <m:r>
                <m:t>,</m:t>
              </m:r>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n</m:t>
                      </m:r>
                      <m:r>
                        <m:rPr>
                          <m:sty m:val="p"/>
                        </m:rPr>
                        <m:t>e</m:t>
                      </m:r>
                      <m:r>
                        <m:rPr>
                          <m:sty m:val="p"/>
                        </m:rPr>
                        <m:t>w</m:t>
                      </m:r>
                    </m:sub>
                  </m:sSub>
                </m:sub>
              </m:sSub>
            </m:e>
          </m:d>
          <m:r>
            <m:t>.</m:t>
          </m:r>
        </m:oMath>
      </m:oMathPara>
    </w:p>
    <w:p>
      <w:pPr>
        <w:pStyle w:val="FirstParagraph"/>
      </w:pPr>
      <w:r>
        <w:t xml:space="preserve">The pooled estimator is used as the primary measure, while the maximum-floor specification serves as a stricter sensitivity analysis. The migration effect is considered supported when the estimated excess flip rate is positive and its 95% confidence interval excludes zero.</w:t>
      </w:r>
    </w:p>
    <w:p>
      <w:pPr>
        <w:pStyle w:val="Heading2"/>
      </w:pPr>
      <w:bookmarkStart w:id="30" w:name="prevalencechurn-decomposition"/>
      <w:r>
        <w:t xml:space="preserve">Prevalence–Churn Decomposition</w:t>
      </w:r>
      <w:bookmarkEnd w:id="30"/>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t>(</m:t>
        </m:r>
        <m:r>
          <m:t>y</m:t>
        </m:r>
        <m:r>
          <m:t>)</m:t>
        </m:r>
      </m:oMath>
      <w:r>
        <w:t xml:space="preserve"> </w:t>
      </w:r>
      <w:r>
        <w:t xml:space="preserve">and</w:t>
      </w:r>
      <w:r>
        <w:t xml:space="preserve"> </w:t>
      </w:r>
      <m:oMath>
        <m:sSub>
          <m:e>
            <m:r>
              <m:t>p</m:t>
            </m:r>
          </m:e>
          <m:sub>
            <m:r>
              <m:rPr>
                <m:sty m:val="p"/>
              </m:rPr>
              <m:t>n</m:t>
            </m:r>
            <m:r>
              <m:rPr>
                <m:sty m:val="p"/>
              </m:rPr>
              <m:t>e</m:t>
            </m:r>
            <m:r>
              <m:rPr>
                <m:sty m:val="p"/>
              </m:rPr>
              <m:t>w</m:t>
            </m:r>
          </m:sub>
        </m:sSub>
        <m:r>
          <m:t>(</m:t>
        </m:r>
        <m:r>
          <m:t>y</m:t>
        </m:r>
        <m:r>
          <m:t>)</m:t>
        </m:r>
      </m:oMath>
      <w:r>
        <w:t xml:space="preserve"> </w:t>
      </w:r>
      <w:r>
        <w:t xml:space="preserve">denote the proportions of observations assigned to category</w:t>
      </w:r>
      <w:r>
        <w:t xml:space="preserve"> </w:t>
      </w:r>
      <m:oMath>
        <m:r>
          <m:t>y</m:t>
        </m:r>
        <m:r>
          <m:t>∈</m:t>
        </m:r>
        <m:r>
          <m:t>{</m:t>
        </m:r>
        <m:r>
          <m:rPr>
            <m:nor/>
            <m:sty m:val="p"/>
          </m:rPr>
          <m:t>SAFE</m:t>
        </m:r>
        <m:r>
          <m:t>,</m:t>
        </m:r>
        <m:r>
          <m:rPr>
            <m:nor/>
            <m:sty m:val="p"/>
          </m:rPr>
          <m:t>WATCH</m:t>
        </m:r>
        <m:r>
          <m:t>,</m:t>
        </m:r>
        <m:r>
          <m:rPr>
            <m:nor/>
            <m:sty m:val="p"/>
          </m:rPr>
          <m:t>DISTRESS</m:t>
        </m:r>
        <m: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t>=</m:t>
          </m:r>
          <m:f>
            <m:fPr>
              <m:type m:val="lin"/>
            </m:fPr>
            <m:num>
              <m:r>
                <m:t>1</m:t>
              </m:r>
            </m:num>
            <m:den>
              <m:r>
                <m:t>2</m:t>
              </m:r>
            </m:den>
          </m:f>
          <m:nary>
            <m:naryPr>
              <m:chr m:val="∑"/>
              <m:limLoc m:val="undOvr"/>
              <m:subHide m:val="0"/>
              <m:supHide m:val="1"/>
            </m:naryPr>
            <m:sub>
              <m:r>
                <m:t>y</m:t>
              </m:r>
            </m:sub>
            <m:sup>
              <m:r>
                <m:t>​</m:t>
              </m:r>
            </m:sup>
            <m:e>
              <m:d>
                <m:dPr>
                  <m:begChr m:val="|"/>
                  <m:endChr m:val="|"/>
                  <m:grow/>
                </m:dPr>
                <m:e>
                  <m:sSub>
                    <m:e>
                      <m:r>
                        <m:t>p</m:t>
                      </m:r>
                    </m:e>
                    <m:sub>
                      <m:r>
                        <m:rPr>
                          <m:sty m:val="p"/>
                        </m:rPr>
                        <m:t>n</m:t>
                      </m:r>
                      <m:r>
                        <m:rPr>
                          <m:sty m:val="p"/>
                        </m:rPr>
                        <m:t>e</m:t>
                      </m:r>
                      <m:r>
                        <m:rPr>
                          <m:sty m:val="p"/>
                        </m:rPr>
                        <m:t>w</m:t>
                      </m:r>
                    </m:sub>
                  </m:sSub>
                  <m:r>
                    <m:t>(</m:t>
                  </m:r>
                  <m:r>
                    <m:t>y</m:t>
                  </m:r>
                  <m:r>
                    <m:t>)</m:t>
                  </m:r>
                  <m:r>
                    <m:t>−</m:t>
                  </m:r>
                  <m:sSub>
                    <m:e>
                      <m:r>
                        <m:t>p</m:t>
                      </m:r>
                    </m:e>
                    <m:sub>
                      <m:r>
                        <m:rPr>
                          <m:sty m:val="p"/>
                        </m:rPr>
                        <m:t>o</m:t>
                      </m:r>
                      <m:r>
                        <m:rPr>
                          <m:sty m:val="p"/>
                        </m:rPr>
                        <m:t>l</m:t>
                      </m:r>
                      <m:r>
                        <m:rPr>
                          <m:sty m:val="p"/>
                        </m:rPr>
                        <m:t>d</m:t>
                      </m:r>
                    </m:sub>
                  </m:sSub>
                  <m:r>
                    <m:t>(</m:t>
                  </m:r>
                  <m:r>
                    <m:t>y</m:t>
                  </m:r>
                  <m:r>
                    <m:t>)</m:t>
                  </m:r>
                </m:e>
              </m:d>
            </m:e>
          </m:nary>
          <m:r>
            <m:t>.</m:t>
          </m:r>
        </m:oMath>
      </m:oMathPara>
    </w:p>
    <w:p>
      <w:pPr>
        <w:pStyle w:val="FirstParagraph"/>
      </w:pPr>
      <w:r>
        <w:t xml:space="preserve">This quantity represents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t>=</m:t>
          </m:r>
          <m:sSub>
            <m:e>
              <m:r>
                <m:t>F</m:t>
              </m:r>
            </m:e>
            <m:sub>
              <m:r>
                <m:rPr>
                  <m:sty m:val="p"/>
                </m:rPr>
                <m:t>c</m:t>
              </m:r>
              <m:r>
                <m:rPr>
                  <m:sty m:val="p"/>
                </m:rPr>
                <m:t>r</m:t>
              </m:r>
              <m:r>
                <m:rPr>
                  <m:sty m:val="p"/>
                </m:rPr>
                <m:t>o</m:t>
              </m:r>
              <m:r>
                <m:rPr>
                  <m:sty m:val="p"/>
                </m:rPr>
                <m:t>s</m:t>
              </m:r>
              <m:r>
                <m:rPr>
                  <m:sty m:val="p"/>
                </m:rPr>
                <m:t>s</m:t>
              </m:r>
            </m:sub>
          </m:sSub>
          <m:r>
            <m:t>−</m:t>
          </m:r>
          <m:r>
            <m:t>M</m:t>
          </m:r>
          <m:r>
            <m:t>.</m:t>
          </m:r>
        </m:oMath>
      </m:oMathPara>
    </w:p>
    <w:p>
      <w:pPr>
        <w:pStyle w:val="FirstParagraph"/>
      </w:pPr>
      <w:r>
        <w:t xml:space="preserve">Churn captures additional company-level reclassifications that offset one another in the aggregate. For example, a movement from SAFE to WATCH for one company and a movement from WATCH to SAFE for another increase churn while leaving the overall category shares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t>=</m:t>
          </m:r>
          <m:r>
            <m:t>M</m:t>
          </m:r>
          <m:r>
            <m:t>+</m:t>
          </m:r>
          <m:r>
            <m:t>C</m:t>
          </m:r>
          <m: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A migration is described as marginal-dominated when</w:t>
      </w:r>
      <w:r>
        <w:t xml:space="preserve"> </w:t>
      </w:r>
      <m:oMath>
        <m:r>
          <m:t>M</m:t>
        </m:r>
        <m:r>
          <m:t>&gt;</m:t>
        </m:r>
        <m:r>
          <m:t>C</m:t>
        </m:r>
      </m:oMath>
      <w:r>
        <w:t xml:space="preserve"> </w:t>
      </w:r>
      <w:r>
        <w:t xml:space="preserve">and churn-dominated when</w:t>
      </w:r>
      <w:r>
        <w:t xml:space="preserve"> </w:t>
      </w:r>
      <m:oMath>
        <m:r>
          <m:t>C</m:t>
        </m:r>
        <m: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 [13], Scott’s</w:t>
      </w:r>
      <w:r>
        <w:t xml:space="preserve"> </w:t>
      </w:r>
      <m:oMath>
        <m:r>
          <m:t>π</m:t>
        </m:r>
      </m:oMath>
      <w:r>
        <w:t xml:space="preserve"> [14], and Gwet’s AC1 [10])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 [17] is applied to the binary indicator</w:t>
      </w:r>
      <w:r>
        <w:t xml:space="preserve"> </w:t>
      </w:r>
      <m:oMath>
        <m:r>
          <m:rPr>
            <m:sty m:val="p"/>
            <m:scr m:val="double-struck"/>
          </m:rPr>
          <m:t>I</m:t>
        </m:r>
        <m:r>
          <m:t>(</m:t>
        </m:r>
        <m:r>
          <m:t>y</m:t>
        </m:r>
        <m:r>
          <m:t>=</m:t>
        </m:r>
        <m:r>
          <m:rPr>
            <m:nor/>
            <m:sty m:val="p"/>
          </m:rPr>
          <m:t>DISTRESS</m:t>
        </m:r>
        <m: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p>
      <w:pPr>
        <w:pStyle w:val="Heading2"/>
      </w:pPr>
      <w:bookmarkStart w:id="31" w:name="X66a9e04d3cbd4ddeaa1035535bb95fc0d15a9a7"/>
      <w:r>
        <w:t xml:space="preserve">Version Isolation and Uncertainty Quantification</w:t>
      </w:r>
      <w:bookmarkEnd w:id="31"/>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t>=</m:t>
        </m:r>
        <m:r>
          <m:t>(</m:t>
        </m:r>
        <m:r>
          <m:t>j</m:t>
        </m:r>
        <m:r>
          <m:t>,</m:t>
        </m:r>
        <m:r>
          <m:t>t</m:t>
        </m:r>
        <m:r>
          <m:t>,</m:t>
        </m:r>
        <m:r>
          <m:t>r</m:t>
        </m:r>
        <m: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t>,</m:t>
              </m:r>
              <m:r>
                <m:t>t</m:t>
              </m:r>
              <m:r>
                <m:t>,</m:t>
              </m:r>
              <m:r>
                <m:t>r</m:t>
              </m:r>
            </m:sub>
          </m:sSub>
          <m:r>
            <m:t>=</m:t>
          </m:r>
          <m:r>
            <m:rPr>
              <m:nor/>
              <m:sty m:val="p"/>
            </m:rPr>
            <m:t>SHA256</m:t>
          </m:r>
          <m:r>
            <m:t>(</m:t>
          </m:r>
          <m:r>
            <m:rPr>
              <m:sty m:val="p"/>
            </m:rPr>
            <m:t>m</m:t>
          </m:r>
          <m:r>
            <m:rPr>
              <m:sty m:val="p"/>
            </m:rPr>
            <m:t>a</m:t>
          </m:r>
          <m:r>
            <m:rPr>
              <m:sty m:val="p"/>
            </m:rPr>
            <m:t>s</m:t>
          </m:r>
          <m:r>
            <m:rPr>
              <m:sty m:val="p"/>
            </m:rPr>
            <m:t>t</m:t>
          </m:r>
          <m:r>
            <m:rPr>
              <m:sty m:val="p"/>
            </m:rPr>
            <m:t>e</m:t>
          </m:r>
          <m:r>
            <m:rPr>
              <m:sty m:val="p"/>
            </m:rPr>
            <m:t>r</m:t>
          </m:r>
          <m:r>
            <m:t> </m:t>
          </m:r>
          <m:r>
            <m:t>|</m:t>
          </m:r>
          <m:r>
            <m:t> </m:t>
          </m:r>
          <m:r>
            <m:t>j</m:t>
          </m:r>
          <m:r>
            <m:t> </m:t>
          </m:r>
          <m:r>
            <m:t>|</m:t>
          </m:r>
          <m:r>
            <m:t> </m:t>
          </m:r>
          <m:r>
            <m:t>t</m:t>
          </m:r>
          <m:r>
            <m:t> </m:t>
          </m:r>
          <m:r>
            <m:t>|</m:t>
          </m:r>
          <m:r>
            <m:t> </m:t>
          </m:r>
          <m:r>
            <m:t>r</m:t>
          </m:r>
          <m:r>
            <m:t>)</m:t>
          </m:r>
          <m:box>
            <m:boxPr>
              <m:opEmu m:val="1"/>
            </m:boxPr>
            <m:e>
              <m:r>
                <m:t>mod</m:t>
              </m:r>
            </m:e>
          </m:box>
          <m:sSup>
            <m:e>
              <m:r>
                <m:t>2</m:t>
              </m:r>
            </m:e>
            <m:sup>
              <m:r>
                <m:t>31</m:t>
              </m:r>
            </m:sup>
          </m:sSup>
          <m: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verify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Only cells with valid categorical outputs from both the incumbent and successor versions are included in the paired cross-version analysis.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 [18]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p>
      <w:pPr>
        <w:pStyle w:val="Heading1"/>
      </w:pPr>
      <w:bookmarkStart w:id="32" w:name="experimental-design"/>
      <w:r>
        <w:t xml:space="preserve">Experimental Design</w:t>
      </w:r>
      <w:bookmarkEnd w:id="32"/>
    </w:p>
    <w:p>
      <w:pPr>
        <w:pStyle w:val="Heading2"/>
      </w:pPr>
      <w:bookmarkStart w:id="33" w:name="evaluation-grid"/>
      <w:r>
        <w:t xml:space="preserve">Evaluation Grid</w:t>
      </w:r>
      <w:bookmarkEnd w:id="33"/>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t>×</m:t>
          </m:r>
          <m:r>
            <m:t>12</m:t>
          </m:r>
          <m:r>
            <m:t>×</m:t>
          </m:r>
          <m:r>
            <m:t>3</m:t>
          </m:r>
          <m:r>
            <m:t>=</m:t>
          </m:r>
          <m:r>
            <m:t>3</m:t>
          </m:r>
          <m: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t>,</m:t>
          </m:r>
          <m:r>
            <m:t>600</m:t>
          </m:r>
          <m:r>
            <m:t>×</m:t>
          </m:r>
          <m:r>
            <m:t>2</m:t>
          </m:r>
          <m:r>
            <m:t>=</m:t>
          </m:r>
          <m:r>
            <m:t>7</m:t>
          </m:r>
          <m: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identical list is used for both migrations to support direct comparison of the magnitude and structure of version-induced changes. The set was curated to cover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r>
          <m:t>Z</m:t>
        </m:r>
        <m:r>
          <m:t>″</m:t>
        </m:r>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p>
      <w:pPr>
        <w:pStyle w:val="Heading2"/>
      </w:pPr>
      <w:bookmarkStart w:id="34" w:name="no-lookahead-financial-inputs"/>
      <w:r>
        <w:t xml:space="preserve">No-Lookahead Financial Inputs</w:t>
      </w:r>
      <w:bookmarkEnd w:id="34"/>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ensuring that observed classification differences are attributable to model-version behavior rather than differences in the available information.</w:t>
      </w:r>
    </w:p>
    <w:p>
      <w:pPr>
        <w:pStyle w:val="BodyText"/>
      </w:pPr>
      <w:r>
        <w:t xml:space="preserve">The input document does not disclose the Altman</w:t>
      </w:r>
      <w:r>
        <w:t xml:space="preserve"> </w:t>
      </w:r>
      <m:oMath>
        <m:r>
          <m:t>Z</m:t>
        </m:r>
        <m:r>
          <m:t>″</m:t>
        </m:r>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t>{</m:t>
          </m:r>
          <m:r>
            <m:rPr>
              <m:nor/>
              <m:sty m:val="p"/>
            </m:rPr>
            <m:t>SAFE</m:t>
          </m:r>
          <m:r>
            <m:t>,</m:t>
          </m:r>
          <m:r>
            <m:rPr>
              <m:nor/>
              <m:sty m:val="p"/>
            </m:rPr>
            <m:t>WATCH</m:t>
          </m:r>
          <m:r>
            <m:t>,</m:t>
          </m:r>
          <m:r>
            <m:rPr>
              <m:nor/>
              <m:sty m:val="p"/>
            </m:rPr>
            <m:t>DISTRESS</m:t>
          </m:r>
          <m:r>
            <m:t>}</m:t>
          </m:r>
          <m: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p>
      <w:pPr>
        <w:pStyle w:val="Heading2"/>
      </w:pPr>
      <w:bookmarkStart w:id="35" w:name="rule-based-credit-health-reference"/>
      <w:r>
        <w:t xml:space="preserve">Rule-Based Credit-Health Reference</w:t>
      </w:r>
      <w:bookmarkEnd w:id="35"/>
    </w:p>
    <w:p>
      <w:pPr>
        <w:pStyle w:val="FirstParagraph"/>
      </w:pPr>
      <w:r>
        <w:t xml:space="preserve">The secondary accuracy analysis uses a deterministic, rule-based credit-health reference proxy derived from the Altman</w:t>
      </w:r>
      <w:r>
        <w:t xml:space="preserve"> </w:t>
      </w:r>
      <m:oMath>
        <m:r>
          <m:t>Z</m:t>
        </m:r>
        <m:r>
          <m:t>″</m:t>
        </m:r>
      </m:oMath>
      <w:r>
        <w:t xml:space="preserve"> </w:t>
      </w:r>
      <w:r>
        <w:t xml:space="preserve">model [12]. This reference is reproducible but is not treated as realized default ground truth; it serves only as a reproducible yardstick for the secondary accuracy analysis. For each company–date cell, the reference score is calculated from the same financial statements supplied to the LLMs, but the formula and thresholds are not shown to the models during inference.</w:t>
      </w:r>
    </w:p>
    <w:p>
      <w:pPr>
        <w:pStyle w:val="BodyText"/>
      </w:pPr>
      <w:r>
        <w:t xml:space="preserve">The score is defined as</w:t>
      </w:r>
    </w:p>
    <w:p>
      <w:pPr>
        <w:pStyle w:val="BodyText"/>
      </w:pPr>
      <m:oMathPara>
        <m:oMathParaPr>
          <m:jc m:val="center"/>
        </m:oMathParaPr>
        <m:oMath>
          <m:r>
            <m:t>Z</m:t>
          </m:r>
          <m:r>
            <m:t>″</m:t>
          </m:r>
          <m:r>
            <m:t>=</m:t>
          </m:r>
          <m:r>
            <m:t>6.56</m:t>
          </m:r>
          <m:sSub>
            <m:e>
              <m:r>
                <m:t>X</m:t>
              </m:r>
            </m:e>
            <m:sub>
              <m:r>
                <m:t>1</m:t>
              </m:r>
            </m:sub>
          </m:sSub>
          <m:r>
            <m:t>+</m:t>
          </m:r>
          <m:r>
            <m:t>3.26</m:t>
          </m:r>
          <m:sSub>
            <m:e>
              <m:r>
                <m:t>X</m:t>
              </m:r>
            </m:e>
            <m:sub>
              <m:r>
                <m:t>2</m:t>
              </m:r>
            </m:sub>
          </m:sSub>
          <m:r>
            <m:t>+</m:t>
          </m:r>
          <m:r>
            <m:t>6.72</m:t>
          </m:r>
          <m:sSub>
            <m:e>
              <m:r>
                <m:t>X</m:t>
              </m:r>
            </m:e>
            <m:sub>
              <m:r>
                <m:t>3</m:t>
              </m:r>
            </m:sub>
          </m:sSub>
          <m:r>
            <m:t>+</m:t>
          </m:r>
          <m:r>
            <m:t>1.05</m:t>
          </m:r>
          <m:sSub>
            <m:e>
              <m:r>
                <m:t>X</m:t>
              </m:r>
            </m:e>
            <m:sub>
              <m:r>
                <m:t>4</m:t>
              </m:r>
            </m:sub>
          </m:sSub>
          <m:r>
            <m:t>,</m:t>
          </m:r>
        </m:oMath>
      </m:oMathPara>
    </w:p>
    <w:p>
      <w:pPr>
        <w:pStyle w:val="FirstParagraph"/>
      </w:pPr>
      <w:r>
        <w:t xml:space="preserve">where</w:t>
      </w:r>
    </w:p>
    <w:p>
      <w:pPr>
        <w:pStyle w:val="BodyText"/>
      </w:pPr>
      <m:oMathPara>
        <m:oMathParaPr>
          <m:jc m:val="center"/>
        </m:oMathParaPr>
        <m:oMath>
          <m:m>
            <m:mPr>
              <m:baseJc m:val="center"/>
              <m:plcHide m:val="1"/>
              <m:mcs>
                <m:mc>
                  <m:mcPr>
                    <m:mcJc m:val="right"/>
                    <m:count m:val="1"/>
                  </m:mcPr>
                </m:mc>
                <m:mc>
                  <m:mcPr>
                    <m:mcJc m:val="left"/>
                    <m:count m:val="1"/>
                  </m:mcPr>
                </m:mc>
              </m:mcs>
            </m:mPr>
            <m:mr>
              <m:e>
                <m:sSub>
                  <m:e>
                    <m:r>
                      <m:t>X</m:t>
                    </m:r>
                  </m:e>
                  <m:sub>
                    <m:r>
                      <m:t>1</m:t>
                    </m:r>
                  </m:sub>
                </m:sSub>
              </m:e>
              <m:e>
                <m:r>
                  <m:t>=</m:t>
                </m:r>
                <m:f>
                  <m:fPr>
                    <m:type m:val="bar"/>
                  </m:fPr>
                  <m:num>
                    <m:r>
                      <m:rPr>
                        <m:nor/>
                        <m:sty m:val="p"/>
                      </m:rPr>
                      <m:t>Working Capital</m:t>
                    </m:r>
                  </m:num>
                  <m:den>
                    <m:r>
                      <m:rPr>
                        <m:nor/>
                        <m:sty m:val="p"/>
                      </m:rPr>
                      <m:t>Total Assets</m:t>
                    </m:r>
                  </m:den>
                </m:f>
                <m:r>
                  <m:t>,</m:t>
                </m:r>
              </m:e>
            </m:mr>
            <m:mr>
              <m:e>
                <m:sSub>
                  <m:e>
                    <m:r>
                      <m:t>X</m:t>
                    </m:r>
                  </m:e>
                  <m:sub>
                    <m:r>
                      <m:t>2</m:t>
                    </m:r>
                  </m:sub>
                </m:sSub>
              </m:e>
              <m:e>
                <m:r>
                  <m:t>=</m:t>
                </m:r>
                <m:f>
                  <m:fPr>
                    <m:type m:val="bar"/>
                  </m:fPr>
                  <m:num>
                    <m:r>
                      <m:rPr>
                        <m:nor/>
                        <m:sty m:val="p"/>
                      </m:rPr>
                      <m:t>Retained Earnings</m:t>
                    </m:r>
                  </m:num>
                  <m:den>
                    <m:r>
                      <m:rPr>
                        <m:nor/>
                        <m:sty m:val="p"/>
                      </m:rPr>
                      <m:t>Total Assets</m:t>
                    </m:r>
                  </m:den>
                </m:f>
                <m:r>
                  <m:t>,</m:t>
                </m:r>
              </m:e>
            </m:mr>
            <m:mr>
              <m:e>
                <m:sSub>
                  <m:e>
                    <m:r>
                      <m:t>X</m:t>
                    </m:r>
                  </m:e>
                  <m:sub>
                    <m:r>
                      <m:t>3</m:t>
                    </m:r>
                  </m:sub>
                </m:sSub>
              </m:e>
              <m:e>
                <m:r>
                  <m:t>=</m:t>
                </m:r>
                <m:f>
                  <m:fPr>
                    <m:type m:val="bar"/>
                  </m:fPr>
                  <m:num>
                    <m:r>
                      <m:rPr>
                        <m:nor/>
                        <m:sty m:val="p"/>
                      </m:rPr>
                      <m:t>EBIT</m:t>
                    </m:r>
                  </m:num>
                  <m:den>
                    <m:r>
                      <m:rPr>
                        <m:nor/>
                        <m:sty m:val="p"/>
                      </m:rPr>
                      <m:t>Total Assets</m:t>
                    </m:r>
                  </m:den>
                </m:f>
                <m:r>
                  <m:t>,</m:t>
                </m:r>
              </m:e>
            </m:mr>
            <m:mr>
              <m:e>
                <m:sSub>
                  <m:e>
                    <m:r>
                      <m:t>X</m:t>
                    </m:r>
                  </m:e>
                  <m:sub>
                    <m:r>
                      <m:t>4</m:t>
                    </m:r>
                  </m:sub>
                </m:sSub>
              </m:e>
              <m:e>
                <m:r>
                  <m:t>=</m:t>
                </m:r>
                <m:f>
                  <m:fPr>
                    <m:type m:val="bar"/>
                  </m:fPr>
                  <m:num>
                    <m:r>
                      <m:rPr>
                        <m:nor/>
                        <m:sty m:val="p"/>
                      </m:rPr>
                      <m:t>Book Value of Equity</m:t>
                    </m:r>
                  </m:num>
                  <m:den>
                    <m:r>
                      <m:rPr>
                        <m:nor/>
                        <m:sty m:val="p"/>
                      </m:rPr>
                      <m:t>Total Liabilities</m:t>
                    </m:r>
                  </m:den>
                </m:f>
                <m:r>
                  <m:t>.</m:t>
                </m:r>
              </m:e>
            </m:mr>
          </m:m>
        </m:oMath>
      </m:oMathPara>
    </w:p>
    <w:p>
      <w:pPr>
        <w:pStyle w:val="FirstParagraph"/>
      </w:pPr>
      <w:r>
        <w:t xml:space="preserve">The resulting score is mapped to the three credit-health categories using the revised</w:t>
      </w:r>
      <w:r>
        <w:t xml:space="preserve"> </w:t>
      </w:r>
      <m:oMath>
        <m:r>
          <m:t>Z</m:t>
        </m:r>
        <m:r>
          <m:t>″</m:t>
        </m:r>
      </m:oMath>
      <w:r>
        <w:t xml:space="preserve"> </w:t>
      </w:r>
      <w:r>
        <w:t xml:space="preserve">thresholds:</w:t>
      </w:r>
    </w:p>
    <w:p>
      <w:pPr>
        <w:pStyle w:val="BodyText"/>
      </w:pPr>
      <m:oMathPara>
        <m:oMathParaPr>
          <m:jc m:val="center"/>
        </m:oMathParaPr>
        <m:oMath>
          <m:sSubSup>
            <m:e>
              <m:r>
                <m:t>y</m:t>
              </m:r>
            </m:e>
            <m:sub>
              <m:r>
                <m:t>j</m:t>
              </m:r>
              <m:r>
                <m:t>,</m:t>
              </m:r>
              <m:r>
                <m:t>t</m:t>
              </m:r>
            </m:sub>
            <m:sup>
              <m:r>
                <m:t>*</m:t>
              </m:r>
            </m:sup>
          </m:sSubSup>
          <m:r>
            <m:t>=</m:t>
          </m:r>
          <m:d>
            <m:dPr>
              <m:begChr m:val="{"/>
              <m:endChr m:val=""/>
              <m:grow/>
            </m:dPr>
            <m:e>
              <m:m>
                <m:mPr>
                  <m:baseJc m:val="center"/>
                  <m:plcHide m:val="1"/>
                  <m:mcs>
                    <m:mc>
                      <m:mcPr>
                        <m:mcJc m:val="left"/>
                        <m:count m:val="1"/>
                      </m:mcPr>
                    </m:mc>
                    <m:mc>
                      <m:mcPr>
                        <m:mcJc m:val="left"/>
                        <m:count m:val="1"/>
                      </m:mcPr>
                    </m:mc>
                  </m:mcs>
                </m:mPr>
                <m:mr>
                  <m:e>
                    <m:r>
                      <m:rPr>
                        <m:nor/>
                        <m:sty m:val="p"/>
                      </m:rPr>
                      <m:t>SAFE</m:t>
                    </m:r>
                    <m:r>
                      <m:t>,</m:t>
                    </m:r>
                  </m:e>
                  <m:e>
                    <m:r>
                      <m:t>Z</m:t>
                    </m:r>
                    <m:sSub>
                      <m:e>
                        <m:r>
                          <m:t>″</m:t>
                        </m:r>
                      </m:e>
                      <m:sub>
                        <m:r>
                          <m:t>j</m:t>
                        </m:r>
                        <m:r>
                          <m:t>,</m:t>
                        </m:r>
                        <m:r>
                          <m:t>t</m:t>
                        </m:r>
                      </m:sub>
                    </m:sSub>
                    <m:r>
                      <m:t>&gt;</m:t>
                    </m:r>
                    <m:r>
                      <m:t>2.6</m:t>
                    </m:r>
                    <m:r>
                      <m:t>,</m:t>
                    </m:r>
                  </m:e>
                </m:mr>
                <m:mr>
                  <m:e>
                    <m:r>
                      <m:rPr>
                        <m:nor/>
                        <m:sty m:val="p"/>
                      </m:rPr>
                      <m:t>WATCH</m:t>
                    </m:r>
                    <m:r>
                      <m:t>,</m:t>
                    </m:r>
                  </m:e>
                  <m:e>
                    <m:r>
                      <m:t>1.1</m:t>
                    </m:r>
                    <m:r>
                      <m:t>≤</m:t>
                    </m:r>
                    <m:r>
                      <m:t>Z</m:t>
                    </m:r>
                    <m:sSub>
                      <m:e>
                        <m:r>
                          <m:t>″</m:t>
                        </m:r>
                      </m:e>
                      <m:sub>
                        <m:r>
                          <m:t>j</m:t>
                        </m:r>
                        <m:r>
                          <m:t>,</m:t>
                        </m:r>
                        <m:r>
                          <m:t>t</m:t>
                        </m:r>
                      </m:sub>
                    </m:sSub>
                    <m:r>
                      <m:t>≤</m:t>
                    </m:r>
                    <m:r>
                      <m:t>2.6</m:t>
                    </m:r>
                    <m:r>
                      <m:t>,</m:t>
                    </m:r>
                  </m:e>
                </m:mr>
                <m:mr>
                  <m:e>
                    <m:r>
                      <m:rPr>
                        <m:nor/>
                        <m:sty m:val="p"/>
                      </m:rPr>
                      <m:t>DISTRESS</m:t>
                    </m:r>
                    <m:r>
                      <m:t>,</m:t>
                    </m:r>
                  </m:e>
                  <m:e>
                    <m:r>
                      <m:t>Z</m:t>
                    </m:r>
                    <m:sSub>
                      <m:e>
                        <m:r>
                          <m:t>″</m:t>
                        </m:r>
                      </m:e>
                      <m:sub>
                        <m:r>
                          <m:t>j</m:t>
                        </m:r>
                        <m:r>
                          <m:t>,</m:t>
                        </m:r>
                        <m:r>
                          <m:t>t</m:t>
                        </m:r>
                      </m:sub>
                    </m:sSub>
                    <m:r>
                      <m:t>&lt;</m:t>
                    </m:r>
                    <m:r>
                      <m:t>1.1</m:t>
                    </m:r>
                    <m: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 [11]. The reference proxy is deterministic and reproducible for every company–date observation, allowing classification performance to be evaluated without relying on subjective analyst judgments, 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r>
          <m:t>Z</m:t>
        </m:r>
        <m:r>
          <m:t>″</m:t>
        </m:r>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p>
      <w:pPr>
        <w:pStyle w:val="Heading2"/>
      </w:pPr>
      <w:bookmarkStart w:id="36" w:name="models-and-migration-pairs"/>
      <w:r>
        <w:t xml:space="preserve">Models and Migration Pairs</w:t>
      </w:r>
      <w:bookmarkEnd w:id="36"/>
    </w:p>
    <w:p>
      <w:pPr>
        <w:pStyle w:val="FirstParagraph"/>
      </w:pPr>
      <w:r>
        <w:t xml:space="preserve">The study evaluates two vendor-declared model-version migrations, each involving an incumbent model and a vendor-positioned successor version. Exact snapshot identifiers are recorded and treated as experimental artifacts so that the analysis refers to specific deployed versions rather than broader model-family names, whose capabilities providers typically document only at the level of aggregate technical reports [29].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 [33, 34]. The successor versions actually evaluated are fixed by the frozen experiment and are reported as run.</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Incumbent version</w:t>
            </w:r>
          </w:p>
        </w:tc>
        <w:tc>
          <w:tcPr>
            <w:tcBorders>
              <w:bottom w:val="single"/>
            </w:tcBorders>
            <w:vAlign w:val="bottom"/>
          </w:tcPr>
          <w:p>
            <w:pPr>
              <w:pStyle w:val="Compact"/>
              <w:jc w:val="left"/>
            </w:pPr>
            <w:r>
              <w:t xml:space="preserve">Successor version</w:t>
            </w:r>
          </w:p>
        </w:tc>
        <w:tc>
          <w:tcPr>
            <w:tcBorders>
              <w:bottom w:val="single"/>
            </w:tcBorders>
            <w:vAlign w:val="bottom"/>
          </w:tcPr>
          <w:p>
            <w:pPr>
              <w:pStyle w:val="Compact"/>
              <w:jc w:val="left"/>
            </w:pPr>
            <w:r>
              <w:t xml:space="preserve">Announced shutdown date</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rPr>
                <w:rStyle w:val="VerbatimChar"/>
              </w:rPr>
              <w:t xml:space="preserve">gpt-5.4-nano</w:t>
            </w:r>
          </w:p>
        </w:tc>
        <w:tc>
          <w:p>
            <w:pPr>
              <w:pStyle w:val="Compact"/>
              <w:jc w:val="left"/>
            </w:pPr>
            <w:r>
              <w:t xml:space="preserve">December 11, 2026</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rPr>
                <w:rStyle w:val="VerbatimChar"/>
              </w:rPr>
              <w:t xml:space="preserve">gemini-3.5-flash</w:t>
            </w:r>
          </w:p>
        </w:tc>
        <w:tc>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t>∈</m:t>
        </m:r>
        <m:r>
          <m:t>{</m:t>
        </m:r>
        <m:r>
          <m:t>0</m:t>
        </m:r>
        <m:r>
          <m:t>,</m:t>
        </m:r>
        <m:r>
          <m:t>0.7</m:t>
        </m:r>
        <m:r>
          <m:t>,</m:t>
        </m:r>
        <m:r>
          <m:t>1.0</m:t>
        </m:r>
        <m: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p>
      <w:pPr>
        <w:pStyle w:val="Heading2"/>
      </w:pPr>
      <w:bookmarkStart w:id="37" w:name="subsec:freeze"/>
      <w:r>
        <w:t xml:space="preserve">Preregistration, Data Freezing, and Reproducibility</w:t>
      </w:r>
      <w:bookmarkEnd w:id="37"/>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p>
      <w:pPr>
        <w:pStyle w:val="Heading1"/>
      </w:pPr>
      <w:bookmarkStart w:id="38" w:name="results"/>
      <w:r>
        <w:t xml:space="preserve">Results</w:t>
      </w:r>
      <w:bookmarkEnd w:id="38"/>
    </w:p>
    <w:p>
      <w:pPr>
        <w:pStyle w:val="Heading2"/>
      </w:pPr>
      <w:bookmarkStart w:id="39" w:name="migration-induced-decision-instability"/>
      <w:r>
        <w:t xml:space="preserve">Migration-Induced Decision Instability</w:t>
      </w:r>
      <w:bookmarkEnd w:id="39"/>
    </w:p>
    <w:p>
      <w:pPr>
        <w:pStyle w:val="FirstParagraph"/>
      </w:pPr>
      <w:r>
        <w:t xml:space="preserve">Both evaluated version migrations produce cross-version decision changes substantially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t>=</m:t>
          </m:r>
          <m:r>
            <m:t>0.217</m:t>
          </m:r>
          <m:r>
            <m:t>−</m:t>
          </m:r>
          <m:r>
            <m:t>0.105</m:t>
          </m:r>
          <m:r>
            <m:t>=</m:t>
          </m:r>
          <m:r>
            <m:t>0.112</m:t>
          </m:r>
          <m:r>
            <m:t>,</m:t>
          </m:r>
        </m:oMath>
      </m:oMathPara>
    </w:p>
    <w:p>
      <w:pPr>
        <w:pStyle w:val="FirstParagraph"/>
      </w:pPr>
      <w:r>
        <w:t xml:space="preserve">with a 95% cluster-bootstrap confidence interval of</w:t>
      </w:r>
      <w:r>
        <w:t xml:space="preserve"> </w:t>
      </w:r>
      <m:oMath>
        <m:r>
          <m:t>[</m:t>
        </m:r>
        <m:r>
          <m:t>0.077</m:t>
        </m:r>
        <m:r>
          <m:t>,</m:t>
        </m:r>
        <m:r>
          <m:t> </m:t>
        </m:r>
        <m:r>
          <m:t>0.150</m:t>
        </m:r>
        <m:r>
          <m:t>]</m:t>
        </m:r>
      </m:oMath>
      <w:r>
        <w:t xml:space="preserve">. This represents an 11.2-percentage-point excess above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t>=</m:t>
          </m:r>
          <m:r>
            <m:t>0.389</m:t>
          </m:r>
          <m:r>
            <m:t>−</m:t>
          </m:r>
          <m:r>
            <m:t>0.008</m:t>
          </m:r>
          <m:r>
            <m:t>=</m:t>
          </m:r>
          <m:r>
            <m:t>0.381</m:t>
          </m:r>
          <m:r>
            <m:t>,</m:t>
          </m:r>
        </m:oMath>
      </m:oMathPara>
    </w:p>
    <w:p>
      <w:pPr>
        <w:pStyle w:val="FirstParagraph"/>
      </w:pPr>
      <w:r>
        <w:t xml:space="preserve">with a 95% cluster-bootstrap confidence interval of</w:t>
      </w:r>
      <w:r>
        <w:t xml:space="preserve"> </w:t>
      </w:r>
      <m:oMath>
        <m:r>
          <m:t>[</m:t>
        </m:r>
        <m:r>
          <m:t>0.303</m:t>
        </m:r>
        <m:r>
          <m:t>,</m:t>
        </m:r>
        <m:r>
          <m:t> </m:t>
        </m:r>
        <m:r>
          <m:t>0.458</m:t>
        </m:r>
        <m: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 difference between the two estimates is substantial. The Gemini migration produces an excess flip rate more than three times that of the OpenAI migration. However, both confidence intervals exclude zero, demonstrating that neither result can be explained solely by residual sampling variability within the evaluated versions.</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t>[</m:t>
        </m:r>
        <m:r>
          <m:t>0.060</m:t>
        </m:r>
        <m:r>
          <m:t>,</m:t>
        </m:r>
        <m:r>
          <m:t> </m:t>
        </m:r>
        <m:r>
          <m:t>0.135</m:t>
        </m:r>
        <m:r>
          <m:t>]</m:t>
        </m:r>
      </m:oMath>
      <w:r>
        <w:t xml:space="preserve">, while the Gemini estimate is 0.372 with an interval of</w:t>
      </w:r>
      <w:r>
        <w:t xml:space="preserve"> </w:t>
      </w:r>
      <m:oMath>
        <m:r>
          <m:t>[</m:t>
        </m:r>
        <m:r>
          <m:t>0.295</m:t>
        </m:r>
        <m:r>
          <m:t>,</m:t>
        </m:r>
        <m:r>
          <m:t> </m:t>
        </m:r>
        <m:r>
          <m:t>0.451</m:t>
        </m:r>
        <m:r>
          <m:t>]</m:t>
        </m:r>
      </m:oMath>
      <w:r>
        <w:t xml:space="preserve">. Both remain positive with confidence intervals excluding zero. The primary finding is therefore robust to the method used to define the within-version noise floor.</w:t>
      </w:r>
    </w:p>
    <w:bookmarkStart w:id="40"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pct" w:w="0.0"/>
        <w:tblLook w:firstRow="1"/>
        <w:tblCaption w:val="Primary and secondary results for both migrations (OpenAI 3,490 matched cells; Gemini 3,600)."/>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center"/>
            </w:pPr>
            <w:r>
              <w:t xml:space="preserve">OpenAI</w:t>
            </w:r>
          </w:p>
        </w:tc>
        <w:tc>
          <w:tcPr>
            <w:tcBorders>
              <w:bottom w:val="single"/>
            </w:tcBorders>
            <w:vAlign w:val="bottom"/>
          </w:tcPr>
          <w:p>
            <w:pPr>
              <w:pStyle w:val="Compact"/>
              <w:jc w:val="center"/>
            </w:pPr>
            <w:r>
              <w:t xml:space="preserve">Gemini</w:t>
            </w:r>
          </w:p>
        </w:tc>
      </w:tr>
      <w:tr>
        <w:tc>
          <w:p>
            <w:pPr>
              <w:pStyle w:val="Compact"/>
              <w:jc w:val="left"/>
            </w:pPr>
            <w:r>
              <w:t xml:space="preserve">Excess flip rate (primary)</w:t>
            </w:r>
          </w:p>
        </w:tc>
        <w:tc>
          <w:p>
            <w:pPr>
              <w:pStyle w:val="Compact"/>
              <w:jc w:val="center"/>
            </w:pPr>
            <w:r>
              <w:t xml:space="preserve">0.112</w:t>
            </w:r>
          </w:p>
        </w:tc>
        <w:tc>
          <w:p>
            <w:pPr>
              <w:pStyle w:val="Compact"/>
              <w:jc w:val="center"/>
            </w:pPr>
            <w:r>
              <w:t xml:space="preserve">0.381</w:t>
            </w:r>
          </w:p>
        </w:tc>
      </w:tr>
      <w:tr>
        <w:tc>
          <w:p>
            <w:pPr>
              <w:pStyle w:val="Compact"/>
              <w:jc w:val="left"/>
            </w:pPr>
            <w:r>
              <w:t xml:space="preserve">% CI</w:t>
            </w:r>
          </w:p>
        </w:tc>
        <w:tc>
          <w:p>
            <w:pPr>
              <w:pStyle w:val="Compact"/>
              <w:jc w:val="center"/>
            </w:pPr>
            <w:r>
              <w:t xml:space="preserve">[.077,.150]</w:t>
            </w:r>
          </w:p>
        </w:tc>
        <w:tc>
          <w:p>
            <w:pPr>
              <w:pStyle w:val="Compact"/>
              <w:jc w:val="center"/>
            </w:pPr>
            <w:r>
              <w:t xml:space="preserve">[.303,.458]</w:t>
            </w:r>
          </w:p>
        </w:tc>
      </w:tr>
      <w:tr>
        <w:tc>
          <w:p>
            <w:pPr>
              <w:pStyle w:val="Compact"/>
              <w:jc w:val="left"/>
            </w:pPr>
            <w:r>
              <w:t xml:space="preserve">cross-version flip</w:t>
            </w:r>
          </w:p>
        </w:tc>
        <w:tc>
          <w:p>
            <w:pPr>
              <w:pStyle w:val="Compact"/>
              <w:jc w:val="center"/>
            </w:pPr>
            <w:r>
              <w:t xml:space="preserve">0.217</w:t>
            </w:r>
          </w:p>
        </w:tc>
        <w:tc>
          <w:p>
            <w:pPr>
              <w:pStyle w:val="Compact"/>
              <w:jc w:val="center"/>
            </w:pPr>
            <w:r>
              <w:t xml:space="preserve">0.389</w:t>
            </w:r>
          </w:p>
        </w:tc>
      </w:tr>
      <w:tr>
        <w:tc>
          <w:p>
            <w:pPr>
              <w:pStyle w:val="Compact"/>
              <w:jc w:val="left"/>
            </w:pPr>
            <w:r>
              <w:t xml:space="preserve">within-version floor (pooled)</w:t>
            </w:r>
          </w:p>
        </w:tc>
        <w:tc>
          <w:p>
            <w:pPr>
              <w:pStyle w:val="Compact"/>
              <w:jc w:val="center"/>
            </w:pPr>
            <w:r>
              <w:t xml:space="preserve">0.105</w:t>
            </w:r>
          </w:p>
        </w:tc>
        <w:tc>
          <w:p>
            <w:pPr>
              <w:pStyle w:val="Compact"/>
              <w:jc w:val="center"/>
            </w:pPr>
            <w:r>
              <w:t xml:space="preserve">0.008</w:t>
            </w:r>
          </w:p>
        </w:tc>
      </w:tr>
      <w:tr>
        <w:tc>
          <w:p>
            <w:pPr>
              <w:pStyle w:val="Compact"/>
              <w:jc w:val="left"/>
            </w:pPr>
            <w:r>
              <w:t xml:space="preserve">floor old / new</w:t>
            </w:r>
          </w:p>
        </w:tc>
        <w:tc>
          <w:p>
            <w:pPr>
              <w:pStyle w:val="Compact"/>
              <w:jc w:val="center"/>
            </w:pPr>
            <w:r>
              <w:t xml:space="preserve">.120/.090</w:t>
            </w:r>
          </w:p>
        </w:tc>
        <w:tc>
          <w:p>
            <w:pPr>
              <w:pStyle w:val="Compact"/>
              <w:jc w:val="center"/>
            </w:pPr>
            <w:r>
              <w:t xml:space="preserve">.016/.000</w:t>
            </w:r>
          </w:p>
        </w:tc>
      </w:tr>
      <w:tr>
        <w:tc>
          <w:p>
            <w:pPr>
              <w:pStyle w:val="Compact"/>
              <w:jc w:val="left"/>
            </w:pPr>
            <w:r>
              <w:t xml:space="preserve">excess,</w:t>
            </w:r>
            <w:r>
              <w:t xml:space="preserve"> </w:t>
            </w:r>
            <m:oMath>
              <m:r>
                <m:rPr>
                  <m:nor/>
                  <m:sty m:val="p"/>
                </m:rPr>
                <m:t>max</m:t>
              </m:r>
            </m:oMath>
            <w:r>
              <w:t xml:space="preserve"> </w:t>
            </w:r>
            <w:r>
              <w:t xml:space="preserve">floor (95% CI)</w:t>
            </w:r>
          </w:p>
        </w:tc>
        <w:tc>
          <w:p>
            <w:pPr>
              <w:pStyle w:val="Compact"/>
              <w:jc w:val="center"/>
            </w:pPr>
            <w:r>
              <w:t xml:space="preserve">.097 [.06,.13]</w:t>
            </w:r>
          </w:p>
        </w:tc>
        <w:tc>
          <w:p>
            <w:pPr>
              <w:pStyle w:val="Compact"/>
              <w:jc w:val="center"/>
            </w:pPr>
            <w:r>
              <w:t xml:space="preserve">.372 [.30,.45]</w:t>
            </w:r>
          </w:p>
        </w:tc>
      </w:tr>
      <w:tr>
        <w:tc>
          <w:p>
            <w:pPr>
              <w:pStyle w:val="Compact"/>
              <w:jc w:val="left"/>
            </w:pPr>
            <w:r>
              <w:t xml:space="preserve">Marginal (rating-mix) shift</w:t>
            </w:r>
          </w:p>
        </w:tc>
        <w:tc>
          <w:p>
            <w:pPr>
              <w:pStyle w:val="Compact"/>
              <w:jc w:val="center"/>
            </w:pPr>
            <w:r>
              <w:t xml:space="preserve">0.095</w:t>
            </w:r>
          </w:p>
        </w:tc>
        <w:tc>
          <w:p>
            <w:pPr>
              <w:pStyle w:val="Compact"/>
              <w:jc w:val="center"/>
            </w:pPr>
            <w:r>
              <w:t xml:space="preserve">0.319</w:t>
            </w:r>
          </w:p>
        </w:tc>
      </w:tr>
      <w:tr>
        <w:tc>
          <w:p>
            <w:pPr>
              <w:pStyle w:val="Compact"/>
              <w:jc w:val="left"/>
            </w:pPr>
            <w:r>
              <w:t xml:space="preserve">Residual company-level churn</w:t>
            </w:r>
          </w:p>
        </w:tc>
        <w:tc>
          <w:p>
            <w:pPr>
              <w:pStyle w:val="Compact"/>
              <w:jc w:val="center"/>
            </w:pPr>
            <w:r>
              <w:t xml:space="preserve">0.122</w:t>
            </w:r>
          </w:p>
        </w:tc>
        <w:tc>
          <w:p>
            <w:pPr>
              <w:pStyle w:val="Compact"/>
              <w:jc w:val="center"/>
            </w:pPr>
            <w:r>
              <w:t xml:space="preserve">0.070</w:t>
            </w:r>
          </w:p>
        </w:tc>
      </w:tr>
      <w:tr>
        <w:tc>
          <w:p>
            <w:pPr>
              <w:pStyle w:val="Compact"/>
              <w:jc w:val="left"/>
            </w:pPr>
            <w:r>
              <w:t xml:space="preserve">churn 95% CI</w:t>
            </w:r>
          </w:p>
        </w:tc>
        <w:tc>
          <w:p>
            <w:pPr>
              <w:pStyle w:val="Compact"/>
              <w:jc w:val="center"/>
            </w:pPr>
            <w:r>
              <w:t xml:space="preserve">[.083,.161]</w:t>
            </w:r>
          </w:p>
        </w:tc>
        <w:tc>
          <w:p>
            <w:pPr>
              <w:pStyle w:val="Compact"/>
              <w:jc w:val="center"/>
            </w:pPr>
            <w:r>
              <w:t xml:space="preserve">[.029,.120]</w:t>
            </w:r>
          </w:p>
        </w:tc>
      </w:tr>
      <w:tr>
        <w:tc>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p>
            <w:pPr>
              <w:pStyle w:val="Compact"/>
              <w:jc w:val="center"/>
            </w:pPr>
            <w:r>
              <w:t xml:space="preserve">.60/.60/.70</w:t>
            </w:r>
          </w:p>
        </w:tc>
        <w:tc>
          <w:p>
            <w:pPr>
              <w:pStyle w:val="Compact"/>
              <w:jc w:val="center"/>
            </w:pPr>
            <w:r>
              <w:t xml:space="preserve">.33/.27/.47</w:t>
            </w:r>
          </w:p>
        </w:tc>
      </w:tr>
      <w:tr>
        <w:tc>
          <w:p>
            <w:pPr>
              <w:pStyle w:val="Compact"/>
              <w:jc w:val="left"/>
            </w:pPr>
            <w:r>
              <w:t xml:space="preserve">McNemar drift (</w:t>
            </w:r>
            <m:oMath>
              <m:r>
                <m:t>p</m:t>
              </m:r>
            </m:oMath>
            <w:r>
              <w:t xml:space="preserve">)</w:t>
            </w:r>
          </w:p>
        </w:tc>
        <w:tc>
          <w:p>
            <w:pPr>
              <w:pStyle w:val="Compact"/>
              <w:jc w:val="center"/>
            </w:pPr>
            <m:oMath>
              <m:r>
                <m:t>6</m:t>
              </m:r>
              <m:r>
                <m:t>×</m:t>
              </m:r>
              <m:sSup>
                <m:e>
                  <m:r>
                    <m:t>10</m:t>
                  </m:r>
                </m:e>
                <m:sup>
                  <m:r>
                    <m:t>−</m:t>
                  </m:r>
                  <m:r>
                    <m:t>18</m:t>
                  </m:r>
                </m:sup>
              </m:sSup>
            </m:oMath>
          </w:p>
        </w:tc>
        <w:tc>
          <w:p>
            <w:pPr>
              <w:pStyle w:val="Compact"/>
              <w:jc w:val="center"/>
            </w:pPr>
            <m:oMath>
              <m:r>
                <m:t>1.4</m:t>
              </m:r>
              <m:r>
                <m:t>×</m:t>
              </m:r>
              <m:sSup>
                <m:e>
                  <m:r>
                    <m:t>10</m:t>
                  </m:r>
                </m:e>
                <m:sup>
                  <m:r>
                    <m:t>−</m:t>
                  </m:r>
                  <m:r>
                    <m:t>59</m:t>
                  </m:r>
                </m:sup>
              </m:sSup>
            </m:oMath>
          </w:p>
        </w:tc>
      </w:tr>
      <w:tr>
        <w:tc>
          <w:p>
            <w:pPr>
              <w:pStyle w:val="Compact"/>
              <w:jc w:val="left"/>
            </w:pPr>
            <w:r>
              <w:t xml:space="preserve">Drift direction</w:t>
            </w:r>
          </w:p>
        </w:tc>
        <w:tc>
          <w:p>
            <w:pPr>
              <w:pStyle w:val="Compact"/>
              <w:jc w:val="center"/>
            </w:pPr>
            <w:r>
              <w:t xml:space="preserve">DISTRESS</w:t>
            </w:r>
          </w:p>
        </w:tc>
        <w:tc>
          <w:p>
            <w:pPr>
              <w:pStyle w:val="Compact"/>
              <w:jc w:val="center"/>
            </w:pPr>
            <w:r>
              <w:t xml:space="preserve">SAFE</w:t>
            </w:r>
          </w:p>
        </w:tc>
      </w:tr>
      <w:tr>
        <w:tc>
          <w:p>
            <w:pPr>
              <w:pStyle w:val="Compact"/>
              <w:jc w:val="left"/>
            </w:pPr>
            <w:r>
              <w:t xml:space="preserve">Hit-rate old/new (chance .33)</w:t>
            </w:r>
          </w:p>
        </w:tc>
        <w:tc>
          <w:p>
            <w:pPr>
              <w:pStyle w:val="Compact"/>
              <w:jc w:val="center"/>
            </w:pPr>
            <w:r>
              <w:t xml:space="preserve">.54/.56</w:t>
            </w:r>
          </w:p>
        </w:tc>
        <w:tc>
          <w:p>
            <w:pPr>
              <w:pStyle w:val="Compact"/>
              <w:jc w:val="center"/>
            </w:pPr>
            <w:r>
              <w:t xml:space="preserve">.49/.43</w:t>
            </w:r>
          </w:p>
        </w:tc>
      </w:tr>
      <w:tr>
        <w:tc>
          <w:p>
            <w:pPr>
              <w:pStyle w:val="Compact"/>
              <w:jc w:val="left"/>
            </w:pPr>
            <w:r>
              <w:t xml:space="preserve">Balanced acc. old/new</w:t>
            </w:r>
          </w:p>
        </w:tc>
        <w:tc>
          <w:p>
            <w:pPr>
              <w:pStyle w:val="Compact"/>
              <w:jc w:val="center"/>
            </w:pPr>
            <w:r>
              <w:t xml:space="preserve">.54/.57</w:t>
            </w:r>
          </w:p>
        </w:tc>
        <w:tc>
          <w:p>
            <w:pPr>
              <w:pStyle w:val="Compact"/>
              <w:jc w:val="center"/>
            </w:pPr>
            <w:r>
              <w:t xml:space="preserve">.49/.41</w:t>
            </w:r>
          </w:p>
        </w:tc>
      </w:tr>
      <w:tr>
        <w:tc>
          <w:p>
            <w:pPr>
              <w:pStyle w:val="Compact"/>
              <w:jc w:val="left"/>
            </w:pPr>
            <w:r>
              <w:t xml:space="preserve">Macro-F1 old/new (baseline .36)</w:t>
            </w:r>
          </w:p>
        </w:tc>
        <w:tc>
          <w:p>
            <w:pPr>
              <w:pStyle w:val="Compact"/>
              <w:jc w:val="center"/>
            </w:pPr>
            <w:r>
              <w:t xml:space="preserve">.52/.57</w:t>
            </w:r>
          </w:p>
        </w:tc>
        <w:tc>
          <w:p>
            <w:pPr>
              <w:pStyle w:val="Compact"/>
              <w:jc w:val="center"/>
            </w:pPr>
            <w:r>
              <w:t xml:space="preserve">.46/.32</w:t>
            </w:r>
          </w:p>
        </w:tc>
      </w:tr>
      <w:tr>
        <w:tc>
          <w:p>
            <w:pPr>
              <w:pStyle w:val="Compact"/>
              <w:jc w:val="left"/>
            </w:pPr>
            <w:r>
              <w:t xml:space="preserve">Flip-cond. accuracy</w:t>
            </w:r>
            <w:r>
              <w:t xml:space="preserve"> </w:t>
            </w:r>
            <m:oMath>
              <m:r>
                <m:t>Δ</m:t>
              </m:r>
            </m:oMath>
          </w:p>
        </w:tc>
        <w:tc>
          <w:p>
            <w:pPr>
              <w:pStyle w:val="Compact"/>
              <w:jc w:val="center"/>
            </w:pPr>
            <m:oMath>
              <m:r>
                <m:t>+</m:t>
              </m:r>
              <m:r>
                <m:t>0.124</m:t>
              </m:r>
            </m:oMath>
          </w:p>
        </w:tc>
        <w:tc>
          <w:p>
            <w:pPr>
              <w:pStyle w:val="Compact"/>
              <w:jc w:val="center"/>
            </w:pPr>
            <m:oMath>
              <m:r>
                <m:t>−</m:t>
              </m:r>
              <m:r>
                <m:t>0.179</m:t>
              </m:r>
            </m:oMath>
          </w:p>
        </w:tc>
      </w:tr>
    </w:tbl>
    <w:bookmarkEnd w:id="40"/>
    <w:p>
      <w:pPr>
        <w:pStyle w:val="CaptionedFigure"/>
      </w:pPr>
      <w:bookmarkStart w:id="42" w:name="fig:forest"/>
      <w:r>
        <w:drawing>
          <wp:inline>
            <wp:extent cx="5334000" cy="2133600"/>
            <wp:effectExtent b="0" l="0" r="0" t="0"/>
            <wp:docPr descr="Excess flip rate (cross-version minus within-version noise floor) with 95% CI for both migrations; both intervals exclude zero." title="" id="1" name="Picture"/>
            <a:graphic>
              <a:graphicData uri="http://schemas.openxmlformats.org/drawingml/2006/picture">
                <pic:pic>
                  <pic:nvPicPr>
                    <pic:cNvPr descr="fig1_excess_forest.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bookmarkEnd w:id="42"/>
    </w:p>
    <w:p>
      <w:pPr>
        <w:pStyle w:val="ImageCaption"/>
      </w:pPr>
      <w:r>
        <w:t xml:space="preserve">Excess flip rate (cross-version minus within-version noise floor) with 95% CI for both migrations; both intervals exclude zero.</w:t>
      </w:r>
    </w:p>
    <w:p>
      <w:pPr>
        <w:pStyle w:val="Heading2"/>
      </w:pPr>
      <w:bookmarkStart w:id="43" w:name="X548a9a61e6a81f935914d2b0aac56287b851b1c"/>
      <w:r>
        <w:t xml:space="preserve">Structural Decomposition of the Migration Effects</w:t>
      </w:r>
      <w:bookmarkEnd w:id="43"/>
    </w:p>
    <w:p>
      <w:pPr>
        <w:pStyle w:val="FirstParagraph"/>
      </w:pPr>
      <w:r>
        <w:t xml:space="preserve">Although both migrations produce statistically significant excess flip rates, the underlying structure of the decision changes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t>[</m:t>
        </m:r>
        <m:r>
          <m:t>0.083</m:t>
        </m:r>
        <m:r>
          <m:t>,</m:t>
        </m:r>
        <m:r>
          <m:t> </m:t>
        </m:r>
        <m:r>
          <m:t>0.161</m:t>
        </m:r>
        <m: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t>[</m:t>
        </m:r>
        <m:r>
          <m:t>0.029</m:t>
        </m:r>
        <m:r>
          <m:t>,</m:t>
        </m:r>
        <m:r>
          <m:t> </m:t>
        </m:r>
        <m:r>
          <m:t>0.120</m:t>
        </m:r>
        <m: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t>&gt;</m:t>
          </m:r>
          <m:r>
            <m:t>M</m:t>
          </m:r>
          <m:r>
            <m:t>,</m:t>
          </m:r>
          <m:r>
            <m:t>  </m:t>
          </m:r>
          <m:r>
            <m:rPr>
              <m:nor/>
              <m:sty m:val="p"/>
            </m:rPr>
            <m:t>Gemini: </m:t>
          </m:r>
          <m:r>
            <m:t>M</m:t>
          </m:r>
          <m:r>
            <m:t>≫</m:t>
          </m:r>
          <m:r>
            <m:t>C</m:t>
          </m:r>
          <m: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through company-level reassessment and the other through broad movement in the portfolio’s rating distribution.</w:t>
      </w:r>
    </w:p>
    <w:p>
      <w:pPr>
        <w:pStyle w:val="CaptionedFigure"/>
      </w:pPr>
      <w:bookmarkStart w:id="45" w:name="fig:prev"/>
      <w:r>
        <w:drawing>
          <wp:inline>
            <wp:extent cx="5334000" cy="2667000"/>
            <wp:effectExtent b="0" l="0" r="0" t="0"/>
            <wp:docPr descr="Prevalence decomposition of the gross flip into a marginal (rating-mix) shift and residual company-level churn. OpenAI is churn-dominated; Gemini is marginal-dominated." title="" id="1" name="Picture"/>
            <a:graphic>
              <a:graphicData uri="http://schemas.openxmlformats.org/drawingml/2006/picture">
                <pic:pic>
                  <pic:nvPicPr>
                    <pic:cNvPr descr="fig2_prevalence.png" id="0"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bookmarkEnd w:id="45"/>
    </w:p>
    <w:p>
      <w:pPr>
        <w:pStyle w:val="ImageCaption"/>
      </w:pPr>
      <w:r>
        <w:t xml:space="preserve">Prevalence decomposition of the gross flip into a marginal (rating-mix) shift and residual company-level churn. OpenAI is churn-dominated; Gemini is marginal-dominated.</w:t>
      </w:r>
    </w:p>
    <w:p>
      <w:pPr>
        <w:pStyle w:val="Heading2"/>
      </w:pPr>
      <w:bookmarkStart w:id="46" w:name="X2def51ea7881670e744a55979e67deef4d19bce"/>
      <w:r>
        <w:t xml:space="preserve">Directional Drift Across Credit-Health Categories</w:t>
      </w:r>
      <w:bookmarkEnd w:id="46"/>
    </w:p>
    <w:p>
      <w:pPr>
        <w:pStyle w:val="FirstParagraph"/>
      </w:pPr>
      <w:r>
        <w:t xml:space="preserve">The two migrations alter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m>
            <m:mPr>
              <m:baseJc m:val="center"/>
              <m:plcHide m:val="1"/>
              <m:mcs>
                <m:mc>
                  <m:mcPr>
                    <m:mcJc m:val="right"/>
                    <m:count m:val="1"/>
                  </m:mcPr>
                </m:mc>
                <m:mc>
                  <m:mcPr>
                    <m:mcJc m:val="left"/>
                    <m:count m:val="1"/>
                  </m:mcPr>
                </m:mc>
              </m:mcs>
            </m:mPr>
            <m:mr>
              <m:e>
                <m:sSub>
                  <m:e>
                    <m:r>
                      <m:t>p</m:t>
                    </m:r>
                  </m:e>
                  <m:sub>
                    <m:r>
                      <m:rPr>
                        <m:sty m:val="p"/>
                      </m:rPr>
                      <m:t>S</m:t>
                    </m:r>
                    <m:r>
                      <m:rPr>
                        <m:sty m:val="p"/>
                      </m:rPr>
                      <m:t>A</m:t>
                    </m:r>
                    <m:r>
                      <m:rPr>
                        <m:sty m:val="p"/>
                      </m:rPr>
                      <m:t>F</m:t>
                    </m:r>
                    <m:r>
                      <m:rPr>
                        <m:sty m:val="p"/>
                      </m:rPr>
                      <m:t>E</m:t>
                    </m:r>
                  </m:sub>
                </m:sSub>
              </m:e>
              <m:e>
                <m:r>
                  <m:t>:</m:t>
                </m:r>
                <m:r>
                  <m:t>0.304</m:t>
                </m:r>
                <m:r>
                  <m:t>→</m:t>
                </m:r>
                <m:r>
                  <m:t>0.209</m:t>
                </m:r>
                <m:r>
                  <m:t>,</m:t>
                </m:r>
              </m:e>
            </m:mr>
            <m:mr>
              <m:e>
                <m:sSub>
                  <m:e>
                    <m:r>
                      <m:t>p</m:t>
                    </m:r>
                  </m:e>
                  <m:sub>
                    <m:r>
                      <m:rPr>
                        <m:sty m:val="p"/>
                      </m:rPr>
                      <m:t>W</m:t>
                    </m:r>
                    <m:r>
                      <m:rPr>
                        <m:sty m:val="p"/>
                      </m:rPr>
                      <m:t>A</m:t>
                    </m:r>
                    <m:r>
                      <m:rPr>
                        <m:sty m:val="p"/>
                      </m:rPr>
                      <m:t>T</m:t>
                    </m:r>
                    <m:r>
                      <m:rPr>
                        <m:sty m:val="p"/>
                      </m:rPr>
                      <m:t>C</m:t>
                    </m:r>
                    <m:r>
                      <m:rPr>
                        <m:sty m:val="p"/>
                      </m:rPr>
                      <m:t>H</m:t>
                    </m:r>
                  </m:sub>
                </m:sSub>
              </m:e>
              <m:e>
                <m:r>
                  <m:t>:</m:t>
                </m:r>
                <m:r>
                  <m:t>0.588</m:t>
                </m:r>
                <m:r>
                  <m:t>→</m:t>
                </m:r>
                <m:r>
                  <m:t>0.636</m:t>
                </m:r>
                <m:r>
                  <m:t>,</m:t>
                </m:r>
              </m:e>
            </m:mr>
            <m:mr>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e>
              <m:e>
                <m:r>
                  <m:t>:</m:t>
                </m:r>
                <m:r>
                  <m:t>0.108</m:t>
                </m:r>
                <m:r>
                  <m:t>→</m:t>
                </m:r>
                <m:r>
                  <m:t>0.155</m:t>
                </m:r>
                <m:r>
                  <m:t>.</m:t>
                </m:r>
              </m:e>
            </m:mr>
          </m:m>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t>≈</m:t>
          </m:r>
          <m:r>
            <m:t>6</m:t>
          </m:r>
          <m:r>
            <m:t>×</m:t>
          </m:r>
          <m:sSup>
            <m:e>
              <m:r>
                <m:t>10</m:t>
              </m:r>
            </m:e>
            <m:sup>
              <m:r>
                <m:t>−</m:t>
              </m:r>
              <m:r>
                <m:t>18</m:t>
              </m:r>
            </m:sup>
          </m:sSup>
          <m:r>
            <m:t>,</m:t>
          </m:r>
        </m:oMath>
      </m:oMathPara>
    </w:p>
    <w:p>
      <w:pPr>
        <w:pStyle w:val="FirstParagraph"/>
      </w:pPr>
      <w:r>
        <w:t xml:space="preserve">The McNemar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m>
            <m:mPr>
              <m:baseJc m:val="center"/>
              <m:plcHide m:val="1"/>
              <m:mcs>
                <m:mc>
                  <m:mcPr>
                    <m:mcJc m:val="right"/>
                    <m:count m:val="1"/>
                  </m:mcPr>
                </m:mc>
                <m:mc>
                  <m:mcPr>
                    <m:mcJc m:val="left"/>
                    <m:count m:val="1"/>
                  </m:mcPr>
                </m:mc>
              </m:mcs>
            </m:mPr>
            <m:mr>
              <m:e>
                <m:sSub>
                  <m:e>
                    <m:r>
                      <m:t>p</m:t>
                    </m:r>
                  </m:e>
                  <m:sub>
                    <m:r>
                      <m:rPr>
                        <m:sty m:val="p"/>
                      </m:rPr>
                      <m:t>S</m:t>
                    </m:r>
                    <m:r>
                      <m:rPr>
                        <m:sty m:val="p"/>
                      </m:rPr>
                      <m:t>A</m:t>
                    </m:r>
                    <m:r>
                      <m:rPr>
                        <m:sty m:val="p"/>
                      </m:rPr>
                      <m:t>F</m:t>
                    </m:r>
                    <m:r>
                      <m:rPr>
                        <m:sty m:val="p"/>
                      </m:rPr>
                      <m:t>E</m:t>
                    </m:r>
                  </m:sub>
                </m:sSub>
              </m:e>
              <m:e>
                <m:r>
                  <m:t>:</m:t>
                </m:r>
                <m:r>
                  <m:t>0.389</m:t>
                </m:r>
                <m:r>
                  <m:t>→</m:t>
                </m:r>
                <m:r>
                  <m:t>0.708</m:t>
                </m:r>
                <m:r>
                  <m:t>,</m:t>
                </m:r>
              </m:e>
            </m:mr>
            <m:mr>
              <m:e>
                <m:sSub>
                  <m:e>
                    <m:r>
                      <m:t>p</m:t>
                    </m:r>
                  </m:e>
                  <m:sub>
                    <m:r>
                      <m:rPr>
                        <m:sty m:val="p"/>
                      </m:rPr>
                      <m:t>W</m:t>
                    </m:r>
                    <m:r>
                      <m:rPr>
                        <m:sty m:val="p"/>
                      </m:rPr>
                      <m:t>A</m:t>
                    </m:r>
                    <m:r>
                      <m:rPr>
                        <m:sty m:val="p"/>
                      </m:rPr>
                      <m:t>T</m:t>
                    </m:r>
                    <m:r>
                      <m:rPr>
                        <m:sty m:val="p"/>
                      </m:rPr>
                      <m:t>C</m:t>
                    </m:r>
                    <m:r>
                      <m:rPr>
                        <m:sty m:val="p"/>
                      </m:rPr>
                      <m:t>H</m:t>
                    </m:r>
                  </m:sub>
                </m:sSub>
              </m:e>
              <m:e>
                <m:r>
                  <m:t>:</m:t>
                </m:r>
                <m:r>
                  <m:t>0.525</m:t>
                </m:r>
                <m:r>
                  <m:t>→</m:t>
                </m:r>
                <m:r>
                  <m:t>0.281</m:t>
                </m:r>
                <m:r>
                  <m:t>,</m:t>
                </m:r>
              </m:e>
            </m:mr>
            <m:mr>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e>
              <m:e>
                <m:r>
                  <m:t>:</m:t>
                </m:r>
                <m:r>
                  <m:t>0.086</m:t>
                </m:r>
                <m:r>
                  <m:t>→</m:t>
                </m:r>
                <m:r>
                  <m:t>0.012</m:t>
                </m:r>
                <m:r>
                  <m:t>.</m:t>
                </m:r>
              </m:e>
            </m:mr>
          </m:m>
        </m:oMath>
      </m:oMathPara>
    </w:p>
    <w:p>
      <w:pPr>
        <w:pStyle w:val="FirstParagraph"/>
      </w:pPr>
      <w:r>
        <w:t xml:space="preserve">For this migration, the corresponding McNemar test gives</w:t>
      </w:r>
    </w:p>
    <w:p>
      <w:pPr>
        <w:pStyle w:val="BodyText"/>
      </w:pPr>
      <m:oMathPara>
        <m:oMathParaPr>
          <m:jc m:val="center"/>
        </m:oMathParaPr>
        <m:oMath>
          <m:r>
            <m:t>p</m:t>
          </m:r>
          <m:r>
            <m:t>≈</m:t>
          </m:r>
          <m:r>
            <m:t>1.4</m:t>
          </m:r>
          <m:r>
            <m:t>×</m:t>
          </m:r>
          <m:sSup>
            <m:e>
              <m:r>
                <m:t>10</m:t>
              </m:r>
            </m:e>
            <m:sup>
              <m:r>
                <m:t>−</m:t>
              </m:r>
              <m:r>
                <m:t>59</m:t>
              </m:r>
            </m:sup>
          </m:sSup>
          <m:r>
            <m:t>,</m:t>
          </m:r>
        </m:oMath>
      </m:oMathPara>
    </w:p>
    <w:p>
      <w:pPr>
        <w:pStyle w:val="FirstParagraph"/>
      </w:pPr>
      <w:r>
        <w:t xml:space="preserve">The diagnostic is consistent with asymmetric movement away from DISTRESS and toward less severe classifications.</w:t>
      </w:r>
    </w:p>
    <w:p>
      <w:pPr>
        <w:pStyle w:val="BodyText"/>
      </w:pPr>
      <w:r>
        <w:t xml:space="preserve">The full</w:t>
      </w:r>
      <w:r>
        <w:t xml:space="preserve"> </w:t>
      </w:r>
      <m:oMath>
        <m:r>
          <m:t>3</m:t>
        </m:r>
        <m:r>
          <m:t>×</m:t>
        </m:r>
        <m:r>
          <m:t>3</m:t>
        </m:r>
      </m:oMath>
      <w:r>
        <w:t xml:space="preserve"> </w:t>
      </w:r>
      <w:r>
        <w:t xml:space="preserve">transition matrices reinforce these results (Fig. </w:t>
      </w:r>
      <w:hyperlink w:anchor="fig:trans">
        <w:r>
          <w:rPr>
            <w:rStyle w:val="Hyperlink"/>
          </w:rPr>
          <w:t xml:space="preserve">[fig:trans]</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7" w:name="tab:mix"/>
    <w:p>
      <w:pPr>
        <w:pStyle w:val="TableCaption"/>
      </w:pPr>
      <w:r>
        <w:t xml:space="preserve">Credit-label mix before/after each migration. OpenAI shifts toward DISTRESS; Gemini shifts sharply toward SAFE.</w:t>
      </w:r>
    </w:p>
    <w:tbl>
      <w:tblPr>
        <w:tblStyle w:val="Table"/>
        <w:tblW w:type="pct" w:w="0.0"/>
        <w:tblLook w:firstRow="1"/>
        <w:tblCaption w:val="Credit-label mix before/after each migration. OpenAI shifts toward DISTRESS; Gemini shifts sharply toward SAFE."/>
      </w:tblPr>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center"/>
            </w:pPr>
            <w:r>
              <w:t xml:space="preserve">SAFE</w:t>
            </w:r>
          </w:p>
        </w:tc>
        <w:tc>
          <w:tcPr>
            <w:tcBorders>
              <w:bottom w:val="single"/>
            </w:tcBorders>
            <w:vAlign w:val="bottom"/>
          </w:tcPr>
          <w:p>
            <w:pPr>
              <w:pStyle w:val="Compact"/>
              <w:jc w:val="center"/>
            </w:pPr>
            <w:r>
              <w:t xml:space="preserve">WATCH</w:t>
            </w:r>
          </w:p>
        </w:tc>
        <w:tc>
          <w:tcPr>
            <w:tcBorders>
              <w:bottom w:val="single"/>
            </w:tcBorders>
            <w:vAlign w:val="bottom"/>
          </w:tcPr>
          <w:p>
            <w:pPr>
              <w:pStyle w:val="Compact"/>
              <w:jc w:val="center"/>
            </w:pPr>
            <w:r>
              <w:t xml:space="preserve">DISTRESS</w:t>
            </w:r>
          </w:p>
        </w:tc>
      </w:tr>
      <w:tr>
        <w:tc>
          <w:p>
            <w:pPr>
              <w:pStyle w:val="Compact"/>
              <w:jc w:val="left"/>
            </w:pPr>
            <w:r>
              <w:t xml:space="preserve">OpenAI</w:t>
            </w:r>
            <w:r>
              <w:t xml:space="preserve"> </w:t>
            </w:r>
            <m:oMath>
              <m:sSub>
                <m:e>
                  <m:r>
                    <m:t>v</m:t>
                  </m:r>
                </m:e>
                <m:sub>
                  <m:r>
                    <m:rPr>
                      <m:sty m:val="p"/>
                    </m:rPr>
                    <m:t>o</m:t>
                  </m:r>
                  <m:r>
                    <m:rPr>
                      <m:sty m:val="p"/>
                    </m:rPr>
                    <m:t>l</m:t>
                  </m:r>
                  <m:r>
                    <m:rPr>
                      <m:sty m:val="p"/>
                    </m:rPr>
                    <m:t>d</m:t>
                  </m:r>
                </m:sub>
              </m:sSub>
            </m:oMath>
          </w:p>
        </w:tc>
        <w:tc>
          <w:p>
            <w:pPr>
              <w:pStyle w:val="Compact"/>
              <w:jc w:val="center"/>
            </w:pPr>
            <w:r>
              <w:t xml:space="preserve">0.304</w:t>
            </w:r>
          </w:p>
        </w:tc>
        <w:tc>
          <w:p>
            <w:pPr>
              <w:pStyle w:val="Compact"/>
              <w:jc w:val="center"/>
            </w:pPr>
            <w:r>
              <w:t xml:space="preserve">0.588</w:t>
            </w:r>
          </w:p>
        </w:tc>
        <w:tc>
          <w:p>
            <w:pPr>
              <w:pStyle w:val="Compact"/>
              <w:jc w:val="center"/>
            </w:pPr>
            <w:r>
              <w:t xml:space="preserve">0.108</w:t>
            </w:r>
          </w:p>
        </w:tc>
      </w:tr>
      <w:tr>
        <w:tc>
          <w:p>
            <w:pPr>
              <w:pStyle w:val="Compact"/>
              <w:jc w:val="left"/>
            </w:pPr>
            <w:r>
              <w:t xml:space="preserve">OpenAI</w:t>
            </w:r>
            <w:r>
              <w:t xml:space="preserve"> </w:t>
            </w:r>
            <m:oMath>
              <m:sSub>
                <m:e>
                  <m:r>
                    <m:t>v</m:t>
                  </m:r>
                </m:e>
                <m:sub>
                  <m:r>
                    <m:rPr>
                      <m:sty m:val="p"/>
                    </m:rPr>
                    <m:t>n</m:t>
                  </m:r>
                  <m:r>
                    <m:rPr>
                      <m:sty m:val="p"/>
                    </m:rPr>
                    <m:t>e</m:t>
                  </m:r>
                  <m:r>
                    <m:rPr>
                      <m:sty m:val="p"/>
                    </m:rPr>
                    <m:t>w</m:t>
                  </m:r>
                </m:sub>
              </m:sSub>
            </m:oMath>
          </w:p>
        </w:tc>
        <w:tc>
          <w:p>
            <w:pPr>
              <w:pStyle w:val="Compact"/>
              <w:jc w:val="center"/>
            </w:pPr>
            <w:r>
              <w:t xml:space="preserve">0.209</w:t>
            </w:r>
          </w:p>
        </w:tc>
        <w:tc>
          <w:p>
            <w:pPr>
              <w:pStyle w:val="Compact"/>
              <w:jc w:val="center"/>
            </w:pPr>
            <w:r>
              <w:t xml:space="preserve">0.636</w:t>
            </w:r>
          </w:p>
        </w:tc>
        <w:tc>
          <w:p>
            <w:pPr>
              <w:pStyle w:val="Compact"/>
              <w:jc w:val="center"/>
            </w:pPr>
            <w:r>
              <w:t xml:space="preserve">0.155</w:t>
            </w:r>
          </w:p>
        </w:tc>
      </w:tr>
      <w:tr>
        <w:tc>
          <w:p>
            <w:pPr>
              <w:pStyle w:val="Compact"/>
              <w:jc w:val="left"/>
            </w:pPr>
            <w:r>
              <w:t xml:space="preserve">Gemini</w:t>
            </w:r>
            <w:r>
              <w:t xml:space="preserve"> </w:t>
            </w:r>
            <m:oMath>
              <m:sSub>
                <m:e>
                  <m:r>
                    <m:t>v</m:t>
                  </m:r>
                </m:e>
                <m:sub>
                  <m:r>
                    <m:rPr>
                      <m:sty m:val="p"/>
                    </m:rPr>
                    <m:t>o</m:t>
                  </m:r>
                  <m:r>
                    <m:rPr>
                      <m:sty m:val="p"/>
                    </m:rPr>
                    <m:t>l</m:t>
                  </m:r>
                  <m:r>
                    <m:rPr>
                      <m:sty m:val="p"/>
                    </m:rPr>
                    <m:t>d</m:t>
                  </m:r>
                </m:sub>
              </m:sSub>
            </m:oMath>
          </w:p>
        </w:tc>
        <w:tc>
          <w:p>
            <w:pPr>
              <w:pStyle w:val="Compact"/>
              <w:jc w:val="center"/>
            </w:pPr>
            <w:r>
              <w:t xml:space="preserve">0.389</w:t>
            </w:r>
          </w:p>
        </w:tc>
        <w:tc>
          <w:p>
            <w:pPr>
              <w:pStyle w:val="Compact"/>
              <w:jc w:val="center"/>
            </w:pPr>
            <w:r>
              <w:t xml:space="preserve">0.525</w:t>
            </w:r>
          </w:p>
        </w:tc>
        <w:tc>
          <w:p>
            <w:pPr>
              <w:pStyle w:val="Compact"/>
              <w:jc w:val="center"/>
            </w:pPr>
            <w:r>
              <w:t xml:space="preserve">0.086</w:t>
            </w:r>
          </w:p>
        </w:tc>
      </w:tr>
      <w:tr>
        <w:tc>
          <w:p>
            <w:pPr>
              <w:pStyle w:val="Compact"/>
              <w:jc w:val="left"/>
            </w:pPr>
            <w:r>
              <w:t xml:space="preserve">Gemini</w:t>
            </w:r>
            <w:r>
              <w:t xml:space="preserve"> </w:t>
            </w:r>
            <m:oMath>
              <m:sSub>
                <m:e>
                  <m:r>
                    <m:t>v</m:t>
                  </m:r>
                </m:e>
                <m:sub>
                  <m:r>
                    <m:rPr>
                      <m:sty m:val="p"/>
                    </m:rPr>
                    <m:t>n</m:t>
                  </m:r>
                  <m:r>
                    <m:rPr>
                      <m:sty m:val="p"/>
                    </m:rPr>
                    <m:t>e</m:t>
                  </m:r>
                  <m:r>
                    <m:rPr>
                      <m:sty m:val="p"/>
                    </m:rPr>
                    <m:t>w</m:t>
                  </m:r>
                </m:sub>
              </m:sSub>
            </m:oMath>
          </w:p>
        </w:tc>
        <w:tc>
          <w:p>
            <w:pPr>
              <w:pStyle w:val="Compact"/>
              <w:jc w:val="center"/>
            </w:pPr>
            <w:r>
              <w:t xml:space="preserve">0.708</w:t>
            </w:r>
          </w:p>
        </w:tc>
        <w:tc>
          <w:p>
            <w:pPr>
              <w:pStyle w:val="Compact"/>
              <w:jc w:val="center"/>
            </w:pPr>
            <w:r>
              <w:t xml:space="preserve">0.281</w:t>
            </w:r>
          </w:p>
        </w:tc>
        <w:tc>
          <w:p>
            <w:pPr>
              <w:pStyle w:val="Compact"/>
              <w:jc w:val="center"/>
            </w:pPr>
            <w:r>
              <w:t xml:space="preserve">0.012</w:t>
            </w:r>
          </w:p>
        </w:tc>
      </w:tr>
    </w:tbl>
    <w:bookmarkEnd w:id="47"/>
    <w:p>
      <w:pPr>
        <w:pStyle w:val="BodyText"/>
      </w:pPr>
      <w:r>
        <w:drawing>
          <wp:inline>
            <wp:extent cx="5334000" cy="2431676"/>
            <wp:effectExtent b="0" l="0" r="0" t="0"/>
            <wp:docPr descr="image" title="" id="1" name="Picture"/>
            <a:graphic>
              <a:graphicData uri="http://schemas.openxmlformats.org/drawingml/2006/picture">
                <pic:pic>
                  <pic:nvPicPr>
                    <pic:cNvPr descr="fig3_transition.png" id="0" name="Picture"/>
                    <pic:cNvPicPr>
                      <a:picLocks noChangeArrowheads="1" noChangeAspect="1"/>
                    </pic:cNvPicPr>
                  </pic:nvPicPr>
                  <pic:blipFill>
                    <a:blip r:embed="rId48"/>
                    <a:stretch>
                      <a:fillRect/>
                    </a:stretch>
                  </pic:blipFill>
                  <pic:spPr bwMode="auto">
                    <a:xfrm>
                      <a:off x="0" y="0"/>
                      <a:ext cx="5334000" cy="2431676"/>
                    </a:xfrm>
                    <a:prstGeom prst="rect">
                      <a:avLst/>
                    </a:prstGeom>
                    <a:noFill/>
                    <a:ln w="9525">
                      <a:noFill/>
                      <a:headEnd/>
                      <a:tailEnd/>
                    </a:ln>
                  </pic:spPr>
                </pic:pic>
              </a:graphicData>
            </a:graphic>
          </wp:inline>
        </w:drawing>
      </w:r>
    </w:p>
    <w:p>
      <w:pPr>
        <w:pStyle w:val="Heading2"/>
      </w:pPr>
      <w:bookmarkStart w:id="49" w:name="robustness-of-cross-version-agreement"/>
      <w:r>
        <w:t xml:space="preserve">Robustness of Cross-Version Agreement</w:t>
      </w:r>
      <w:bookmarkEnd w:id="49"/>
    </w:p>
    <w:p>
      <w:pPr>
        <w:pStyle w:val="FirstParagraph"/>
      </w:pPr>
      <w:r>
        <w:t xml:space="preserve">The comparison between the two migrations is robust to the choice of chance-corrected agreement statistic [13, 14, 10]. For OpenAI,</w:t>
      </w:r>
    </w:p>
    <w:p>
      <w:pPr>
        <w:pStyle w:val="BodyText"/>
      </w:pPr>
      <m:oMathPara>
        <m:oMathParaPr>
          <m:jc m:val="center"/>
        </m:oMathParaPr>
        <m:oMath>
          <m:r>
            <m:t>κ</m:t>
          </m:r>
          <m:r>
            <m:t>=</m:t>
          </m:r>
          <m:r>
            <m:t>0.60</m:t>
          </m:r>
          <m:r>
            <m:t>,</m:t>
          </m:r>
          <m:r>
            <m:t>  </m:t>
          </m:r>
          <m:r>
            <m:t>π</m:t>
          </m:r>
          <m:r>
            <m:t>=</m:t>
          </m:r>
          <m:r>
            <m:t>0.60</m:t>
          </m:r>
          <m:r>
            <m:t>,</m:t>
          </m:r>
          <m:r>
            <m:t>  </m:t>
          </m:r>
          <m:r>
            <m:rPr>
              <m:sty m:val="p"/>
            </m:rPr>
            <m:t>A</m:t>
          </m:r>
          <m:r>
            <m:rPr>
              <m:sty m:val="p"/>
            </m:rPr>
            <m:t>C</m:t>
          </m:r>
          <m:r>
            <m:rPr>
              <m:sty m:val="p"/>
            </m:rPr>
            <m:t>1</m:t>
          </m:r>
          <m:r>
            <m:t>=</m:t>
          </m:r>
          <m:r>
            <m:t>0.70</m:t>
          </m:r>
          <m:r>
            <m:t>,</m:t>
          </m:r>
        </m:oMath>
      </m:oMathPara>
    </w:p>
    <w:p>
      <w:pPr>
        <w:pStyle w:val="FirstParagraph"/>
      </w:pPr>
      <w:r>
        <w:t xml:space="preserve">whereas for Gemini,</w:t>
      </w:r>
    </w:p>
    <w:p>
      <w:pPr>
        <w:pStyle w:val="BodyText"/>
      </w:pPr>
      <m:oMathPara>
        <m:oMathParaPr>
          <m:jc m:val="center"/>
        </m:oMathParaPr>
        <m:oMath>
          <m:r>
            <m:t>κ</m:t>
          </m:r>
          <m:r>
            <m:t>=</m:t>
          </m:r>
          <m:r>
            <m:t>0.33</m:t>
          </m:r>
          <m:r>
            <m:t>,</m:t>
          </m:r>
          <m:r>
            <m:t>  </m:t>
          </m:r>
          <m:r>
            <m:t>π</m:t>
          </m:r>
          <m:r>
            <m:t>=</m:t>
          </m:r>
          <m:r>
            <m:t>0.27</m:t>
          </m:r>
          <m:r>
            <m:t>,</m:t>
          </m:r>
          <m:r>
            <m:t>  </m:t>
          </m:r>
          <m:r>
            <m:rPr>
              <m:sty m:val="p"/>
            </m:rPr>
            <m:t>A</m:t>
          </m:r>
          <m:r>
            <m:rPr>
              <m:sty m:val="p"/>
            </m:rPr>
            <m:t>C</m:t>
          </m:r>
          <m:r>
            <m:rPr>
              <m:sty m:val="p"/>
            </m:rPr>
            <m:t>1</m:t>
          </m:r>
          <m:r>
            <m:t>=</m:t>
          </m:r>
          <m:r>
            <m:t>0.47</m:t>
          </m:r>
          <m: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t>&gt;</m:t>
          </m:r>
          <m:r>
            <m:rPr>
              <m:nor/>
              <m:sty m:val="p"/>
            </m:rPr>
            <m:t>Gemini agreement</m:t>
          </m:r>
          <m: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 [16].</w:t>
      </w:r>
    </w:p>
    <w:p>
      <w:pPr>
        <w:pStyle w:val="BodyText"/>
      </w:pPr>
      <w:r>
        <w:t xml:space="preserve">Migration effects are also larger among observations that are already unstable within the incumbent version. Relative to stable cells, the cross-version flip rate is higher by 0.330 for OpenAI and 0.250 for Gemini. This diagnostic pattern suggests that migration-induced changes are concentrated disproportionately near existing model decision boundaries.</w:t>
      </w:r>
    </w:p>
    <w:p>
      <w:pPr>
        <w:pStyle w:val="Heading2"/>
      </w:pPr>
      <w:bookmarkStart w:id="50" w:name="sec:acc"/>
      <w:r>
        <w:t xml:space="preserve">Secondary Accuracy Analysis</w:t>
      </w:r>
      <w:bookmarkEnd w:id="50"/>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r>
          <m:t>Z</m:t>
        </m:r>
        <m:r>
          <m:t>″</m:t>
        </m:r>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Hit rate</m:t>
                </m:r>
              </m:e>
              <m:e>
                <m:r>
                  <m:t>:</m:t>
                </m:r>
                <m:r>
                  <m:t>0.539</m:t>
                </m:r>
                <m:r>
                  <m:t>→</m:t>
                </m:r>
                <m:r>
                  <m:t>0.564</m:t>
                </m:r>
                <m:r>
                  <m:t>,</m:t>
                </m:r>
              </m:e>
            </m:mr>
            <m:mr>
              <m:e>
                <m:r>
                  <m:rPr>
                    <m:nor/>
                    <m:sty m:val="p"/>
                  </m:rPr>
                  <m:t>Balanced accuracy</m:t>
                </m:r>
              </m:e>
              <m:e>
                <m:r>
                  <m:t>:</m:t>
                </m:r>
                <m:r>
                  <m:t>0.538</m:t>
                </m:r>
                <m:r>
                  <m:t>→</m:t>
                </m:r>
                <m:r>
                  <m:t>0.570</m:t>
                </m:r>
                <m:r>
                  <m:t>,</m:t>
                </m:r>
              </m:e>
            </m:mr>
            <m:mr>
              <m:e>
                <m:r>
                  <m:rPr>
                    <m:nor/>
                    <m:sty m:val="p"/>
                  </m:rPr>
                  <m:t>Macro-F1</m:t>
                </m:r>
              </m:e>
              <m:e>
                <m:r>
                  <m:t>:</m:t>
                </m:r>
                <m:r>
                  <m:t>0.517</m:t>
                </m:r>
                <m:r>
                  <m:t>→</m:t>
                </m:r>
                <m:r>
                  <m:t>0.565</m:t>
                </m:r>
                <m:r>
                  <m:t>.</m:t>
                </m:r>
              </m:e>
            </m:mr>
          </m:m>
        </m:oMath>
      </m:oMathPara>
    </w:p>
    <w:p>
      <w:pPr>
        <w:pStyle w:val="FirstParagraph"/>
      </w:pPr>
      <w:r>
        <w:t xml:space="preserve">For the Gemini migration, performance declines: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Hit rate</m:t>
                </m:r>
              </m:e>
              <m:e>
                <m:r>
                  <m:t>:</m:t>
                </m:r>
                <m:r>
                  <m:t>0.494</m:t>
                </m:r>
                <m:r>
                  <m:t>→</m:t>
                </m:r>
                <m:r>
                  <m:t>0.425</m:t>
                </m:r>
                <m:r>
                  <m:t>,</m:t>
                </m:r>
              </m:e>
            </m:mr>
            <m:mr>
              <m:e>
                <m:r>
                  <m:rPr>
                    <m:nor/>
                    <m:sty m:val="p"/>
                  </m:rPr>
                  <m:t>Balanced accuracy</m:t>
                </m:r>
              </m:e>
              <m:e>
                <m:r>
                  <m:t>:</m:t>
                </m:r>
                <m:r>
                  <m:t>0.488</m:t>
                </m:r>
                <m:r>
                  <m:t>→</m:t>
                </m:r>
                <m:r>
                  <m:t>0.408</m:t>
                </m:r>
                <m:r>
                  <m:t>,</m:t>
                </m:r>
              </m:e>
            </m:mr>
            <m:mr>
              <m:e>
                <m:r>
                  <m:rPr>
                    <m:nor/>
                    <m:sty m:val="p"/>
                  </m:rPr>
                  <m:t>Macro-F1</m:t>
                </m:r>
              </m:e>
              <m:e>
                <m:r>
                  <m:t>:</m:t>
                </m:r>
                <m:r>
                  <m:t>0.463</m:t>
                </m:r>
                <m:r>
                  <m:t>→</m:t>
                </m:r>
                <m:r>
                  <m:t>0.325</m:t>
                </m:r>
                <m:r>
                  <m:t>.</m:t>
                </m:r>
              </m:e>
            </m:mr>
          </m:m>
        </m:oMath>
      </m:oMathPara>
    </w:p>
    <w:p>
      <w:pPr>
        <w:pStyle w:val="FirstParagraph"/>
      </w:pPr>
      <w:r>
        <w:t xml:space="preserve">The OpenAI successor produces modest numerical improvements, but the migration does not reliably improve accuracy on the specific observations whose labels change. Conditional on a cross-version flip, the estimated accuracy change is</w:t>
      </w:r>
      <w:r>
        <w:t xml:space="preserve"> </w:t>
      </w:r>
      <m:oMath>
        <m:r>
          <m:t>+</m:t>
        </m:r>
        <m:r>
          <m:t>0.124</m:t>
        </m:r>
      </m:oMath>
      <w:r>
        <w:t xml:space="preserve">, with a 95% confidence interval of</w:t>
      </w:r>
      <w:r>
        <w:t xml:space="preserve"> </w:t>
      </w:r>
      <m:oMath>
        <m:r>
          <m:t>[</m:t>
        </m:r>
        <m:r>
          <m:t>−</m:t>
        </m:r>
        <m:r>
          <m:t>0.164</m:t>
        </m:r>
        <m:r>
          <m:t>,</m:t>
        </m:r>
        <m:r>
          <m:t> </m:t>
        </m:r>
        <m:r>
          <m:t>0.418</m:t>
        </m:r>
        <m: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t>−</m:t>
        </m:r>
        <m:r>
          <m:t>0.179</m:t>
        </m:r>
      </m:oMath>
      <w:r>
        <w:t xml:space="preserve">, with a 95% confidence interval of</w:t>
      </w:r>
      <w:r>
        <w:t xml:space="preserve"> </w:t>
      </w:r>
      <m:oMath>
        <m:r>
          <m:t>[</m:t>
        </m:r>
        <m:r>
          <m:t>−</m:t>
        </m:r>
        <m:r>
          <m:t>0.380</m:t>
        </m:r>
        <m:r>
          <m:t>,</m:t>
        </m:r>
        <m:r>
          <m:t> </m:t>
        </m:r>
        <m:r>
          <m:t>0.030</m:t>
        </m:r>
        <m:r>
          <m:t>]</m:t>
        </m:r>
      </m:oMath>
      <w:r>
        <w:t xml:space="preserve">. The interval includes zero; the accompanying lower balanced accuracy and macro-F1 are consistent with the distributional shift providing no compensating classification improvement.</w:t>
      </w:r>
    </w:p>
    <w:p>
      <w:pPr>
        <w:pStyle w:val="BodyText"/>
      </w:pPr>
      <w:r>
        <w:t xml:space="preserve">The sector-restricted analysis excludes Financials and Real Estate, for which the Altman</w:t>
      </w:r>
      <w:r>
        <w:t xml:space="preserve"> </w:t>
      </w:r>
      <m:oMath>
        <m:r>
          <m:t>Z</m:t>
        </m:r>
        <m:r>
          <m:t>″</m:t>
        </m:r>
      </m:oMath>
      <w:r>
        <w:t xml:space="preserve"> </w:t>
      </w:r>
      <w:r>
        <w:t xml:space="preserve">reference model is less suitable. The principal pattern remains: raw hit rate changes from 0.590 to 0.562 for the OpenAI migration and from 0.553 to 0.491 for the Gemini migration.</w:t>
      </w:r>
    </w:p>
    <w:p>
      <w:pPr>
        <w:pStyle w:val="BodyText"/>
      </w:pPr>
      <w:r>
        <w:t xml:space="preserve">These results show that substantial migration-induced decision changes do not necessarily correspond to improved classification quality. The OpenAI successor shows modest numerical improvement in aggregate metrics, whereas the Gemini successor shows lower class-balanced performance; neither migration shows clear improvement among the observations whose labels change. The accuracy analysis is secondary and does not affect the primary conclusion that both migrations produce cross-version disagreement well above the within-version noise floor.</w:t>
      </w:r>
    </w:p>
    <w:p>
      <w:pPr>
        <w:pStyle w:val="Heading2"/>
      </w:pPr>
      <w:bookmarkStart w:id="51" w:name="temperature-sensitivity"/>
      <w:r>
        <w:t xml:space="preserve">Temperature Sensitivity</w:t>
      </w:r>
      <w:bookmarkEnd w:id="51"/>
    </w:p>
    <w:p>
      <w:pPr>
        <w:pStyle w:val="FirstParagraph"/>
      </w:pPr>
      <w:r>
        <w:t xml:space="preserve">A supplementary temperature analysis evaluates whether the migration effect depends on the primary decoding setting of</w:t>
      </w:r>
      <w:r>
        <w:t xml:space="preserve"> </w:t>
      </w:r>
      <m:oMath>
        <m:r>
          <m:t>T</m:t>
        </m:r>
        <m:r>
          <m:t>=</m:t>
        </m:r>
        <m:r>
          <m:t>0</m:t>
        </m:r>
      </m:oMath>
      <w:r>
        <w:t xml:space="preserve">. Both migration pairs are re-estimated on a smaller stratified subgrid at</w:t>
      </w:r>
      <w:r>
        <w:t xml:space="preserve"> </w:t>
      </w:r>
      <m:oMath>
        <m:r>
          <m:t>T</m:t>
        </m:r>
        <m:r>
          <m:t>∈</m:t>
        </m:r>
        <m:r>
          <m:t>{</m:t>
        </m:r>
        <m:r>
          <m:t>0</m:t>
        </m:r>
        <m:r>
          <m:t>,</m:t>
        </m:r>
        <m:r>
          <m:t>0.7</m:t>
        </m:r>
        <m:r>
          <m:t>,</m:t>
        </m:r>
        <m:r>
          <m:t>1.0</m:t>
        </m:r>
        <m:r>
          <m:t>}</m:t>
        </m:r>
      </m:oMath>
      <w:r>
        <w:t xml:space="preserve">.</w:t>
      </w:r>
    </w:p>
    <w:p>
      <w:pPr>
        <w:pStyle w:val="BodyText"/>
      </w:pPr>
      <w:r>
        <w:t xml:space="preserve">For OpenAI, the estimated excess flip rates are 0.153, 0.167, and 0.208 at</w:t>
      </w:r>
      <w:r>
        <w:t xml:space="preserve"> </w:t>
      </w:r>
      <m:oMath>
        <m:r>
          <m:t>T</m:t>
        </m:r>
        <m: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 confidence intervals are wide because the robustness grid contains only 24 company–date cells. In particular, the lower bound for Gemini at</w:t>
      </w:r>
      <w:r>
        <w:t xml:space="preserve"> </w:t>
      </w:r>
      <m:oMath>
        <m:r>
          <m:t>T</m:t>
        </m:r>
        <m: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52" w:name="tab:temp"/>
    <w:p>
      <w:pPr>
        <w:pStyle w:val="TableCaption"/>
      </w:pPr>
      <w:r>
        <w:t xml:space="preserve">Temperature-sensitivity robustness (excess flip rate with 95% CI,</w:t>
      </w:r>
      <w:r>
        <w:t xml:space="preserve"> </w:t>
      </w:r>
      <m:oMath>
        <m:r>
          <m:t>8</m:t>
        </m:r>
        <m:r>
          <m:t>×</m:t>
        </m:r>
        <m:r>
          <m:t>3</m:t>
        </m:r>
      </m:oMath>
      <w:r>
        <w:t xml:space="preserve"> </w:t>
      </w:r>
      <w:r>
        <w:t xml:space="preserve">subgrid).</w:t>
      </w:r>
    </w:p>
    <w:tbl>
      <w:tblPr>
        <w:tblStyle w:val="Table"/>
        <w:tblW w:type="pct" w:w="0.0"/>
        <w:tblLook w:firstRow="1"/>
        <w:tblCaption w:val="Temperature-sensitivity robustness (excess flip rate with 95% CI, 8\times3 subgrid)."/>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w:r>
              <w:t xml:space="preserve">OpenAI</w:t>
            </w:r>
          </w:p>
        </w:tc>
        <w:tc>
          <w:tcPr>
            <w:tcBorders>
              <w:bottom w:val="single"/>
            </w:tcBorders>
            <w:vAlign w:val="bottom"/>
          </w:tcPr>
          <w:p>
            <w:pPr>
              <w:pStyle w:val="Compact"/>
              <w:jc w:val="center"/>
            </w:pPr>
            <w:r>
              <w:t xml:space="preserve">Gemini</w:t>
            </w:r>
          </w:p>
        </w:tc>
      </w:tr>
      <w:tr>
        <w:tc>
          <w:p>
            <w:pPr>
              <w:pStyle w:val="Compact"/>
              <w:jc w:val="left"/>
            </w:pPr>
            <w:r>
              <w:t xml:space="preserve">0.0</w:t>
            </w:r>
          </w:p>
        </w:tc>
        <w:tc>
          <w:p>
            <w:pPr>
              <w:pStyle w:val="Compact"/>
              <w:jc w:val="center"/>
            </w:pPr>
            <w:r>
              <w:t xml:space="preserve">0.153 [.042,.278]</w:t>
            </w:r>
          </w:p>
        </w:tc>
        <w:tc>
          <w:p>
            <w:pPr>
              <w:pStyle w:val="Compact"/>
              <w:jc w:val="center"/>
            </w:pPr>
            <w:r>
              <w:t xml:space="preserve">0.222 [.000,.500]</w:t>
            </w:r>
          </w:p>
        </w:tc>
      </w:tr>
      <w:tr>
        <w:tc>
          <w:p>
            <w:pPr>
              <w:pStyle w:val="Compact"/>
              <w:jc w:val="left"/>
            </w:pPr>
            <w:r>
              <w:t xml:space="preserve">0.7</w:t>
            </w:r>
          </w:p>
        </w:tc>
        <w:tc>
          <w:p>
            <w:pPr>
              <w:pStyle w:val="Compact"/>
              <w:jc w:val="center"/>
            </w:pPr>
            <w:r>
              <w:t xml:space="preserve">0.167 [.056,.292]</w:t>
            </w:r>
          </w:p>
        </w:tc>
        <w:tc>
          <w:p>
            <w:pPr>
              <w:pStyle w:val="Compact"/>
              <w:jc w:val="center"/>
            </w:pPr>
            <w:r>
              <w:t xml:space="preserve">0.306 [.111,.500]</w:t>
            </w:r>
          </w:p>
        </w:tc>
      </w:tr>
      <w:tr>
        <w:tc>
          <w:p>
            <w:pPr>
              <w:pStyle w:val="Compact"/>
              <w:jc w:val="left"/>
            </w:pPr>
            <w:r>
              <w:t xml:space="preserve">1.0</w:t>
            </w:r>
          </w:p>
        </w:tc>
        <w:tc>
          <w:p>
            <w:pPr>
              <w:pStyle w:val="Compact"/>
              <w:jc w:val="center"/>
            </w:pPr>
            <w:r>
              <w:t xml:space="preserve">0.208 [.069,.361]</w:t>
            </w:r>
          </w:p>
        </w:tc>
        <w:tc>
          <w:p>
            <w:pPr>
              <w:pStyle w:val="Compact"/>
              <w:jc w:val="center"/>
            </w:pPr>
            <w:r>
              <w:t xml:space="preserve">0.389 [.167,.611]</w:t>
            </w:r>
          </w:p>
        </w:tc>
      </w:tr>
    </w:tbl>
    <w:bookmarkEnd w:id="52"/>
    <w:p>
      <w:pPr>
        <w:pStyle w:val="Heading1"/>
      </w:pPr>
      <w:bookmarkStart w:id="53" w:name="sec:disc"/>
      <w:r>
        <w:t xml:space="preserve">Discussion</w:t>
      </w:r>
      <w:bookmarkEnd w:id="53"/>
    </w:p>
    <w:p>
      <w:pPr>
        <w:pStyle w:val="FirstParagraph"/>
      </w:pPr>
      <w:r>
        <w:t xml:space="preserve">Vendor-driven model-version migration is associated with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 migration changes the overall distribution of ratings and may affect portfolio limits, escalation volumes, and review capacity. A churn-dominated migration may leave the aggregate rating mix comparatively stable while changing which individual companies are identified as risky. The secondary accuracy analysis further shows that decision turnover does not necessarily produce better classification quality. The OpenAI successor exhibits modest numerical improvement without reliable improvement among changed observations, while the Gemini successor exhibits lower balanced accuracy and macro-F1. Vendor migration should therefore be treated as a model change requiring validation rather than as an automatic upgrade.</w:t>
      </w:r>
    </w:p>
    <w:p>
      <w:pPr>
        <w:pStyle w:val="BodyText"/>
      </w:pPr>
      <w:r>
        <w:t xml:space="preserve">The Altman</w:t>
      </w:r>
      <w:r>
        <w:t xml:space="preserve"> </w:t>
      </w:r>
      <m:oMath>
        <m:r>
          <m:t>Z</m:t>
        </m:r>
        <m:r>
          <m:t>″</m:t>
        </m:r>
      </m:oMath>
      <w:r>
        <w:t xml:space="preserve">-based label serves only as a deterministic reference proxy for the secondary outcome analysis [12];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 [3, 23, 6].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p>
      <w:pPr>
        <w:pStyle w:val="Heading1"/>
      </w:pPr>
      <w:bookmarkStart w:id="54" w:name="sec:gov"/>
      <w:r>
        <w:t xml:space="preserve">Governance: SR 11-7, SR 26-2, and a Pre-Migration Control</w:t>
      </w:r>
      <w:bookmarkEnd w:id="54"/>
    </w:p>
    <w:p>
      <w:pPr>
        <w:pStyle w:val="FirstParagraph"/>
      </w:pPr>
      <w:r>
        <w:t xml:space="preserve">SR 11-7 historically organized U.S. model-risk governance around independent validation, effective challenge, ongoing monitoring, change management, and institutional responsibility for third-party models [7].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SR 26-2, which replaced SR 11-7 in April 2026, expressly excludes generative and agentic AI from its scope because of their novelty and rapid evolution [8]. The class of systems evaluated in this study therefore falls outside the revised guidance. Moreover, although SR 26-2 strengthens the treatment of concentration and dependency within an institution’s model portfolio, it does not address correlated behavioral changes across institutions or deployments that depend on the same vendor version. The resulting gap is twofold: generative-AI systems are excluded from the revised framework, and the cross-deployment consequences of a common vendor update are not directly governed.</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 [6].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m:t>
          </m:r>
          <m:sSub>
            <m:e>
              <m:r>
                <m:t>F</m:t>
              </m:r>
            </m:e>
            <m:sub>
              <m:r>
                <m:rPr>
                  <m:sty m:val="p"/>
                </m:rPr>
                <m:t>c</m:t>
              </m:r>
              <m:r>
                <m:rPr>
                  <m:sty m:val="p"/>
                </m:rPr>
                <m:t>r</m:t>
              </m:r>
              <m:r>
                <m:rPr>
                  <m:sty m:val="p"/>
                </m:rPr>
                <m:t>o</m:t>
              </m:r>
              <m:r>
                <m:rPr>
                  <m:sty m:val="p"/>
                </m:rPr>
                <m:t>s</m:t>
              </m:r>
              <m:r>
                <m:rPr>
                  <m:sty m:val="p"/>
                </m:rPr>
                <m:t>s</m:t>
              </m:r>
            </m:sub>
          </m:sSub>
          <m:r>
            <m:t>−</m:t>
          </m:r>
          <m:sSub>
            <m:e>
              <m:r>
                <m:t>F</m:t>
              </m:r>
            </m:e>
            <m:sub>
              <m:r>
                <m:rPr>
                  <m:sty m:val="p"/>
                </m:rPr>
                <m:t>n</m:t>
              </m:r>
              <m:r>
                <m:rPr>
                  <m:sty m:val="p"/>
                </m:rPr>
                <m:t>o</m:t>
              </m:r>
              <m:r>
                <m:rPr>
                  <m:sty m:val="p"/>
                </m:rPr>
                <m:t>i</m:t>
              </m:r>
              <m:r>
                <m:rPr>
                  <m:sty m:val="p"/>
                </m:rPr>
                <m:t>s</m:t>
              </m:r>
              <m:r>
                <m:rPr>
                  <m:sty m:val="p"/>
                </m:rPr>
                <m:t>e</m:t>
              </m:r>
            </m:sub>
          </m:sSub>
          <m: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SR 11-7 provision</w:t>
            </w:r>
          </w:p>
        </w:tc>
        <w:tc>
          <w:tcPr>
            <w:tcBorders>
              <w:bottom w:val="single"/>
            </w:tcBorders>
            <w:vAlign w:val="bottom"/>
          </w:tcPr>
          <w:p>
            <w:pPr>
              <w:pStyle w:val="Compact"/>
              <w:jc w:val="left"/>
            </w:pPr>
            <w:r>
              <w:t xml:space="preserve">How version migration breaks it</w:t>
            </w:r>
          </w:p>
        </w:tc>
        <w:tc>
          <w:tcPr>
            <w:tcBorders>
              <w:bottom w:val="single"/>
            </w:tcBorders>
            <w:vAlign w:val="bottom"/>
          </w:tcPr>
          <w:p>
            <w:pPr>
              <w:pStyle w:val="Compact"/>
              <w:jc w:val="left"/>
            </w:pPr>
            <w:r>
              <w:t xml:space="preserve">Proposed control</w:t>
            </w:r>
          </w:p>
        </w:tc>
      </w:tr>
      <w:tr>
        <w:tc>
          <w:p>
            <w:pPr>
              <w:pStyle w:val="Compact"/>
              <w:jc w:val="left"/>
            </w:pPr>
            <w:r>
              <w:t xml:space="preserve">Vendor/third-party responsibility &amp; contingency planning</w:t>
            </w:r>
          </w:p>
        </w:tc>
        <w:tc>
          <w:p>
            <w:pPr>
              <w:pStyle w:val="Compact"/>
              <w:jc w:val="left"/>
            </w:pPr>
            <w:r>
              <w:t xml:space="preserve">Anticipates vendor-model</w:t>
            </w:r>
            <w:r>
              <w:t xml:space="preserve"> </w:t>
            </w:r>
            <w:r>
              <w:rPr>
                <w:i/>
              </w:rPr>
              <w:t xml:space="preserve">loss</w:t>
            </w:r>
            <w:r>
              <w:t xml:space="preserve">, not silent behavioral</w:t>
            </w:r>
            <w:r>
              <w:t xml:space="preserve"> </w:t>
            </w:r>
            <w:r>
              <w:rPr>
                <w:i/>
              </w:rPr>
              <w:t xml:space="preserve">replacement</w:t>
            </w:r>
            <w:r>
              <w:t xml:space="preserve"> </w:t>
            </w:r>
            <w:r>
              <w:t xml:space="preserve">on the vendor’s schedule</w:t>
            </w:r>
          </w:p>
        </w:tc>
        <w:tc>
          <w:p>
            <w:pPr>
              <w:pStyle w:val="Compact"/>
              <w:jc w:val="left"/>
            </w:pPr>
            <w:r>
              <w:t xml:space="preserve">Inventory the exact version string; pin the incumbent through validation</w:t>
            </w:r>
          </w:p>
        </w:tc>
      </w:tr>
      <w:tr>
        <w:tc>
          <w:p>
            <w:pPr>
              <w:pStyle w:val="Compact"/>
              <w:jc w:val="left"/>
            </w:pPr>
            <w:r>
              <w:t xml:space="preserve">Ongoing monitoring; accelerate review on material model change</w:t>
            </w:r>
          </w:p>
        </w:tc>
        <w:tc>
          <w:p>
            <w:pPr>
              <w:pStyle w:val="Compact"/>
              <w:jc w:val="left"/>
            </w:pPr>
            <w:r>
              <w:t xml:space="preserve">The change is exogenous and silent (API surface unchanged), so it may never trigger the review it warrants</w:t>
            </w:r>
          </w:p>
        </w:tc>
        <w:tc>
          <w:p>
            <w:pPr>
              <w:pStyle w:val="Compact"/>
              <w:jc w:val="left"/>
            </w:pPr>
            <w:r>
              <w:t xml:space="preserve">Pre-migration parallel run detects the change and quantifies its materiality</w:t>
            </w:r>
          </w:p>
        </w:tc>
      </w:tr>
      <w:tr>
        <w:tc>
          <w:p>
            <w:pPr>
              <w:pStyle w:val="Compact"/>
              <w:jc w:val="left"/>
            </w:pPr>
            <w:r>
              <w:t xml:space="preserve">Effective challenge; validation before use</w:t>
            </w:r>
          </w:p>
        </w:tc>
        <w:tc>
          <w:p>
            <w:pPr>
              <w:pStyle w:val="Compact"/>
              <w:jc w:val="left"/>
            </w:pPr>
            <w:r>
              <w:t xml:space="preserve">Forced deprecation with limited notice removes the pre-change testable window</w:t>
            </w:r>
          </w:p>
        </w:tc>
        <w:tc>
          <w:p>
            <w:pPr>
              <w:pStyle w:val="Compact"/>
              <w:jc w:val="left"/>
            </w:pPr>
            <w:r>
              <w:t xml:space="preserve">Parallel-run gate provides challenge and validation evidence before cutover</w:t>
            </w:r>
          </w:p>
        </w:tc>
      </w:tr>
      <w:tr>
        <w:tc>
          <w:p>
            <w:pPr>
              <w:pStyle w:val="Compact"/>
              <w:jc w:val="left"/>
            </w:pPr>
            <w:r>
              <w:t xml:space="preserve">Model inventory, change control, documentation</w:t>
            </w:r>
          </w:p>
        </w:tc>
        <w:tc>
          <w:p>
            <w:pPr>
              <w:pStyle w:val="Compact"/>
              <w:jc w:val="left"/>
            </w:pPr>
            <w:r>
              <w:t xml:space="preserve">Frozen documentation undermined by a model that changes underneath it</w:t>
            </w:r>
          </w:p>
        </w:tc>
        <w:tc>
          <w:p>
            <w:pPr>
              <w:pStyle w:val="Compact"/>
              <w:jc w:val="left"/>
            </w:pPr>
            <w:r>
              <w:t xml:space="preserve">Treat version-as-artifact; hash-pin the snapshot as the object of record</w:t>
            </w:r>
          </w:p>
        </w:tc>
      </w:tr>
      <w:tr>
        <w:tc>
          <w:p>
            <w:pPr>
              <w:pStyle w:val="Compact"/>
              <w:jc w:val="left"/>
            </w:pPr>
            <w:r>
              <w:t xml:space="preserve">Aggregate (institution-level) model risk</w:t>
            </w:r>
          </w:p>
        </w:tc>
        <w:tc>
          <w:p>
            <w:pPr>
              <w:pStyle w:val="Compact"/>
              <w:jc w:val="left"/>
            </w:pPr>
            <w:r>
              <w:t xml:space="preserve">Not contemplated as correlated</w:t>
            </w:r>
            <w:r>
              <w:t xml:space="preserve"> </w:t>
            </w:r>
            <w:r>
              <w:rPr>
                <w:i/>
              </w:rPr>
              <w:t xml:space="preserve">across</w:t>
            </w:r>
            <w:r>
              <w:t xml:space="preserve"> </w:t>
            </w:r>
            <w:r>
              <w:t xml:space="preserve">institutions via a shared vendor update</w:t>
            </w:r>
          </w:p>
        </w:tc>
        <w:tc>
          <w:p>
            <w:pPr>
              <w:pStyle w:val="Compact"/>
              <w:jc w:val="left"/>
            </w:pPr>
            <w:r>
              <w:t xml:space="preserve">Systemic gap; flagged for supervisory attention</w:t>
            </w:r>
          </w:p>
        </w:tc>
      </w:tr>
    </w:tbl>
    <w:p>
      <w:pPr>
        <w:pStyle w:val="Heading1"/>
      </w:pPr>
      <w:bookmarkStart w:id="55" w:name="threats-to-validity"/>
      <w:r>
        <w:t xml:space="preserve">Threats to Validity</w:t>
      </w:r>
      <w:bookmarkEnd w:id="55"/>
    </w:p>
    <w:p>
      <w:pPr>
        <w:pStyle w:val="FirstParagraph"/>
      </w:pPr>
      <w:r>
        <w:rPr>
          <w:b/>
        </w:rPr>
        <w:t xml:space="preserve">Endpoint variability.</w:t>
      </w:r>
      <w:r>
        <w:t xml:space="preserve"> </w:t>
      </w:r>
      <w:r>
        <w:t xml:space="preserve">Hosted LLM endpoints may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rPr>
        <w:t xml:space="preserve">Reference-label limitations.</w:t>
      </w:r>
      <w:r>
        <w:t xml:space="preserve"> </w:t>
      </w:r>
      <w:r>
        <w:t xml:space="preserve">Altman</w:t>
      </w:r>
      <w:r>
        <w:t xml:space="preserve"> </w:t>
      </w:r>
      <m:oMath>
        <m:r>
          <m:t>Z</m:t>
        </m:r>
        <m:r>
          <m:t>″</m:t>
        </m:r>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This does not affect the primary migration-instability result, which does not depend on the prevalence of the Altman reference label.</w:t>
      </w:r>
    </w:p>
    <w:p>
      <w:pPr>
        <w:pStyle w:val="BodyText"/>
      </w:pPr>
      <w:r>
        <w:rPr>
          <w:b/>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p>
      <w:pPr>
        <w:pStyle w:val="Heading1"/>
      </w:pPr>
      <w:bookmarkStart w:id="56" w:name="conclusion"/>
      <w:r>
        <w:t xml:space="preserve">Conclusion</w:t>
      </w:r>
      <w:bookmarkEnd w:id="56"/>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Gemini successor also shows lower aggregate class-balanced performance.</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or realized market-level consequences.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p>
      <w:pPr>
        <w:pStyle w:val="Heading1"/>
      </w:pPr>
      <w:bookmarkStart w:id="57" w:name="data-and-code-availability"/>
      <w:r>
        <w:t xml:space="preserve">Data and Code Availability</w:t>
      </w:r>
      <w:bookmarkEnd w:id="57"/>
    </w:p>
    <w:p>
      <w:pPr>
        <w:pStyle w:val="FirstParagraph"/>
      </w:pPr>
      <w:r>
        <w:t xml:space="preserve">To support reproduction, we release: (i) the immutable, read-only,</w:t>
      </w:r>
      <w:r>
        <w:t xml:space="preserve"> </w:t>
      </w:r>
      <w:r>
        <w:t xml:space="preserve">SHA-256-stamped raw dataset (</w:t>
      </w:r>
      <w:r>
        <w:rPr>
          <w:rStyle w:val="VerbatimChar"/>
        </w:rPr>
        <w:t xml:space="preserve">data/raw/</w:t>
      </w:r>
      <w:r>
        <w:t xml:space="preserve">), containing 14</w:t>
      </w:r>
      <w:r>
        <w:t xml:space="preserve">,</w:t>
      </w:r>
      <w:r>
        <w:t xml:space="preserve">400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capture and monitoring harness (the pre-migration</w:t>
      </w:r>
      <w:r>
        <w:t xml:space="preserve"> </w:t>
      </w:r>
      <w:r>
        <w:t xml:space="preserve">parallel-run metric). Code and data are available at</w:t>
      </w:r>
      <w:r>
        <w:t xml:space="preserve"> </w:t>
      </w:r>
      <w:hyperlink r:id="rId58">
        <w:r>
          <w:rPr>
            <w:rStyle w:val="Hyperlink"/>
          </w:rPr>
          <w:t xml:space="preserve">https://github.com/samirrc2/version-migration-shock</w:t>
        </w:r>
      </w:hyperlink>
      <w:r>
        <w:t xml:space="preserve">.</w:t>
      </w:r>
      <w:r>
        <w:t xml:space="preserve"> </w:t>
      </w:r>
      <w:r>
        <w:t xml:space="preserve">A Code Ocean compute capsule enabling keys-free reproduction is available at</w:t>
      </w:r>
      <w:r>
        <w:t xml:space="preserve"> </w:t>
      </w:r>
      <w:hyperlink r:id="rId59">
        <w:r>
          <w:rPr>
            <w:rStyle w:val="Hyperlink"/>
          </w:rPr>
          <w:t xml:space="preserve">https://doi.org/10.24433/CO.2874343.v1</w:t>
        </w:r>
      </w:hyperlink>
      <w:r>
        <w:t xml:space="preserve"> </w:t>
      </w:r>
      <w:r>
        <w:t xml:space="preserve">(DOI: </w:t>
      </w:r>
      <w:r>
        <w:rPr>
          <w:rStyle w:val="VerbatimChar"/>
        </w:rPr>
        <w:t xml:space="preserve">10.24433/CO.2874343.v1</w:t>
      </w:r>
      <w:r>
        <w:t xml:space="preserve">).</w:t>
      </w:r>
      <w:r>
        <w:t xml:space="preserve"> </w:t>
      </w:r>
      <w:r>
        <w:t xml:space="preserve">The dataset SHA-256 hashes and analysis commit hash are recorded in the</w:t>
      </w:r>
      <w:r>
        <w:t xml:space="preserve"> </w:t>
      </w:r>
      <w:r>
        <w:t xml:space="preserve">supplementary manifest.</w:t>
      </w:r>
    </w:p>
    <w:p>
      <w:pPr>
        <w:pStyle w:val="Heading1"/>
      </w:pPr>
      <w:bookmarkStart w:id="60" w:name="acknowledgment"/>
      <w:r>
        <w:t xml:space="preserve">Acknowledgment</w:t>
      </w:r>
      <w:bookmarkEnd w:id="60"/>
    </w:p>
    <w:p>
      <w:pPr>
        <w:pStyle w:val="FirstParagraph"/>
      </w:pPr>
      <w:r>
        <w:t xml:space="preserve">The authors thank colleagues and reviewers for feedback.</w:t>
      </w:r>
    </w:p>
    <w:p>
      <w:pPr>
        <w:pStyle w:val="Heading1"/>
      </w:pPr>
      <w:bookmarkStart w:id="61" w:name="use-of-generative-ai"/>
      <w:r>
        <w:t xml:space="preserve">Use of Generative AI</w:t>
      </w:r>
      <w:bookmarkEnd w:id="61"/>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99</w:t>
      </w:r>
      <w:r>
        <w:t xml:space="preserve"> </w:t>
      </w:r>
      <w:r>
        <w:t xml:space="preserve">J. Zhang</w:t>
      </w:r>
      <w:r>
        <w:t xml:space="preserve"> </w:t>
      </w:r>
      <w:r>
        <w:rPr>
          <w:i/>
        </w:rPr>
        <w:t xml:space="preserve">et al.</w:t>
      </w:r>
      <w:r>
        <w:t xml:space="preserve">,</w:t>
      </w:r>
      <w:r>
        <w:t xml:space="preserve"> </w:t>
      </w:r>
      <w:r>
        <w:t xml:space="preserve">“</w:t>
      </w:r>
      <w:r>
        <w:t xml:space="preserve">MUSCLE: A Model Update Strategy for Compatible LLM Evolution,</w:t>
      </w:r>
      <w:r>
        <w:t xml:space="preserve">”</w:t>
      </w:r>
      <w:r>
        <w:t xml:space="preserve"> </w:t>
      </w:r>
      <w:r>
        <w:t xml:space="preserve">arXiv:2407.09435, 2024. [Online]. Available:</w:t>
      </w:r>
      <w:r>
        <w:t xml:space="preserve"> </w:t>
      </w:r>
      <w:hyperlink r:id="rId62">
        <w:r>
          <w:rPr>
            <w:rStyle w:val="Hyperlink"/>
          </w:rPr>
          <w:t xml:space="preserve">https://arxiv.org/abs/2407.09435</w:t>
        </w:r>
      </w:hyperlink>
      <w:r>
        <w:t xml:space="preserve"> </w:t>
      </w:r>
      <w:r>
        <w:t xml:space="preserve">C. Yang, Y. Shi, Q. Ma, M. X. Liu, C. Kästner, and T. Wu,</w:t>
      </w:r>
      <w:r>
        <w:t xml:space="preserve"> </w:t>
      </w:r>
      <w:r>
        <w:t xml:space="preserve">“</w:t>
      </w:r>
      <w:r>
        <w:t xml:space="preserve">What Prompts Don’t Say: Understanding and Managing Underspecification in LLM Prompts,</w:t>
      </w:r>
      <w:r>
        <w:t xml:space="preserve">”</w:t>
      </w:r>
      <w:r>
        <w:t xml:space="preserve"> </w:t>
      </w:r>
      <w:r>
        <w:t xml:space="preserve">arXiv:2505.13360, 2025. [Online]. Available:</w:t>
      </w:r>
      <w:r>
        <w:t xml:space="preserve"> </w:t>
      </w:r>
      <w:hyperlink r:id="rId63">
        <w:r>
          <w:rPr>
            <w:rStyle w:val="Hyperlink"/>
          </w:rPr>
          <w:t xml:space="preserve">https://arxiv.org/abs/2505.13360</w:t>
        </w:r>
      </w:hyperlink>
      <w:r>
        <w:t xml:space="preserve"> </w:t>
      </w:r>
      <w:r>
        <w:t xml:space="preserve">J. Kim</w:t>
      </w:r>
      <w:r>
        <w:t xml:space="preserve"> </w:t>
      </w:r>
      <w:r>
        <w:rPr>
          <w:i/>
        </w:rPr>
        <w:t xml:space="preserve">et al.</w:t>
      </w:r>
      <w:r>
        <w:t xml:space="preserve">,</w:t>
      </w:r>
      <w:r>
        <w:t xml:space="preserve"> </w:t>
      </w:r>
      <w:r>
        <w:t xml:space="preserve">“</w:t>
      </w:r>
      <w:r>
        <w:t xml:space="preserve">Correlated Errors in Large Language Models,</w:t>
      </w:r>
      <w:r>
        <w:t xml:space="preserve">”</w:t>
      </w:r>
      <w:r>
        <w:t xml:space="preserve"> </w:t>
      </w:r>
      <w:r>
        <w:t xml:space="preserve">arXiv:2506.07962, 2025. [Online]. Available:</w:t>
      </w:r>
      <w:r>
        <w:t xml:space="preserve"> </w:t>
      </w:r>
      <w:hyperlink r:id="rId64">
        <w:r>
          <w:rPr>
            <w:rStyle w:val="Hyperlink"/>
          </w:rPr>
          <w:t xml:space="preserve">https://arxiv.org/abs/2506.07962</w:t>
        </w:r>
      </w:hyperlink>
      <w:r>
        <w:t xml:space="preserve"> </w:t>
      </w:r>
      <w:r>
        <w:t xml:space="preserve">J. Daníelsson, R. Macrae, and A. Uthemann,</w:t>
      </w:r>
      <w:r>
        <w:t xml:space="preserve"> </w:t>
      </w:r>
      <w:r>
        <w:t xml:space="preserve">“</w:t>
      </w:r>
      <w:r>
        <w:t xml:space="preserve">Artificial intelligence and systemic risk,</w:t>
      </w:r>
      <w:r>
        <w:t xml:space="preserve">”</w:t>
      </w:r>
      <w:r>
        <w:t xml:space="preserve"> </w:t>
      </w:r>
      <w:r>
        <w:rPr>
          <w:i/>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w:t>
      </w:r>
      <w:r>
        <w:t xml:space="preserve">Picking on the same person: Does algorithmic monoculture lead to outcome homogenization?</w:t>
      </w:r>
      <w:r>
        <w:t xml:space="preserve">”</w:t>
      </w:r>
      <w:r>
        <w:t xml:space="preserve"> </w:t>
      </w:r>
      <w:r>
        <w:t xml:space="preserve">in</w:t>
      </w:r>
      <w:r>
        <w:t xml:space="preserve"> </w:t>
      </w:r>
      <w:r>
        <w:rPr>
          <w:i/>
        </w:rPr>
        <w:t xml:space="preserve">Advances in Neural Information Processing Systems (NeurIPS)</w:t>
      </w:r>
      <w:r>
        <w:t xml:space="preserve">, vol. 35, 2022. [Online]. Available:</w:t>
      </w:r>
      <w:r>
        <w:t xml:space="preserve"> </w:t>
      </w:r>
      <w:hyperlink r:id="rId65">
        <w:r>
          <w:rPr>
            <w:rStyle w:val="Hyperlink"/>
          </w:rPr>
          <w:t xml:space="preserve">https://arxiv.org/abs/2211.13972</w:t>
        </w:r>
      </w:hyperlink>
      <w:r>
        <w:t xml:space="preserve"> </w:t>
      </w:r>
      <w:r>
        <w:t xml:space="preserve">S. Cecchetti, R. L. Lumsdaine, T. Peltonen, and A. Sánchez Serrano,</w:t>
      </w:r>
      <w:r>
        <w:t xml:space="preserve"> </w:t>
      </w:r>
      <w:r>
        <w:t xml:space="preserve">“</w:t>
      </w:r>
      <w:r>
        <w:t xml:space="preserve">Artificial Intelligence and Systemic Risk,</w:t>
      </w:r>
      <w:r>
        <w:t xml:space="preserve">”</w:t>
      </w:r>
      <w:r>
        <w:t xml:space="preserve"> </w:t>
      </w:r>
      <w:r>
        <w:t xml:space="preserve">Reports of the ESRB Advisory Scientific Committee, No. 16, Dec. 2025.</w:t>
      </w:r>
      <w:r>
        <w:t xml:space="preserve"> </w:t>
      </w:r>
      <w:r>
        <w:t xml:space="preserve">Board of Governors of the Federal Reserve System and OCC,</w:t>
      </w:r>
      <w:r>
        <w:t xml:space="preserve"> </w:t>
      </w:r>
      <w:r>
        <w:t xml:space="preserve">“</w:t>
      </w:r>
      <w:r>
        <w:t xml:space="preserve">SR 11-7: Guidance on Model Risk Management,</w:t>
      </w:r>
      <w:r>
        <w:t xml:space="preserve">”</w:t>
      </w:r>
      <w:r>
        <w:t xml:space="preserve"> </w:t>
      </w:r>
      <w:r>
        <w:t xml:space="preserve">2011.</w:t>
      </w:r>
      <w:r>
        <w:t xml:space="preserve"> </w:t>
      </w:r>
      <w:r>
        <w:t xml:space="preserve">Board of Governors of the Federal Reserve System, OCC, and FDIC,</w:t>
      </w:r>
      <w:r>
        <w:t xml:space="preserve"> </w:t>
      </w:r>
      <w:r>
        <w:t xml:space="preserve">“</w:t>
      </w:r>
      <w:r>
        <w:t xml:space="preserve">SR 26-2: Revised Guidance on Model Risk Management,</w:t>
      </w:r>
      <w:r>
        <w:t xml:space="preserve">”</w:t>
      </w:r>
      <w:r>
        <w:t xml:space="preserve"> </w:t>
      </w:r>
      <w:r>
        <w:t xml:space="preserve">April 17, 2026 (supersedes SR 11-7); OCC Bulletin 2026-13.</w:t>
      </w:r>
      <w:r>
        <w:t xml:space="preserve"> </w:t>
      </w:r>
      <w:r>
        <w:t xml:space="preserve">National Institute of Standards and Technology,</w:t>
      </w:r>
      <w:r>
        <w:t xml:space="preserve"> </w:t>
      </w:r>
      <w:r>
        <w:t xml:space="preserve">“</w:t>
      </w:r>
      <w:r>
        <w:t xml:space="preserve">Artificial Intelligence Risk Management Framework: Generative AI Profile,</w:t>
      </w:r>
      <w:r>
        <w:t xml:space="preserve">”</w:t>
      </w:r>
      <w:r>
        <w:t xml:space="preserve"> </w:t>
      </w:r>
      <w:r>
        <w:t xml:space="preserve">NIST Trustworthy and Responsible AI, NIST AI 600-1, Jul. 2024, doi:10.6028/NIST.AI.600-1.</w:t>
      </w:r>
      <w:r>
        <w:t xml:space="preserve"> </w:t>
      </w:r>
      <w:r>
        <w:t xml:space="preserve">K. L. Gwet,</w:t>
      </w:r>
      <w:r>
        <w:t xml:space="preserve"> </w:t>
      </w:r>
      <w:r>
        <w:t xml:space="preserve">“</w:t>
      </w:r>
      <w:r>
        <w:t xml:space="preserve">Computing inter-rater reliability and its variance in the presence of high agreement,</w:t>
      </w:r>
      <w:r>
        <w:t xml:space="preserve">”</w:t>
      </w:r>
      <w:r>
        <w:t xml:space="preserve"> </w:t>
      </w:r>
      <w:r>
        <w:t xml:space="preserve">British J. Math. Stat. Psychology, vol. 61, pp. 29–48, 2008.</w:t>
      </w:r>
      <w:r>
        <w:t xml:space="preserve"> </w:t>
      </w:r>
      <w:r>
        <w:t xml:space="preserve">E. I. Altman,</w:t>
      </w:r>
      <w:r>
        <w:t xml:space="preserve"> </w:t>
      </w:r>
      <w:r>
        <w:t xml:space="preserve">“</w:t>
      </w:r>
      <w:r>
        <w:t xml:space="preserve">Financial Ratios, Discriminant Analysis and the Prediction of Corporate Bankruptcy,</w:t>
      </w:r>
      <w:r>
        <w:t xml:space="preserve">”</w:t>
      </w:r>
      <w:r>
        <w:t xml:space="preserve"> </w:t>
      </w:r>
      <w:r>
        <w:t xml:space="preserve">Journal of Finance, vol. 23, no. 4, pp. 589–609, 1968.</w:t>
      </w:r>
      <w:r>
        <w:t xml:space="preserve"> </w:t>
      </w:r>
      <w:r>
        <w:t xml:space="preserve">E. I. Altman,</w:t>
      </w:r>
      <w:r>
        <w:t xml:space="preserve"> </w:t>
      </w:r>
      <w:r>
        <w:t xml:space="preserve">“</w:t>
      </w:r>
      <w:r>
        <w:t xml:space="preserve">An Emerging Market Credit Scoring System for Corporate Bonds,</w:t>
      </w:r>
      <w:r>
        <w:t xml:space="preserve">”</w:t>
      </w:r>
      <w:r>
        <w:t xml:space="preserve"> </w:t>
      </w:r>
      <w:r>
        <w:t xml:space="preserve">Emerging Markets Review, vol. 6, no. 4, pp. 311–323, 2005 (see also Altman, Hartzell, and Peck, 1995), which defines the</w:t>
      </w:r>
      <w:r>
        <w:t xml:space="preserve"> </w:t>
      </w:r>
      <m:oMath>
        <m:r>
          <m:t>Z</m:t>
        </m:r>
        <m:r>
          <m:t>″</m:t>
        </m:r>
      </m:oMath>
      <w:r>
        <w:t xml:space="preserve"> </w:t>
      </w:r>
      <w:r>
        <w:t xml:space="preserve">model and its non-manufacturer / emerging-market cutoffs (2.6 / 1.1).</w:t>
      </w:r>
      <w:r>
        <w:t xml:space="preserve"> </w:t>
      </w:r>
      <w:r>
        <w:t xml:space="preserve">J. Cohen,</w:t>
      </w:r>
      <w:r>
        <w:t xml:space="preserve"> </w:t>
      </w:r>
      <w:r>
        <w:t xml:space="preserve">“</w:t>
      </w:r>
      <w:r>
        <w:t xml:space="preserve">A coefficient of agreement for nominal scales,</w:t>
      </w:r>
      <w:r>
        <w:t xml:space="preserve">”</w:t>
      </w:r>
      <w:r>
        <w:t xml:space="preserve"> </w:t>
      </w:r>
      <w:r>
        <w:rPr>
          <w:i/>
        </w:rPr>
        <w:t xml:space="preserve">Educational and Psychological Measurement</w:t>
      </w:r>
      <w:r>
        <w:t xml:space="preserve">, vol. 20, no. 1, pp. 37–46, 1960.</w:t>
      </w:r>
      <w:r>
        <w:t xml:space="preserve"> </w:t>
      </w:r>
      <w:r>
        <w:t xml:space="preserve">W. A. Scott,</w:t>
      </w:r>
      <w:r>
        <w:t xml:space="preserve"> </w:t>
      </w:r>
      <w:r>
        <w:t xml:space="preserve">“</w:t>
      </w:r>
      <w:r>
        <w:t xml:space="preserve">Reliability of content analysis: The case of nominal scale coding,</w:t>
      </w:r>
      <w:r>
        <w:t xml:space="preserve">”</w:t>
      </w:r>
      <w:r>
        <w:t xml:space="preserve"> </w:t>
      </w:r>
      <w:r>
        <w:rPr>
          <w:i/>
        </w:rPr>
        <w:t xml:space="preserve">Public Opinion Quarterly</w:t>
      </w:r>
      <w:r>
        <w:t xml:space="preserve">, vol. 19, no. 3, pp. 321–325, 1955.</w:t>
      </w:r>
      <w:r>
        <w:t xml:space="preserve"> </w:t>
      </w:r>
      <w:r>
        <w:t xml:space="preserve">J. L. Fleiss,</w:t>
      </w:r>
      <w:r>
        <w:t xml:space="preserve"> </w:t>
      </w:r>
      <w:r>
        <w:t xml:space="preserve">“</w:t>
      </w:r>
      <w:r>
        <w:t xml:space="preserve">Measuring nominal scale agreement among many raters,</w:t>
      </w:r>
      <w:r>
        <w:t xml:space="preserve">”</w:t>
      </w:r>
      <w:r>
        <w:t xml:space="preserve"> </w:t>
      </w:r>
      <w:r>
        <w:rPr>
          <w:i/>
        </w:rPr>
        <w:t xml:space="preserve">Psychological Bulletin</w:t>
      </w:r>
      <w:r>
        <w:t xml:space="preserve">, vol. 76, no. 5, pp. 378–382, 1971.</w:t>
      </w:r>
      <w:r>
        <w:t xml:space="preserve"> </w:t>
      </w:r>
      <w:r>
        <w:t xml:space="preserve">A. R. Feinstein and D. V. Cicchetti,</w:t>
      </w:r>
      <w:r>
        <w:t xml:space="preserve"> </w:t>
      </w:r>
      <w:r>
        <w:t xml:space="preserve">“</w:t>
      </w:r>
      <w:r>
        <w:t xml:space="preserve">High agreement but low kappa: I. The problems of two paradoxes,</w:t>
      </w:r>
      <w:r>
        <w:t xml:space="preserve">”</w:t>
      </w:r>
      <w:r>
        <w:t xml:space="preserve"> </w:t>
      </w:r>
      <w:r>
        <w:rPr>
          <w:i/>
        </w:rPr>
        <w:t xml:space="preserve">Journal of Clinical Epidemiology</w:t>
      </w:r>
      <w:r>
        <w:t xml:space="preserve">, vol. 43, no. 6, pp. 543–549, 1990.</w:t>
      </w:r>
      <w:r>
        <w:t xml:space="preserve"> </w:t>
      </w:r>
      <w:r>
        <w:t xml:space="preserve">Q. McNemar,</w:t>
      </w:r>
      <w:r>
        <w:t xml:space="preserve"> </w:t>
      </w:r>
      <w:r>
        <w:t xml:space="preserve">“</w:t>
      </w:r>
      <w:r>
        <w:t xml:space="preserve">Note on the sampling error of the difference between correlated proportions or percentages,</w:t>
      </w:r>
      <w:r>
        <w:t xml:space="preserve">”</w:t>
      </w:r>
      <w:r>
        <w:t xml:space="preserve"> </w:t>
      </w:r>
      <w:r>
        <w:rPr>
          <w:i/>
        </w:rPr>
        <w:t xml:space="preserve">Psychometrika</w:t>
      </w:r>
      <w:r>
        <w:t xml:space="preserve">, vol. 12, no. 2, pp. 153–157, 1947.</w:t>
      </w:r>
      <w:r>
        <w:t xml:space="preserve"> </w:t>
      </w:r>
      <w:r>
        <w:t xml:space="preserve">B. Efron,</w:t>
      </w:r>
      <w:r>
        <w:t xml:space="preserve"> </w:t>
      </w:r>
      <w:r>
        <w:t xml:space="preserve">“</w:t>
      </w:r>
      <w:r>
        <w:t xml:space="preserve">Bootstrap methods: Another look at the jackknife,</w:t>
      </w:r>
      <w:r>
        <w:t xml:space="preserve">”</w:t>
      </w:r>
      <w:r>
        <w:t xml:space="preserve"> </w:t>
      </w:r>
      <w:r>
        <w:rPr>
          <w:i/>
        </w:rPr>
        <w:t xml:space="preserve">Annals of Statistics</w:t>
      </w:r>
      <w:r>
        <w:t xml:space="preserve">, vol. 7, no. 1, pp. 1–26, 1979.</w:t>
      </w:r>
      <w:r>
        <w:t xml:space="preserve"> </w:t>
      </w:r>
      <w:r>
        <w:t xml:space="preserve">R. Bommasani</w:t>
      </w:r>
      <w:r>
        <w:t xml:space="preserve"> </w:t>
      </w:r>
      <w:r>
        <w:rPr>
          <w:i/>
        </w:rPr>
        <w:t xml:space="preserve">et al.</w:t>
      </w:r>
      <w:r>
        <w:t xml:space="preserve">,</w:t>
      </w:r>
      <w:r>
        <w:t xml:space="preserve"> </w:t>
      </w:r>
      <w:r>
        <w:t xml:space="preserve">“</w:t>
      </w:r>
      <w:r>
        <w:t xml:space="preserve">On the Opportunities and Risks of Foundation Models,</w:t>
      </w:r>
      <w:r>
        <w:t xml:space="preserve">”</w:t>
      </w:r>
      <w:r>
        <w:t xml:space="preserve"> </w:t>
      </w:r>
      <w:r>
        <w:t xml:space="preserve">arXiv:2108.07258, 2021. [Online]. Available:</w:t>
      </w:r>
      <w:r>
        <w:t xml:space="preserve"> </w:t>
      </w:r>
      <w:hyperlink r:id="rId66">
        <w:r>
          <w:rPr>
            <w:rStyle w:val="Hyperlink"/>
          </w:rPr>
          <w:t xml:space="preserve">https://arxiv.org/abs/2108.07258</w:t>
        </w:r>
      </w:hyperlink>
      <w:r>
        <w:t xml:space="preserve"> </w:t>
      </w:r>
      <w:r>
        <w:t xml:space="preserve">P. Liang</w:t>
      </w:r>
      <w:r>
        <w:t xml:space="preserve"> </w:t>
      </w:r>
      <w:r>
        <w:rPr>
          <w:i/>
        </w:rPr>
        <w:t xml:space="preserve">et al.</w:t>
      </w:r>
      <w:r>
        <w:t xml:space="preserve">,</w:t>
      </w:r>
      <w:r>
        <w:t xml:space="preserve"> </w:t>
      </w:r>
      <w:r>
        <w:t xml:space="preserve">“</w:t>
      </w:r>
      <w:r>
        <w:t xml:space="preserve">Holistic Evaluation of Language Models,</w:t>
      </w:r>
      <w:r>
        <w:t xml:space="preserve">”</w:t>
      </w:r>
      <w:r>
        <w:t xml:space="preserve"> </w:t>
      </w:r>
      <w:r>
        <w:rPr>
          <w:i/>
        </w:rPr>
        <w:t xml:space="preserve">Trans. Machine Learning Research</w:t>
      </w:r>
      <w:r>
        <w:t xml:space="preserve">, 2023; arXiv:2211.09110.</w:t>
      </w:r>
      <w:r>
        <w:t xml:space="preserve"> </w:t>
      </w:r>
      <w:r>
        <w:t xml:space="preserve">S. Wu</w:t>
      </w:r>
      <w:r>
        <w:t xml:space="preserve"> </w:t>
      </w:r>
      <w:r>
        <w:rPr>
          <w:i/>
        </w:rPr>
        <w:t xml:space="preserve">et al.</w:t>
      </w:r>
      <w:r>
        <w:t xml:space="preserve">,</w:t>
      </w:r>
      <w:r>
        <w:t xml:space="preserve"> </w:t>
      </w:r>
      <w:r>
        <w:t xml:space="preserve">“</w:t>
      </w:r>
      <w:r>
        <w:t xml:space="preserve">BloombergGPT: A Large Language Model for Finance,</w:t>
      </w:r>
      <w:r>
        <w:t xml:space="preserve">”</w:t>
      </w:r>
      <w:r>
        <w:t xml:space="preserve"> </w:t>
      </w:r>
      <w:r>
        <w:t xml:space="preserve">arXiv:2303.17564, 2023. [Online]. Available:</w:t>
      </w:r>
      <w:r>
        <w:t xml:space="preserve"> </w:t>
      </w:r>
      <w:hyperlink r:id="rId67">
        <w:r>
          <w:rPr>
            <w:rStyle w:val="Hyperlink"/>
          </w:rPr>
          <w:t xml:space="preserve">https://arxiv.org/abs/2303.17564</w:t>
        </w:r>
      </w:hyperlink>
      <w:r>
        <w:t xml:space="preserve"> </w:t>
      </w:r>
      <w:r>
        <w:t xml:space="preserve">D. Araci,</w:t>
      </w:r>
      <w:r>
        <w:t xml:space="preserve"> </w:t>
      </w:r>
      <w:r>
        <w:t xml:space="preserve">“</w:t>
      </w:r>
      <w:r>
        <w:t xml:space="preserve">FinBERT: Financial Sentiment Analysis with Pre-trained Language Models,</w:t>
      </w:r>
      <w:r>
        <w:t xml:space="preserve">”</w:t>
      </w:r>
      <w:r>
        <w:t xml:space="preserve"> </w:t>
      </w:r>
      <w:r>
        <w:t xml:space="preserve">arXiv:1908.10063, 2019. [Online]. Available:</w:t>
      </w:r>
      <w:r>
        <w:t xml:space="preserve"> </w:t>
      </w:r>
      <w:hyperlink r:id="rId68">
        <w:r>
          <w:rPr>
            <w:rStyle w:val="Hyperlink"/>
          </w:rPr>
          <w:t xml:space="preserve">https://arxiv.org/abs/1908.10063</w:t>
        </w:r>
      </w:hyperlink>
      <w:r>
        <w:t xml:space="preserve"> </w:t>
      </w:r>
      <w:r>
        <w:t xml:space="preserve">J. Kleinberg and M. Raghavan,</w:t>
      </w:r>
      <w:r>
        <w:t xml:space="preserve"> </w:t>
      </w:r>
      <w:r>
        <w:t xml:space="preserve">“</w:t>
      </w:r>
      <w:r>
        <w:t xml:space="preserve">Algorithmic monoculture and social welfare,</w:t>
      </w:r>
      <w:r>
        <w:t xml:space="preserve">”</w:t>
      </w:r>
      <w:r>
        <w:t xml:space="preserve"> </w:t>
      </w:r>
      <w:r>
        <w:rPr>
          <w:i/>
        </w:rPr>
        <w:t xml:space="preserve">Proc. Nat. Acad. Sci.</w:t>
      </w:r>
      <w:r>
        <w:t xml:space="preserve">, vol. 118, no. 22, e2018340118, 2021.</w:t>
      </w:r>
      <w:r>
        <w:t xml:space="preserve"> </w:t>
      </w:r>
      <w:r>
        <w:t xml:space="preserve">J. Wei</w:t>
      </w:r>
      <w:r>
        <w:t xml:space="preserve"> </w:t>
      </w:r>
      <w:r>
        <w:rPr>
          <w:i/>
        </w:rPr>
        <w:t xml:space="preserve">et al.</w:t>
      </w:r>
      <w:r>
        <w:t xml:space="preserve">,</w:t>
      </w:r>
      <w:r>
        <w:t xml:space="preserve"> </w:t>
      </w:r>
      <w:r>
        <w:t xml:space="preserve">“</w:t>
      </w:r>
      <w:r>
        <w:t xml:space="preserve">Emergent Abilities of Large Language Models,</w:t>
      </w:r>
      <w:r>
        <w:t xml:space="preserve">”</w:t>
      </w:r>
      <w:r>
        <w:t xml:space="preserve"> </w:t>
      </w:r>
      <w:r>
        <w:rPr>
          <w:i/>
        </w:rPr>
        <w:t xml:space="preserve">Trans. Machine Learning Research</w:t>
      </w:r>
      <w:r>
        <w:t xml:space="preserve">, 2022; arXiv:2206.07682.</w:t>
      </w:r>
      <w:r>
        <w:t xml:space="preserve"> </w:t>
      </w:r>
      <w:r>
        <w:t xml:space="preserve">J. Gama, I. Žliobaitė, A. Bifet, M. Pechenizkiy, and A. Bouchachia,</w:t>
      </w:r>
      <w:r>
        <w:t xml:space="preserve"> </w:t>
      </w:r>
      <w:r>
        <w:t xml:space="preserve">“</w:t>
      </w:r>
      <w:r>
        <w:t xml:space="preserve">A survey on concept drift adaptation,</w:t>
      </w:r>
      <w:r>
        <w:t xml:space="preserve">”</w:t>
      </w:r>
      <w:r>
        <w:t xml:space="preserve"> </w:t>
      </w:r>
      <w:r>
        <w:rPr>
          <w:i/>
        </w:rPr>
        <w:t xml:space="preserve">ACM Computing Surveys</w:t>
      </w:r>
      <w:r>
        <w:t xml:space="preserve">, vol. 46, no. 4, pp. 1–37, 2014.</w:t>
      </w:r>
      <w:r>
        <w:t xml:space="preserve"> </w:t>
      </w:r>
      <w:r>
        <w:t xml:space="preserve">S. Yan</w:t>
      </w:r>
      <w:r>
        <w:t xml:space="preserve"> </w:t>
      </w:r>
      <w:r>
        <w:rPr>
          <w:i/>
        </w:rPr>
        <w:t xml:space="preserve">et al.</w:t>
      </w:r>
      <w:r>
        <w:t xml:space="preserve">,</w:t>
      </w:r>
      <w:r>
        <w:t xml:space="preserve"> </w:t>
      </w:r>
      <w:r>
        <w:t xml:space="preserve">“</w:t>
      </w:r>
      <w:r>
        <w:t xml:space="preserve">Positive-congruent training: Towards regression-free model updates,</w:t>
      </w:r>
      <w:r>
        <w:t xml:space="preserve">”</w:t>
      </w:r>
      <w:r>
        <w:t xml:space="preserve"> </w:t>
      </w:r>
      <w:r>
        <w:t xml:space="preserve">in</w:t>
      </w:r>
      <w:r>
        <w:t xml:space="preserve"> </w:t>
      </w:r>
      <w:r>
        <w:rPr>
          <w:i/>
        </w:rPr>
        <w:t xml:space="preserve">Proc. IEEE/CVF Conf. Computer Vision and Pattern Recognition (CVPR)</w:t>
      </w:r>
      <w:r>
        <w:t xml:space="preserve">, 2021, pp. 14299–14308.</w:t>
      </w:r>
      <w:r>
        <w:t xml:space="preserve"> </w:t>
      </w:r>
      <w:r>
        <w:t xml:space="preserve">M. Sclar, Y. Choi, Y. Tsvetkov, and A. Suhr,</w:t>
      </w:r>
      <w:r>
        <w:t xml:space="preserve"> </w:t>
      </w:r>
      <w:r>
        <w:t xml:space="preserve">“</w:t>
      </w:r>
      <w:r>
        <w:t xml:space="preserve">Quantifying Language Models’ Sensitivity to Spurious Features in Prompt Design,</w:t>
      </w:r>
      <w:r>
        <w:t xml:space="preserve">”</w:t>
      </w:r>
      <w:r>
        <w:t xml:space="preserve"> </w:t>
      </w:r>
      <w:r>
        <w:t xml:space="preserve">in</w:t>
      </w:r>
      <w:r>
        <w:t xml:space="preserve"> </w:t>
      </w:r>
      <w:r>
        <w:rPr>
          <w:i/>
        </w:rPr>
        <w:t xml:space="preserve">Proc. Int. Conf. Learning Representations (ICLR)</w:t>
      </w:r>
      <w:r>
        <w:t xml:space="preserve">, 2024; arXiv:2310.11324.</w:t>
      </w:r>
      <w:r>
        <w:t xml:space="preserve"> </w:t>
      </w:r>
      <w:r>
        <w:t xml:space="preserve">Financial Stability Board,</w:t>
      </w:r>
      <w:r>
        <w:t xml:space="preserve"> </w:t>
      </w:r>
      <w:r>
        <w:t xml:space="preserve">“</w:t>
      </w:r>
      <w:r>
        <w:t xml:space="preserve">Artificial Intelligence and Machine Learning in Financial Services,</w:t>
      </w:r>
      <w:r>
        <w:t xml:space="preserve">”</w:t>
      </w:r>
      <w:r>
        <w:t xml:space="preserve"> </w:t>
      </w:r>
      <w:r>
        <w:t xml:space="preserve">Nov. 2017.</w:t>
      </w:r>
      <w:r>
        <w:t xml:space="preserve"> </w:t>
      </w:r>
      <w:r>
        <w:t xml:space="preserve">OpenAI,</w:t>
      </w:r>
      <w:r>
        <w:t xml:space="preserve"> </w:t>
      </w:r>
      <w:r>
        <w:t xml:space="preserve">“</w:t>
      </w:r>
      <w:r>
        <w:t xml:space="preserve">GPT-4 Technical Report,</w:t>
      </w:r>
      <w:r>
        <w:t xml:space="preserve">”</w:t>
      </w:r>
      <w:r>
        <w:t xml:space="preserve"> </w:t>
      </w:r>
      <w:r>
        <w:t xml:space="preserve">arXiv:2303.08774, 2023. [Online]. Available:</w:t>
      </w:r>
      <w:r>
        <w:t xml:space="preserve"> </w:t>
      </w:r>
      <w:hyperlink r:id="rId69">
        <w:r>
          <w:rPr>
            <w:rStyle w:val="Hyperlink"/>
          </w:rPr>
          <w:t xml:space="preserve">https://arxiv.org/abs/2303.08774</w:t>
        </w:r>
      </w:hyperlink>
      <w:r>
        <w:t xml:space="preserve"> </w:t>
      </w:r>
      <w:r>
        <w:t xml:space="preserve">B. A. Nosek, C. R. Ebersole, A. C. DeHaven, and D. T. Mellor,</w:t>
      </w:r>
      <w:r>
        <w:t xml:space="preserve"> </w:t>
      </w:r>
      <w:r>
        <w:t xml:space="preserve">“</w:t>
      </w:r>
      <w:r>
        <w:t xml:space="preserve">The preregistration revolution,</w:t>
      </w:r>
      <w:r>
        <w:t xml:space="preserve">”</w:t>
      </w:r>
      <w:r>
        <w:t xml:space="preserve"> </w:t>
      </w:r>
      <w:r>
        <w:rPr>
          <w:i/>
        </w:rPr>
        <w:t xml:space="preserve">Proc. Nat. Acad. Sci.</w:t>
      </w:r>
      <w:r>
        <w:t xml:space="preserve">, vol. 115, no. 11, pp. 2600–2606, 2018.</w:t>
      </w:r>
      <w:r>
        <w:t xml:space="preserve"> </w:t>
      </w:r>
      <w:r>
        <w:t xml:space="preserve">J. P. Simmons, L. D. Nelson, and U. Simonsohn,</w:t>
      </w:r>
      <w:r>
        <w:t xml:space="preserve"> </w:t>
      </w:r>
      <w:r>
        <w:t xml:space="preserve">“</w:t>
      </w:r>
      <w:r>
        <w:t xml:space="preserve">False-positive psychology: Undisclosed flexibility in data collection and analysis allows presenting anything as significant,</w:t>
      </w:r>
      <w:r>
        <w:t xml:space="preserve">”</w:t>
      </w:r>
      <w:r>
        <w:t xml:space="preserve"> </w:t>
      </w:r>
      <w:r>
        <w:rPr>
          <w:i/>
        </w:rPr>
        <w:t xml:space="preserve">Psychological Science</w:t>
      </w:r>
      <w:r>
        <w:t xml:space="preserve">, vol. 22, no. 11, pp. 1359–1366, 2011.</w:t>
      </w:r>
      <w:r>
        <w:t xml:space="preserve"> </w:t>
      </w:r>
      <w:r>
        <w:t xml:space="preserve">J. Pineau</w:t>
      </w:r>
      <w:r>
        <w:t xml:space="preserve"> </w:t>
      </w:r>
      <w:r>
        <w:rPr>
          <w:i/>
        </w:rPr>
        <w:t xml:space="preserve">et al.</w:t>
      </w:r>
      <w:r>
        <w:t xml:space="preserve">,</w:t>
      </w:r>
      <w:r>
        <w:t xml:space="preserve"> </w:t>
      </w:r>
      <w:r>
        <w:t xml:space="preserve">“</w:t>
      </w:r>
      <w:r>
        <w:t xml:space="preserve">Improving reproducibility in machine learning research (a report from the NeurIPS 2019 reproducibility program),</w:t>
      </w:r>
      <w:r>
        <w:t xml:space="preserve">”</w:t>
      </w:r>
      <w:r>
        <w:t xml:space="preserve"> </w:t>
      </w:r>
      <w:r>
        <w:rPr>
          <w:i/>
        </w:rPr>
        <w:t xml:space="preserve">Journal of Machine Learning Research</w:t>
      </w:r>
      <w:r>
        <w:t xml:space="preserve">, vol. 22, no. 164, pp. 1–20, 2021.</w:t>
      </w:r>
      <w:r>
        <w:t xml:space="preserve"> </w:t>
      </w:r>
      <w:r>
        <w:t xml:space="preserve">OpenAI,</w:t>
      </w:r>
      <w:r>
        <w:t xml:space="preserve"> </w:t>
      </w:r>
      <w:r>
        <w:t xml:space="preserve">“</w:t>
      </w:r>
      <w:r>
        <w:t xml:space="preserve">Deprecations,</w:t>
      </w:r>
      <w:r>
        <w:t xml:space="preserve">”</w:t>
      </w:r>
      <w:r>
        <w:t xml:space="preserve"> </w:t>
      </w:r>
      <w:r>
        <w:t xml:space="preserve">OpenAI API Documentation, 2026. [Online]. Available:</w:t>
      </w:r>
      <w:r>
        <w:t xml:space="preserve"> </w:t>
      </w:r>
      <w:hyperlink r:id="rId70">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w:t>
      </w:r>
      <w:r>
        <w:t xml:space="preserve">Gemini deprecations,</w:t>
      </w:r>
      <w:r>
        <w:t xml:space="preserve">”</w:t>
      </w:r>
      <w:r>
        <w:t xml:space="preserve"> </w:t>
      </w:r>
      <w:r>
        <w:t xml:space="preserve">Google AI for Developers, 2026. [Online]. Available:</w:t>
      </w:r>
      <w:r>
        <w:t xml:space="preserve"> </w:t>
      </w:r>
      <w:hyperlink r:id="rId71">
        <w:r>
          <w:rPr>
            <w:rStyle w:val="Hyperlink"/>
          </w:rPr>
          <w:t xml:space="preserve">https://ai.google.dev/gemini-api/docs/deprecations</w:t>
        </w:r>
      </w:hyperlink>
      <w:r>
        <w:t xml:space="preserve"> </w:t>
      </w:r>
      <w:r>
        <w:t xml:space="preserve">(accessed Jul. 4, 2026).</w:t>
      </w:r>
    </w:p>
    <w:p>
      <w:pPr>
        <w:pStyle w:val="Heading2"/>
      </w:pPr>
      <w:bookmarkStart w:id="72" w:name="samir-chincholikar"/>
      <w:r>
        <w:t xml:space="preserve">Samir Chincholikar</w:t>
      </w:r>
      <w:bookmarkEnd w:id="72"/>
    </w:p>
    <w:p>
      <w:pPr>
        <w:pStyle w:val="FirstParagraph"/>
      </w:pP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Heading2"/>
      </w:pPr>
      <w:bookmarkStart w:id="73" w:name="robin-chawla"/>
      <w:r>
        <w:t xml:space="preserve">Robin Chawla</w:t>
      </w:r>
      <w:bookmarkEnd w:id="73"/>
    </w:p>
    <w:p>
      <w:pPr>
        <w:pStyle w:val="FirstParagraph"/>
      </w:pP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71" Target="https://ai.google.dev/gemini-api/docs/deprecations" TargetMode="External" /><Relationship Type="http://schemas.openxmlformats.org/officeDocument/2006/relationships/hyperlink" Id="rId68" Target="https://arxiv.org/abs/1908.10063" TargetMode="External" /><Relationship Type="http://schemas.openxmlformats.org/officeDocument/2006/relationships/hyperlink" Id="rId66" Target="https://arxiv.org/abs/2108.07258" TargetMode="External" /><Relationship Type="http://schemas.openxmlformats.org/officeDocument/2006/relationships/hyperlink" Id="rId65" Target="https://arxiv.org/abs/2211.13972" TargetMode="External" /><Relationship Type="http://schemas.openxmlformats.org/officeDocument/2006/relationships/hyperlink" Id="rId69" Target="https://arxiv.org/abs/2303.08774" TargetMode="External" /><Relationship Type="http://schemas.openxmlformats.org/officeDocument/2006/relationships/hyperlink" Id="rId67" Target="https://arxiv.org/abs/2303.17564" TargetMode="External" /><Relationship Type="http://schemas.openxmlformats.org/officeDocument/2006/relationships/hyperlink" Id="rId62" Target="https://arxiv.org/abs/2407.09435" TargetMode="External" /><Relationship Type="http://schemas.openxmlformats.org/officeDocument/2006/relationships/hyperlink" Id="rId63" Target="https://arxiv.org/abs/2505.13360" TargetMode="External" /><Relationship Type="http://schemas.openxmlformats.org/officeDocument/2006/relationships/hyperlink" Id="rId64" Target="https://arxiv.org/abs/2506.07962" TargetMode="External" /><Relationship Type="http://schemas.openxmlformats.org/officeDocument/2006/relationships/hyperlink" Id="rId70" Target="https://developers.openai.com/api/docs/deprecations" TargetMode="External" /><Relationship Type="http://schemas.openxmlformats.org/officeDocument/2006/relationships/hyperlink" Id="rId59" Target="https://doi.org/10.24433/CO.2874343.v1" TargetMode="External" /><Relationship Type="http://schemas.openxmlformats.org/officeDocument/2006/relationships/hyperlink" Id="rId58" Target="https://github.com/samirrc2/version-migration-shock" TargetMode="External" /></Relationships>
</file>

<file path=word/_rels/footnotes.xml.rels><?xml version="1.0" encoding="UTF-8"?>
<Relationships xmlns="http://schemas.openxmlformats.org/package/2006/relationships"><Relationship Type="http://schemas.openxmlformats.org/officeDocument/2006/relationships/hyperlink" Id="rId71" Target="https://ai.google.dev/gemini-api/docs/deprecations" TargetMode="External" /><Relationship Type="http://schemas.openxmlformats.org/officeDocument/2006/relationships/hyperlink" Id="rId68" Target="https://arxiv.org/abs/1908.10063" TargetMode="External" /><Relationship Type="http://schemas.openxmlformats.org/officeDocument/2006/relationships/hyperlink" Id="rId66" Target="https://arxiv.org/abs/2108.07258" TargetMode="External" /><Relationship Type="http://schemas.openxmlformats.org/officeDocument/2006/relationships/hyperlink" Id="rId65" Target="https://arxiv.org/abs/2211.13972" TargetMode="External" /><Relationship Type="http://schemas.openxmlformats.org/officeDocument/2006/relationships/hyperlink" Id="rId69" Target="https://arxiv.org/abs/2303.08774" TargetMode="External" /><Relationship Type="http://schemas.openxmlformats.org/officeDocument/2006/relationships/hyperlink" Id="rId67" Target="https://arxiv.org/abs/2303.17564" TargetMode="External" /><Relationship Type="http://schemas.openxmlformats.org/officeDocument/2006/relationships/hyperlink" Id="rId62" Target="https://arxiv.org/abs/2407.09435" TargetMode="External" /><Relationship Type="http://schemas.openxmlformats.org/officeDocument/2006/relationships/hyperlink" Id="rId63" Target="https://arxiv.org/abs/2505.13360" TargetMode="External" /><Relationship Type="http://schemas.openxmlformats.org/officeDocument/2006/relationships/hyperlink" Id="rId64" Target="https://arxiv.org/abs/2506.07962" TargetMode="External" /><Relationship Type="http://schemas.openxmlformats.org/officeDocument/2006/relationships/hyperlink" Id="rId70" Target="https://developers.openai.com/api/docs/deprecations" TargetMode="External" /><Relationship Type="http://schemas.openxmlformats.org/officeDocument/2006/relationships/hyperlink" Id="rId59" Target="https://doi.org/10.24433/CO.2874343.v1" TargetMode="External" /><Relationship Type="http://schemas.openxmlformats.org/officeDocument/2006/relationships/hyperlink" Id="rId58" Target="https://github.com/samirrc2/version-migration-sh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2026-08-05T22:58:14Z</dcterms:created>
  <dcterms:modified xsi:type="dcterms:W3CDTF">2026-08-05T22:58:14Z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7.7–15.0); for the Gemini migration this excess is 38.1 percentage points (95% CI: 30.3–45.8).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