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graphical-abstract-file-name-and-caption"/>
    <w:p>
      <w:pPr>
        <w:pStyle w:val="Heading1"/>
      </w:pPr>
      <w:r>
        <w:t xml:space="preserve">Graphical Abstract: file name and caption</w:t>
      </w:r>
    </w:p>
    <w:p>
      <w:pPr>
        <w:pStyle w:val="FirstParagraph"/>
      </w:pPr>
      <w:r>
        <w:rPr>
          <w:b/>
          <w:bCs/>
        </w:rPr>
        <w:t xml:space="preserve">Article:</w:t>
      </w:r>
      <w:r>
        <w:t xml:space="preserve"> </w:t>
      </w:r>
      <w:r>
        <w:t xml:space="preserve">Version Migration as a Correlated Shock: Model Updates as an Unmanaged Risk Channel in LLM-Based Financial Systems</w:t>
      </w:r>
    </w:p>
    <w:p>
      <w:pPr>
        <w:pStyle w:val="BodyText"/>
      </w:pPr>
      <w:r>
        <w:rPr>
          <w:b/>
          <w:bCs/>
        </w:rPr>
        <w:t xml:space="preserve">Manuscript ID:</w:t>
      </w:r>
      <w:r>
        <w:t xml:space="preserve"> </w:t>
      </w:r>
      <w:r>
        <w:t xml:space="preserve">Access-2026-49480</w:t>
      </w:r>
    </w:p>
    <w:bookmarkStart w:id="9" w:name="a-file-name-of-the-graphical-abstract"/>
    <w:p>
      <w:pPr>
        <w:pStyle w:val="Heading2"/>
      </w:pPr>
      <w:r>
        <w:t xml:space="preserve">a) File name of the Graphical Abstract</w:t>
      </w:r>
    </w:p>
    <w:p>
      <w:pPr>
        <w:pStyle w:val="FirstParagraph"/>
      </w:pPr>
      <w:r>
        <w:rPr>
          <w:b/>
          <w:bCs/>
        </w:rPr>
        <w:t xml:space="preserve">Graphical Abstract.jpg</w:t>
      </w:r>
      <w:r>
        <w:t xml:space="preserve"> </w:t>
      </w:r>
      <w:r>
        <w:t xml:space="preserve">(660 x 295 pixels, JPEG, 41 KB)</w:t>
      </w:r>
    </w:p>
    <w:p>
      <w:pPr>
        <w:pStyle w:val="BodyText"/>
      </w:pPr>
      <w:r>
        <w:t xml:space="preserve">No video was submitted with this article, so no overlay still image is applicable.</w:t>
      </w:r>
    </w:p>
    <w:p>
      <w:pPr>
        <w:pStyle w:val="BodyText"/>
      </w:pPr>
      <w:r>
        <w:t xml:space="preserve">The Graphical Abstract is Figure 3 of the accepted article, the decision transition matrices, redrawn at the requested dimensions from the same analysis output so that the type is legible at thumbnail size. The matrices, the counts and the title are identical to the published figure. Nothing was cropped, added or altered.</w:t>
      </w:r>
    </w:p>
    <w:bookmarkEnd w:id="9"/>
    <w:bookmarkStart w:id="10" w:name="b-caption-for-the-graphical-abstract"/>
    <w:p>
      <w:pPr>
        <w:pStyle w:val="Heading2"/>
      </w:pPr>
      <w:r>
        <w:t xml:space="preserve">b) Caption for the Graphical Abstract</w:t>
      </w:r>
    </w:p>
    <w:p>
      <w:pPr>
        <w:pStyle w:val="FirstParagraph"/>
      </w:pPr>
      <w:r>
        <w:t xml:space="preserve">Decision transitions for two real vendor model-version migrations, measured on an identical frozen grid of 100 companies and 12 dates. The OpenAI migration moves cases toward greater severity, 365 SAFE to WATCH and 260 WATCH to DISTRESS. The Gemini migration slides the opposite way, 1,114 WATCH cases into SAFE. Opposite directions, same unmanaged risk channel.</w:t>
      </w:r>
    </w:p>
    <w:p>
      <w:pPr>
        <w:pStyle w:val="BodyText"/>
      </w:pPr>
      <w:r>
        <w:rPr>
          <w:i/>
          <w:iCs/>
        </w:rPr>
        <w:t xml:space="preserve">(55 words, within the 60-word limit.)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2026-10-18T14:46:43Z</dcterms:created>
  <dcterms:modified xsi:type="dcterms:W3CDTF">2026-10-18T14:46:43Z</dcterms:modified>
</cp:coreProperties>
</file>

<file path=docProps/custom.xml><?xml version="1.0" encoding="utf-8"?>
<Properties xmlns="http://schemas.openxmlformats.org/officeDocument/2006/custom-properties" xmlns:vt="http://schemas.openxmlformats.org/officeDocument/2006/docPropsVTypes"/>
</file>