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factors that could have led to the gain in life expectancy among breast cancer patients.  We extend and improve prior research </w:t>
      </w:r>
      <w:r w:rsidR="008F7C88" w:rsidRPr="009721A5">
        <w:rPr>
          <w:color w:val="000000" w:themeColor="text1"/>
          <w:sz w:val="24"/>
          <w:szCs w:val="24"/>
          <w:highlight w:val="magenta"/>
          <w:rPrChange w:id="0" w:author="TDI" w:date="2016-01-11T23:47:00Z">
            <w:rPr>
              <w:color w:val="000000" w:themeColor="text1"/>
              <w:sz w:val="24"/>
              <w:szCs w:val="24"/>
            </w:rPr>
          </w:rPrChange>
        </w:rPr>
        <w:t>in three ways</w:t>
      </w:r>
      <w:r w:rsidR="008F7C88" w:rsidRPr="00597040">
        <w:rPr>
          <w:color w:val="000000" w:themeColor="text1"/>
          <w:sz w:val="24"/>
          <w:szCs w:val="24"/>
        </w:rPr>
        <w:t>: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CC345AE" w14:textId="2EF5D429"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commentRangeStart w:id="1"/>
      <w:r w:rsidRPr="00597040">
        <w:rPr>
          <w:color w:val="000000" w:themeColor="text1"/>
          <w:sz w:val="24"/>
          <w:szCs w:val="24"/>
        </w:rPr>
        <w:t>We</w:t>
      </w:r>
      <w:commentRangeEnd w:id="1"/>
      <w:r w:rsidR="009721A5">
        <w:rPr>
          <w:rStyle w:val="CommentReference"/>
        </w:rPr>
        <w:commentReference w:id="1"/>
      </w:r>
      <w:r w:rsidRPr="00597040">
        <w:rPr>
          <w:color w:val="000000" w:themeColor="text1"/>
          <w:sz w:val="24"/>
          <w:szCs w:val="24"/>
        </w:rPr>
        <w:t xml:space="preserv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 xml:space="preserve">e began with all-cause incidence-based case fatality rates </w:t>
      </w:r>
      <w:r w:rsidR="00275DE9" w:rsidRPr="00597040">
        <w:rPr>
          <w:color w:val="000000" w:themeColor="text1"/>
          <w:sz w:val="24"/>
          <w:szCs w:val="24"/>
          <w:highlight w:val="yellow"/>
        </w:rPr>
        <w:t>(hereafter “fatality rates”)</w:t>
      </w:r>
      <w:r w:rsidR="00275DE9">
        <w:rPr>
          <w:color w:val="000000" w:themeColor="text1"/>
          <w:sz w:val="24"/>
          <w:szCs w:val="24"/>
        </w:rPr>
        <w:t xml:space="preserve"> </w:t>
      </w:r>
      <w:r w:rsidRPr="00597040">
        <w:rPr>
          <w:color w:val="000000" w:themeColor="text1"/>
          <w:sz w:val="24"/>
          <w:szCs w:val="24"/>
        </w:rPr>
        <w:t>by tumor size</w:t>
      </w:r>
      <w:r w:rsidR="00474BF2" w:rsidRPr="00275DE9">
        <w:rPr>
          <w:color w:val="000000" w:themeColor="text1"/>
          <w:sz w:val="24"/>
          <w:szCs w:val="24"/>
          <w:highlight w:val="yellow"/>
        </w:rPr>
        <w:t>, as described in Section 2.</w:t>
      </w:r>
      <w:r w:rsidR="00275DE9">
        <w:rPr>
          <w:color w:val="000000" w:themeColor="text1"/>
          <w:sz w:val="24"/>
          <w:szCs w:val="24"/>
        </w:rPr>
        <w:t>2</w:t>
      </w:r>
      <w:r w:rsidR="00971EC6" w:rsidRPr="00597040">
        <w:rPr>
          <w:color w:val="000000" w:themeColor="text1"/>
          <w:sz w:val="24"/>
          <w:szCs w:val="24"/>
        </w:rPr>
        <w:t xml:space="preserve">. </w:t>
      </w:r>
      <w:r w:rsidR="00275DE9">
        <w:rPr>
          <w:color w:val="000000" w:themeColor="text1"/>
          <w:sz w:val="24"/>
          <w:szCs w:val="24"/>
        </w:rPr>
        <w:t xml:space="preserve"> </w:t>
      </w:r>
      <w:r w:rsidR="00971EC6" w:rsidRPr="00597040">
        <w:rPr>
          <w:color w:val="000000" w:themeColor="text1"/>
          <w:sz w:val="24"/>
          <w:szCs w:val="24"/>
          <w:highlight w:val="yellow"/>
        </w:rPr>
        <w:t>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overdiagnosis, as described in </w:t>
      </w:r>
      <w:commentRangeStart w:id="2"/>
      <w:r w:rsidRPr="00597040">
        <w:rPr>
          <w:color w:val="000000" w:themeColor="text1"/>
          <w:sz w:val="24"/>
          <w:szCs w:val="24"/>
        </w:rPr>
        <w:t>Section 2.3</w:t>
      </w:r>
      <w:commentRangeEnd w:id="2"/>
      <w:r w:rsidR="009721A5">
        <w:rPr>
          <w:rStyle w:val="CommentReference"/>
        </w:rPr>
        <w:commentReference w:id="2"/>
      </w:r>
      <w:r w:rsidRPr="00597040">
        <w:rPr>
          <w:color w:val="000000" w:themeColor="text1"/>
          <w:sz w:val="24"/>
          <w:szCs w:val="24"/>
        </w:rPr>
        <w:t>.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this gain in overall life </w:t>
      </w:r>
      <w:bookmarkStart w:id="3" w:name="_GoBack"/>
      <w:bookmarkEnd w:id="3"/>
      <w:r w:rsidRPr="00597040">
        <w:rPr>
          <w:color w:val="000000" w:themeColor="text1"/>
          <w:sz w:val="24"/>
          <w:szCs w:val="24"/>
        </w:rPr>
        <w:t xml:space="preserve">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6A5523BD" w14:textId="77777777"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the contribution of advances in breast cancer treatment (component [2]) and advances in the treatment of other diseases (component </w:t>
      </w:r>
      <w:r w:rsidRPr="00597040">
        <w:rPr>
          <w:rFonts w:eastAsia="Times New Roman"/>
          <w:color w:val="000000" w:themeColor="text1"/>
          <w:sz w:val="24"/>
          <w:szCs w:val="24"/>
          <w:highlight w:val="yellow"/>
        </w:rPr>
        <w:lastRenderedPageBreak/>
        <w:t>[3])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0628A62"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w:t>
      </w:r>
      <w:r w:rsidRPr="00597040">
        <w:rPr>
          <w:color w:val="000000" w:themeColor="text1"/>
          <w:sz w:val="24"/>
          <w:szCs w:val="24"/>
        </w:rPr>
        <w:lastRenderedPageBreak/>
        <w:t>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commentRangeStart w:id="4"/>
      <w:r w:rsidR="00C84E05" w:rsidRPr="00597040">
        <w:rPr>
          <w:rFonts w:eastAsia="Times New Roman"/>
          <w:color w:val="000000" w:themeColor="text1"/>
          <w:sz w:val="24"/>
          <w:szCs w:val="24"/>
          <w:highlight w:val="yellow"/>
        </w:rPr>
        <w:t xml:space="preserve"> These tumor size-specific fatality rates, along with the distribution of incident cases by tumor size, serve as the input to the methods described in Section 2.1.</w:t>
      </w:r>
      <w:commentRangeEnd w:id="4"/>
      <w:r w:rsidR="006A6297">
        <w:rPr>
          <w:rStyle w:val="CommentReference"/>
        </w:rPr>
        <w:commentReference w:id="4"/>
      </w:r>
    </w:p>
    <w:p w14:paraId="0B326CD4" w14:textId="77777777" w:rsidR="00023A72" w:rsidRPr="00CD25B4" w:rsidRDefault="00023A72" w:rsidP="00A7028C">
      <w:pPr>
        <w:spacing w:line="480" w:lineRule="auto"/>
        <w:rPr>
          <w:rFonts w:eastAsia="Times New Roman"/>
          <w:strike/>
          <w:color w:val="000000" w:themeColor="text1"/>
          <w:sz w:val="24"/>
          <w:szCs w:val="24"/>
        </w:rPr>
      </w:pPr>
      <w:r w:rsidRPr="00597040">
        <w:rPr>
          <w:color w:val="000000" w:themeColor="text1"/>
          <w:sz w:val="24"/>
          <w:szCs w:val="24"/>
        </w:rPr>
        <w:tab/>
      </w:r>
      <w:r w:rsidRPr="00CD25B4">
        <w:rPr>
          <w:rFonts w:eastAsia="Arial Unicode MS"/>
          <w:b/>
          <w:strike/>
          <w:color w:val="000000" w:themeColor="text1"/>
          <w:sz w:val="24"/>
          <w:szCs w:val="24"/>
        </w:rPr>
        <w:t xml:space="preserve">2.3  Adjustment for Overdiagnosis.  </w:t>
      </w:r>
      <w:r w:rsidR="00800402" w:rsidRPr="00CD25B4">
        <w:rPr>
          <w:rFonts w:eastAsia="Arial Unicode MS"/>
          <w:b/>
          <w:strike/>
          <w:color w:val="000000" w:themeColor="text1"/>
          <w:sz w:val="24"/>
          <w:szCs w:val="24"/>
        </w:rPr>
        <w:t xml:space="preserve"> </w:t>
      </w:r>
      <w:r w:rsidR="00800402" w:rsidRPr="00CD25B4">
        <w:rPr>
          <w:rFonts w:eastAsia="Times New Roman"/>
          <w:strike/>
          <w:color w:val="000000" w:themeColor="text1"/>
          <w:sz w:val="24"/>
          <w:szCs w:val="24"/>
          <w:highlight w:val="yellow"/>
        </w:rPr>
        <w:t>Overdiagnosis is the detection of asymptomatic breast cancers that are non-growing or so slow-growing that they would never present symptomatically during a women’s lifetime.</w:t>
      </w:r>
      <w:r w:rsidR="00CA5573" w:rsidRPr="00CD25B4">
        <w:rPr>
          <w:rFonts w:eastAsia="Times New Roman"/>
          <w:strike/>
          <w:color w:val="000000" w:themeColor="text1"/>
          <w:sz w:val="24"/>
          <w:szCs w:val="24"/>
          <w:highlight w:val="yellow"/>
        </w:rPr>
        <w:fldChar w:fldCharType="begin"/>
      </w:r>
      <w:r w:rsidR="00CA5573" w:rsidRPr="00CD25B4">
        <w:rPr>
          <w:rFonts w:eastAsia="Times New Roman"/>
          <w:strike/>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CD25B4">
        <w:rPr>
          <w:rFonts w:eastAsia="Times New Roman"/>
          <w:strike/>
          <w:color w:val="000000" w:themeColor="text1"/>
          <w:sz w:val="24"/>
          <w:szCs w:val="24"/>
          <w:highlight w:val="yellow"/>
        </w:rPr>
        <w:fldChar w:fldCharType="separate"/>
      </w:r>
      <w:r w:rsidR="00CA5573" w:rsidRPr="00CD25B4">
        <w:rPr>
          <w:rFonts w:eastAsia="Times New Roman"/>
          <w:strike/>
          <w:color w:val="000000" w:themeColor="text1"/>
          <w:sz w:val="24"/>
          <w:szCs w:val="24"/>
          <w:vertAlign w:val="superscript"/>
        </w:rPr>
        <w:t>20</w:t>
      </w:r>
      <w:r w:rsidR="00CA5573" w:rsidRPr="00CD25B4">
        <w:rPr>
          <w:rFonts w:eastAsia="Times New Roman"/>
          <w:strike/>
          <w:color w:val="000000" w:themeColor="text1"/>
          <w:sz w:val="24"/>
          <w:szCs w:val="24"/>
          <w:highlight w:val="yellow"/>
        </w:rPr>
        <w:fldChar w:fldCharType="end"/>
      </w:r>
      <w:r w:rsidR="00800402" w:rsidRPr="00CD25B4">
        <w:rPr>
          <w:rFonts w:eastAsia="Times New Roman"/>
          <w:strike/>
          <w:color w:val="000000" w:themeColor="text1"/>
          <w:sz w:val="24"/>
          <w:szCs w:val="24"/>
        </w:rPr>
        <w:t xml:space="preserve">  </w:t>
      </w:r>
      <w:r w:rsidRPr="00CD25B4">
        <w:rPr>
          <w:rFonts w:eastAsia="Arial Unicode MS"/>
          <w:strike/>
          <w:color w:val="000000" w:themeColor="text1"/>
          <w:sz w:val="24"/>
          <w:szCs w:val="24"/>
        </w:rPr>
        <w:t xml:space="preserve">For our primary analysis, we assume an overdiagnosis level of 10% for tumor sizes </w:t>
      </w:r>
      <w:r w:rsidRPr="00CD25B4">
        <w:rPr>
          <w:rFonts w:eastAsia="Arial Unicode MS" w:hint="eastAsia"/>
          <w:strike/>
          <w:color w:val="000000" w:themeColor="text1"/>
          <w:sz w:val="24"/>
          <w:szCs w:val="24"/>
        </w:rPr>
        <w:t>≤</w:t>
      </w:r>
      <w:r w:rsidRPr="00CD25B4">
        <w:rPr>
          <w:rFonts w:eastAsia="Arial Unicode MS"/>
          <w:strike/>
          <w:color w:val="000000" w:themeColor="text1"/>
          <w:sz w:val="24"/>
          <w:szCs w:val="24"/>
        </w:rPr>
        <w:t>3cm based on the results of the Malmö, Sweden randomized trial.</w:t>
      </w:r>
      <w:r w:rsidR="006A16C0" w:rsidRPr="00CD25B4">
        <w:rPr>
          <w:strike/>
          <w:color w:val="000000" w:themeColor="text1"/>
          <w:sz w:val="24"/>
          <w:szCs w:val="24"/>
        </w:rPr>
        <w:fldChar w:fldCharType="begin"/>
      </w:r>
      <w:r w:rsidR="00CA5573" w:rsidRPr="00CD25B4">
        <w:rPr>
          <w:strike/>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CD25B4">
        <w:rPr>
          <w:strike/>
          <w:color w:val="000000" w:themeColor="text1"/>
          <w:sz w:val="24"/>
          <w:szCs w:val="24"/>
        </w:rPr>
        <w:fldChar w:fldCharType="separate"/>
      </w:r>
      <w:r w:rsidR="00CA5573" w:rsidRPr="00CD25B4">
        <w:rPr>
          <w:rFonts w:eastAsia="Times New Roman"/>
          <w:strike/>
          <w:color w:val="000000" w:themeColor="text1"/>
          <w:sz w:val="24"/>
          <w:vertAlign w:val="superscript"/>
        </w:rPr>
        <w:t>21</w:t>
      </w:r>
      <w:r w:rsidR="006A16C0" w:rsidRPr="00CD25B4">
        <w:rPr>
          <w:strike/>
          <w:color w:val="000000" w:themeColor="text1"/>
          <w:sz w:val="24"/>
          <w:szCs w:val="24"/>
        </w:rPr>
        <w:fldChar w:fldCharType="end"/>
      </w:r>
      <w:r w:rsidRPr="00CD25B4">
        <w:rPr>
          <w:strike/>
          <w:color w:val="000000" w:themeColor="text1"/>
          <w:sz w:val="24"/>
          <w:szCs w:val="24"/>
        </w:rPr>
        <w:t xml:space="preserve">  We adjust case fatality rates</w:t>
      </w:r>
      <w:r w:rsidR="00DD44BD" w:rsidRPr="00CD25B4">
        <w:rPr>
          <w:strike/>
          <w:color w:val="000000" w:themeColor="text1"/>
          <w:sz w:val="24"/>
          <w:szCs w:val="24"/>
        </w:rPr>
        <w:t xml:space="preserve"> (both all-cause and cause-specific)</w:t>
      </w:r>
      <w:r w:rsidRPr="00CD25B4">
        <w:rPr>
          <w:strike/>
          <w:color w:val="000000" w:themeColor="text1"/>
          <w:sz w:val="24"/>
          <w:szCs w:val="24"/>
        </w:rPr>
        <w:t xml:space="preserve"> for these smaller sized tumors by removing the person-years </w:t>
      </w:r>
      <w:r w:rsidRPr="00CD25B4">
        <w:rPr>
          <w:strike/>
          <w:color w:val="000000" w:themeColor="text1"/>
          <w:sz w:val="24"/>
          <w:szCs w:val="24"/>
        </w:rPr>
        <w:lastRenderedPageBreak/>
        <w:t>overdiagnosed cases contributed to the denominator of the rates (</w:t>
      </w:r>
      <w:proofErr w:type="spellStart"/>
      <w:r w:rsidRPr="00CD25B4">
        <w:rPr>
          <w:strike/>
          <w:color w:val="000000" w:themeColor="text1"/>
          <w:sz w:val="24"/>
          <w:szCs w:val="24"/>
        </w:rPr>
        <w:t>eAppendix</w:t>
      </w:r>
      <w:proofErr w:type="spellEnd"/>
      <w:r w:rsidRPr="00CD25B4">
        <w:rPr>
          <w:strike/>
          <w:color w:val="000000" w:themeColor="text1"/>
          <w:sz w:val="24"/>
          <w:szCs w:val="24"/>
        </w:rPr>
        <w:t xml:space="preserve"> </w:t>
      </w:r>
      <w:r w:rsidR="001D00BB" w:rsidRPr="00CD25B4">
        <w:rPr>
          <w:strike/>
          <w:color w:val="000000" w:themeColor="text1"/>
          <w:sz w:val="24"/>
          <w:szCs w:val="24"/>
        </w:rPr>
        <w:t>B</w:t>
      </w:r>
      <w:r w:rsidRPr="00CD25B4">
        <w:rPr>
          <w:strike/>
          <w:color w:val="000000" w:themeColor="text1"/>
          <w:sz w:val="24"/>
          <w:szCs w:val="24"/>
        </w:rPr>
        <w:t xml:space="preserve">).  We also adjust the annual </w:t>
      </w:r>
      <w:r w:rsidR="00800402" w:rsidRPr="00CD25B4">
        <w:rPr>
          <w:strike/>
          <w:color w:val="000000" w:themeColor="text1"/>
          <w:sz w:val="24"/>
          <w:szCs w:val="24"/>
          <w:highlight w:val="yellow"/>
        </w:rPr>
        <w:t>proportion</w:t>
      </w:r>
      <w:r w:rsidR="00800402" w:rsidRPr="00CD25B4">
        <w:rPr>
          <w:strike/>
          <w:color w:val="000000" w:themeColor="text1"/>
          <w:sz w:val="24"/>
          <w:szCs w:val="24"/>
        </w:rPr>
        <w:t xml:space="preserve"> </w:t>
      </w:r>
      <w:r w:rsidRPr="00CD25B4">
        <w:rPr>
          <w:strike/>
          <w:color w:val="000000" w:themeColor="text1"/>
          <w:sz w:val="24"/>
          <w:szCs w:val="24"/>
        </w:rPr>
        <w:t xml:space="preserve">of smaller sized tumors by subtracting the overdiagnosed cases from the annual count of incident cancers and recalculating the distribution by tumor size.  </w:t>
      </w:r>
      <w:r w:rsidRPr="00CD25B4">
        <w:rPr>
          <w:rFonts w:eastAsia="Arial Unicode MS"/>
          <w:strike/>
          <w:color w:val="000000" w:themeColor="text1"/>
          <w:sz w:val="24"/>
          <w:szCs w:val="24"/>
        </w:rPr>
        <w:t xml:space="preserve">We conducted two sensitivity analyses on the overdiagnosis level.  First, we varied the level up to 52% for all tumors </w:t>
      </w:r>
      <w:r w:rsidRPr="00CD25B4">
        <w:rPr>
          <w:rFonts w:eastAsia="Arial Unicode MS" w:hint="eastAsia"/>
          <w:strike/>
          <w:color w:val="000000" w:themeColor="text1"/>
          <w:sz w:val="24"/>
          <w:szCs w:val="24"/>
        </w:rPr>
        <w:t>≤</w:t>
      </w:r>
      <w:r w:rsidRPr="00CD25B4">
        <w:rPr>
          <w:rFonts w:eastAsia="Arial Unicode MS"/>
          <w:strike/>
          <w:color w:val="000000" w:themeColor="text1"/>
          <w:sz w:val="24"/>
          <w:szCs w:val="24"/>
        </w:rPr>
        <w:t>3cm based on the highest estimate from randomized screening trials and observational studies.</w:t>
      </w:r>
      <w:r w:rsidR="006A16C0" w:rsidRPr="00CD25B4">
        <w:rPr>
          <w:strike/>
          <w:color w:val="000000" w:themeColor="text1"/>
          <w:sz w:val="24"/>
          <w:szCs w:val="24"/>
        </w:rPr>
        <w:fldChar w:fldCharType="begin"/>
      </w:r>
      <w:r w:rsidR="00CA5573" w:rsidRPr="00CD25B4">
        <w:rPr>
          <w:strike/>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CD25B4">
        <w:rPr>
          <w:strike/>
          <w:color w:val="000000" w:themeColor="text1"/>
          <w:sz w:val="24"/>
          <w:szCs w:val="24"/>
        </w:rPr>
        <w:fldChar w:fldCharType="separate"/>
      </w:r>
      <w:r w:rsidR="00CA5573" w:rsidRPr="00CD25B4">
        <w:rPr>
          <w:rFonts w:eastAsia="Times New Roman"/>
          <w:strike/>
          <w:color w:val="000000" w:themeColor="text1"/>
          <w:sz w:val="24"/>
          <w:vertAlign w:val="superscript"/>
        </w:rPr>
        <w:t>22–26</w:t>
      </w:r>
      <w:r w:rsidR="006A16C0" w:rsidRPr="00CD25B4">
        <w:rPr>
          <w:strike/>
          <w:color w:val="000000" w:themeColor="text1"/>
          <w:sz w:val="24"/>
          <w:szCs w:val="24"/>
        </w:rPr>
        <w:fldChar w:fldCharType="end"/>
      </w:r>
      <w:r w:rsidRPr="00CD25B4">
        <w:rPr>
          <w:strike/>
          <w:color w:val="000000" w:themeColor="text1"/>
          <w:sz w:val="24"/>
          <w:szCs w:val="24"/>
        </w:rPr>
        <w:t xml:space="preserve">  Second, we varied the level up to 97% for tumors &lt;1cm (because </w:t>
      </w:r>
      <w:r w:rsidR="009E1B2C" w:rsidRPr="00CD25B4">
        <w:rPr>
          <w:strike/>
          <w:color w:val="000000" w:themeColor="text1"/>
          <w:sz w:val="24"/>
          <w:szCs w:val="24"/>
        </w:rPr>
        <w:t>97</w:t>
      </w:r>
      <w:r w:rsidRPr="00CD25B4">
        <w:rPr>
          <w:strike/>
          <w:color w:val="000000" w:themeColor="text1"/>
          <w:sz w:val="24"/>
          <w:szCs w:val="24"/>
        </w:rPr>
        <w:t xml:space="preserve">% of patients diagnosed with &lt;1cm tumors </w:t>
      </w:r>
      <w:r w:rsidR="009E1B2C" w:rsidRPr="00CD25B4">
        <w:rPr>
          <w:strike/>
          <w:color w:val="000000" w:themeColor="text1"/>
          <w:sz w:val="24"/>
          <w:szCs w:val="24"/>
        </w:rPr>
        <w:t xml:space="preserve">did not die </w:t>
      </w:r>
      <w:r w:rsidRPr="00CD25B4">
        <w:rPr>
          <w:strike/>
          <w:color w:val="000000" w:themeColor="text1"/>
          <w:sz w:val="24"/>
          <w:szCs w:val="24"/>
        </w:rPr>
        <w:t>of breast cancer within 10 years</w:t>
      </w:r>
      <w:r w:rsidR="00F82E8A" w:rsidRPr="00CD25B4">
        <w:rPr>
          <w:strike/>
          <w:color w:val="000000" w:themeColor="text1"/>
          <w:sz w:val="24"/>
          <w:szCs w:val="24"/>
        </w:rPr>
        <w:t xml:space="preserve"> and, thus, could have been overdiagnosed</w:t>
      </w:r>
      <w:r w:rsidRPr="00CD25B4">
        <w:rPr>
          <w:strike/>
          <w:color w:val="000000" w:themeColor="text1"/>
          <w:sz w:val="24"/>
          <w:szCs w:val="24"/>
        </w:rPr>
        <w:t xml:space="preserve">) and up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0C9B0E18"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lastRenderedPageBreak/>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r w:rsidR="00DA0865" w:rsidRPr="009D3F41" w:rsidDel="00DA0865">
        <w:rPr>
          <w:rFonts w:ascii="Arial" w:hAnsi="Arial" w:cs="Arial"/>
          <w:strike/>
          <w:color w:val="000000" w:themeColor="text1"/>
          <w:highlight w:val="yellow"/>
        </w:rPr>
        <w:t xml:space="preserve"> </w:t>
      </w:r>
    </w:p>
    <w:p w14:paraId="5AC54C1A" w14:textId="5030A80D"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w:t>
      </w:r>
      <w:commentRangeStart w:id="5"/>
      <w:r w:rsidR="006A16C0" w:rsidRPr="00597040">
        <w:rPr>
          <w:color w:val="000000" w:themeColor="text1"/>
          <w:sz w:val="24"/>
          <w:szCs w:val="24"/>
        </w:rPr>
        <w:t xml:space="preserve">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w:t>
      </w:r>
      <w:commentRangeEnd w:id="5"/>
      <w:r w:rsidR="006A6297">
        <w:rPr>
          <w:rStyle w:val="CommentReference"/>
        </w:rPr>
        <w:commentReference w:id="5"/>
      </w:r>
      <w:r w:rsidR="006A16C0" w:rsidRPr="00597040">
        <w:rPr>
          <w:color w:val="000000" w:themeColor="text1"/>
          <w:sz w:val="24"/>
          <w:szCs w:val="24"/>
        </w:rPr>
        <w:t xml:space="preserve">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lastRenderedPageBreak/>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w:t>
      </w:r>
      <w:r w:rsidRPr="00597040">
        <w:rPr>
          <w:color w:val="000000" w:themeColor="text1"/>
          <w:sz w:val="24"/>
          <w:szCs w:val="24"/>
        </w:rPr>
        <w:lastRenderedPageBreak/>
        <w:t xml:space="preserve">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 xml:space="preserve">the </w:t>
      </w:r>
      <w:r w:rsidRPr="00597040">
        <w:rPr>
          <w:color w:val="000000" w:themeColor="text1"/>
          <w:sz w:val="24"/>
          <w:szCs w:val="24"/>
        </w:rPr>
        <w:lastRenderedPageBreak/>
        <w:t>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w:t>
      </w:r>
      <w:proofErr w:type="spellStart"/>
      <w:r w:rsidRPr="00597040">
        <w:rPr>
          <w:color w:val="000000" w:themeColor="text1"/>
          <w:sz w:val="24"/>
          <w:szCs w:val="24"/>
        </w:rPr>
        <w:t>model</w:t>
      </w:r>
      <w:proofErr w:type="spellEnd"/>
      <w:r w:rsidRPr="00597040">
        <w:rPr>
          <w:color w:val="000000" w:themeColor="text1"/>
          <w:sz w:val="24"/>
          <w:szCs w:val="24"/>
        </w:rPr>
        <w:t xml:space="preserve">)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w:t>
      </w:r>
      <w:r w:rsidR="006F0E15" w:rsidRPr="00597040">
        <w:rPr>
          <w:color w:val="000000" w:themeColor="text1"/>
          <w:sz w:val="24"/>
          <w:szCs w:val="24"/>
        </w:rPr>
        <w:lastRenderedPageBreak/>
        <w:t xml:space="preserve">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C382F">
        <w:rPr>
          <w:color w:val="000000" w:themeColor="text1"/>
          <w:sz w:val="24"/>
          <w:szCs w:val="24"/>
        </w:rPr>
        <w:lastRenderedPageBreak/>
        <w:t>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77777777"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w:t>
      </w:r>
      <w:r w:rsidR="00663568" w:rsidRPr="00597040">
        <w:rPr>
          <w:rFonts w:eastAsia="Times New Roman"/>
          <w:color w:val="000000" w:themeColor="text1"/>
          <w:sz w:val="24"/>
          <w:szCs w:val="24"/>
          <w:shd w:val="clear" w:color="auto" w:fill="FFFF00"/>
        </w:rPr>
        <w:lastRenderedPageBreak/>
        <w:t xml:space="preserve">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p>
    <w:p w14:paraId="3EB85D62" w14:textId="464C06C3" w:rsidR="006A16C0" w:rsidRPr="00597040" w:rsidRDefault="006A16C0" w:rsidP="00A7028C">
      <w:pPr>
        <w:spacing w:line="480" w:lineRule="auto"/>
        <w:ind w:firstLine="720"/>
        <w:rPr>
          <w:rFonts w:eastAsia="Times New Roman"/>
          <w:color w:val="000000" w:themeColor="text1"/>
          <w:sz w:val="24"/>
          <w:szCs w:val="24"/>
        </w:rPr>
      </w:pPr>
      <w:commentRangeStart w:id="6"/>
      <w:r w:rsidRPr="00597040">
        <w:rPr>
          <w:color w:val="000000" w:themeColor="text1"/>
          <w:sz w:val="24"/>
          <w:szCs w:val="24"/>
        </w:rPr>
        <w:t>Second, we required that breast cancer death must have occurred 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w:t>
      </w:r>
      <w:commentRangeEnd w:id="6"/>
      <w:r w:rsidR="00CD25B4">
        <w:rPr>
          <w:rStyle w:val="CommentReference"/>
        </w:rPr>
        <w:commentReference w:id="6"/>
      </w:r>
      <w:r w:rsidRPr="00597040">
        <w:rPr>
          <w:color w:val="000000" w:themeColor="text1"/>
          <w:sz w:val="24"/>
          <w:szCs w:val="24"/>
        </w:rPr>
        <w:t>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w:t>
      </w:r>
      <w:r w:rsidRPr="00597040">
        <w:rPr>
          <w:color w:val="000000" w:themeColor="text1"/>
          <w:sz w:val="24"/>
          <w:szCs w:val="24"/>
        </w:rPr>
        <w:lastRenderedPageBreak/>
        <w:t xml:space="preserve">observed effectiveness of detection (e.g., </w:t>
      </w:r>
      <w:r w:rsidRPr="00CD25B4">
        <w:rPr>
          <w:strike/>
          <w:color w:val="000000" w:themeColor="text1"/>
          <w:sz w:val="24"/>
          <w:szCs w:val="24"/>
          <w:rPrChange w:id="7" w:author="TDI" w:date="2016-01-11T20:19:00Z">
            <w:rPr>
              <w:color w:val="000000" w:themeColor="text1"/>
              <w:sz w:val="24"/>
              <w:szCs w:val="24"/>
            </w:rPr>
          </w:rPrChange>
        </w:rPr>
        <w:t xml:space="preserve">more widespread screening among </w:t>
      </w:r>
      <w:r w:rsidRPr="00CD25B4">
        <w:rPr>
          <w:i/>
          <w:strike/>
          <w:color w:val="000000" w:themeColor="text1"/>
          <w:sz w:val="24"/>
          <w:szCs w:val="24"/>
          <w:rPrChange w:id="8" w:author="TDI" w:date="2016-01-11T20:19:00Z">
            <w:rPr>
              <w:i/>
              <w:color w:val="000000" w:themeColor="text1"/>
              <w:sz w:val="24"/>
              <w:szCs w:val="24"/>
            </w:rPr>
          </w:rPrChange>
        </w:rPr>
        <w:t>BRCA</w:t>
      </w:r>
      <w:r w:rsidRPr="00CD25B4">
        <w:rPr>
          <w:strike/>
          <w:color w:val="000000" w:themeColor="text1"/>
          <w:sz w:val="24"/>
          <w:szCs w:val="24"/>
          <w:rPrChange w:id="9" w:author="TDI" w:date="2016-01-11T20:19:00Z">
            <w:rPr>
              <w:color w:val="000000" w:themeColor="text1"/>
              <w:sz w:val="24"/>
              <w:szCs w:val="24"/>
            </w:rPr>
          </w:rPrChange>
        </w:rPr>
        <w:t xml:space="preserve"> mutation carriers,</w:t>
      </w:r>
      <w:r w:rsidRPr="00597040">
        <w:rPr>
          <w:color w:val="000000" w:themeColor="text1"/>
          <w:sz w:val="24"/>
          <w:szCs w:val="24"/>
        </w:rPr>
        <w:t xml:space="preserve"> improved standards in the interpretation of mammograms</w:t>
      </w:r>
      <w:r w:rsidRPr="00CD25B4">
        <w:rPr>
          <w:strike/>
          <w:color w:val="000000" w:themeColor="text1"/>
          <w:sz w:val="24"/>
          <w:szCs w:val="24"/>
          <w:rPrChange w:id="10" w:author="TDI" w:date="2016-01-11T20:19:00Z">
            <w:rPr>
              <w:color w:val="000000" w:themeColor="text1"/>
              <w:sz w:val="24"/>
              <w:szCs w:val="24"/>
            </w:rPr>
          </w:rPrChange>
        </w:rPr>
        <w:t xml:space="preserve">, and improvements in clinical breast </w:t>
      </w:r>
      <w:commentRangeStart w:id="11"/>
      <w:r w:rsidRPr="00CD25B4">
        <w:rPr>
          <w:strike/>
          <w:color w:val="000000" w:themeColor="text1"/>
          <w:sz w:val="24"/>
          <w:szCs w:val="24"/>
          <w:rPrChange w:id="12" w:author="TDI" w:date="2016-01-11T20:19:00Z">
            <w:rPr>
              <w:color w:val="000000" w:themeColor="text1"/>
              <w:sz w:val="24"/>
              <w:szCs w:val="24"/>
            </w:rPr>
          </w:rPrChange>
        </w:rPr>
        <w:t>examination</w:t>
      </w:r>
      <w:commentRangeEnd w:id="11"/>
      <w:r w:rsidR="00CD25B4">
        <w:rPr>
          <w:rStyle w:val="CommentReference"/>
        </w:rPr>
        <w:commentReference w:id="11"/>
      </w:r>
      <w:r w:rsidRPr="00597040">
        <w:rPr>
          <w:color w:val="000000" w:themeColor="text1"/>
          <w:sz w:val="24"/>
          <w:szCs w:val="24"/>
        </w:rPr>
        <w:t xml:space="preserve">)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77ED2FC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commentRangeStart w:id="13"/>
      <w:r w:rsidRPr="00597040">
        <w:rPr>
          <w:color w:val="000000" w:themeColor="text1"/>
          <w:sz w:val="24"/>
          <w:szCs w:val="24"/>
        </w:rPr>
        <w:t>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w:t>
      </w:r>
      <w:commentRangeEnd w:id="13"/>
      <w:r w:rsidR="00CD25B4">
        <w:rPr>
          <w:rStyle w:val="CommentReference"/>
        </w:rPr>
        <w:commentReference w:id="13"/>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gains in life expectancy, it will be </w:t>
      </w:r>
      <w:r w:rsidR="00D9726A" w:rsidRPr="00597040">
        <w:rPr>
          <w:rFonts w:eastAsia="Times New Roman"/>
          <w:color w:val="000000" w:themeColor="text1"/>
          <w:sz w:val="24"/>
          <w:szCs w:val="24"/>
          <w:highlight w:val="yellow"/>
        </w:rPr>
        <w:lastRenderedPageBreak/>
        <w:t>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DI" w:date="2016-01-11T23:48:00Z" w:initials="T">
    <w:p w14:paraId="3C60D3BB" w14:textId="581E6BCD" w:rsidR="009721A5" w:rsidRDefault="009721A5">
      <w:pPr>
        <w:pStyle w:val="CommentText"/>
      </w:pPr>
      <w:r>
        <w:rPr>
          <w:rStyle w:val="CommentReference"/>
        </w:rPr>
        <w:annotationRef/>
      </w:r>
      <w:r>
        <w:t>Our analytic approach consists of two main steps (Figure 1).</w:t>
      </w:r>
    </w:p>
    <w:p w14:paraId="221A8D90" w14:textId="77777777" w:rsidR="009721A5" w:rsidRDefault="009721A5">
      <w:pPr>
        <w:pStyle w:val="CommentText"/>
      </w:pPr>
    </w:p>
    <w:p w14:paraId="6FB58AFA" w14:textId="2A92F794" w:rsidR="009721A5" w:rsidRDefault="009721A5">
      <w:pPr>
        <w:pStyle w:val="CommentText"/>
      </w:pPr>
      <w:r>
        <w:t>We’d save 4 words</w:t>
      </w:r>
    </w:p>
  </w:comment>
  <w:comment w:id="2" w:author="TDI" w:date="2016-01-11T23:49:00Z" w:initials="T">
    <w:p w14:paraId="6330B3B1" w14:textId="36B27755" w:rsidR="009721A5" w:rsidRDefault="009721A5">
      <w:pPr>
        <w:pStyle w:val="CommentText"/>
      </w:pPr>
      <w:r>
        <w:rPr>
          <w:rStyle w:val="CommentReference"/>
        </w:rPr>
        <w:annotationRef/>
      </w:r>
      <w:proofErr w:type="spellStart"/>
      <w:proofErr w:type="gramStart"/>
      <w:r>
        <w:t>eAppendix</w:t>
      </w:r>
      <w:proofErr w:type="spellEnd"/>
      <w:proofErr w:type="gramEnd"/>
      <w:r>
        <w:t xml:space="preserve"> X</w:t>
      </w:r>
    </w:p>
  </w:comment>
  <w:comment w:id="4" w:author="TDI" w:date="2016-01-11T20:40:00Z" w:initials="T">
    <w:p w14:paraId="05A95967" w14:textId="43CFCB95" w:rsidR="006A6297" w:rsidRDefault="006A6297">
      <w:pPr>
        <w:pStyle w:val="CommentText"/>
      </w:pPr>
      <w:r>
        <w:rPr>
          <w:rStyle w:val="CommentReference"/>
        </w:rPr>
        <w:annotationRef/>
      </w:r>
      <w:r>
        <w:t>Is this point obvious?  We’d save 26 words.</w:t>
      </w:r>
    </w:p>
  </w:comment>
  <w:comment w:id="5" w:author="TDI" w:date="2016-01-11T20:39:00Z" w:initials="T">
    <w:p w14:paraId="73C5BEC5" w14:textId="770E964F" w:rsidR="006A6297" w:rsidRDefault="006A6297">
      <w:pPr>
        <w:pStyle w:val="CommentText"/>
      </w:pPr>
      <w:r>
        <w:rPr>
          <w:rStyle w:val="CommentReference"/>
        </w:rPr>
        <w:annotationRef/>
      </w:r>
      <w:r>
        <w:t>I’m wondering if we need this.  We could make sure we say all of these points in 3.1.  We’d save 50 words.</w:t>
      </w:r>
    </w:p>
  </w:comment>
  <w:comment w:id="6" w:author="TDI" w:date="2016-01-11T20:17:00Z" w:initials="T">
    <w:p w14:paraId="60CC1251" w14:textId="79F6FACD" w:rsidR="006A6297" w:rsidRDefault="006A6297">
      <w:pPr>
        <w:pStyle w:val="CommentText"/>
      </w:pPr>
      <w:r>
        <w:rPr>
          <w:rStyle w:val="CommentReference"/>
        </w:rPr>
        <w:annotationRef/>
      </w:r>
      <w:r>
        <w:t>Hiram – this limitation doesn’t seem as important as the others.  We’d save 44 words.</w:t>
      </w:r>
    </w:p>
  </w:comment>
  <w:comment w:id="11" w:author="TDI" w:date="2016-01-11T20:20:00Z" w:initials="T">
    <w:p w14:paraId="613C197F" w14:textId="447A132F" w:rsidR="006A6297" w:rsidRDefault="006A6297">
      <w:pPr>
        <w:pStyle w:val="CommentText"/>
      </w:pPr>
      <w:r>
        <w:rPr>
          <w:rStyle w:val="CommentReference"/>
        </w:rPr>
        <w:annotationRef/>
      </w:r>
      <w:r>
        <w:t>We could just provide one example about the interpretation of mammograms.  We’d save 14 words.</w:t>
      </w:r>
    </w:p>
    <w:p w14:paraId="10D9EF16" w14:textId="77777777" w:rsidR="006A6297" w:rsidRDefault="006A6297">
      <w:pPr>
        <w:pStyle w:val="CommentText"/>
      </w:pPr>
    </w:p>
    <w:p w14:paraId="130083EF" w14:textId="1042D926" w:rsidR="006A6297" w:rsidRDefault="006A6297">
      <w:pPr>
        <w:pStyle w:val="CommentText"/>
      </w:pPr>
      <w:r>
        <w:t>Or we can drop this limitation entirely and we’d save 50 words.</w:t>
      </w:r>
    </w:p>
  </w:comment>
  <w:comment w:id="13" w:author="TDI" w:date="2016-01-11T20:22:00Z" w:initials="T">
    <w:p w14:paraId="6F9140CC" w14:textId="3B50737C" w:rsidR="006A6297" w:rsidRDefault="006A6297">
      <w:pPr>
        <w:pStyle w:val="CommentText"/>
      </w:pPr>
      <w:r>
        <w:rPr>
          <w:rStyle w:val="CommentReference"/>
        </w:rPr>
        <w:annotationRef/>
      </w:r>
      <w:r>
        <w:t>We say this at the end of the first paragraph of the discussion.  We’d save 35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D0B3F" w15:done="0"/>
  <w15:commentEx w15:paraId="19753CB1" w15:done="0"/>
  <w15:commentEx w15:paraId="4E06E407" w15:done="0"/>
  <w15:commentEx w15:paraId="5C8DD5CE" w15:done="0"/>
  <w15:commentEx w15:paraId="33944CC4" w15:done="0"/>
  <w15:commentEx w15:paraId="6558D204" w15:done="0"/>
  <w15:commentEx w15:paraId="66FB7FDC" w15:done="0"/>
  <w15:commentEx w15:paraId="4127F58F" w15:done="0"/>
  <w15:commentEx w15:paraId="5C9687D5" w15:done="0"/>
  <w15:commentEx w15:paraId="4E2396A8" w15:done="0"/>
  <w15:commentEx w15:paraId="41A60CBF" w15:done="0"/>
  <w15:commentEx w15:paraId="347FE468" w15:paraIdParent="41A60CBF" w15:done="0"/>
  <w15:commentEx w15:paraId="398D09F2" w15:done="0"/>
  <w15:commentEx w15:paraId="1A43C8F1" w15:done="0"/>
  <w15:commentEx w15:paraId="28B17920" w15:paraIdParent="1A43C8F1" w15:done="0"/>
  <w15:commentEx w15:paraId="7FB756A3" w15:done="0"/>
  <w15:commentEx w15:paraId="1C4CB541" w15:done="0"/>
  <w15:commentEx w15:paraId="358078F4" w15:done="0"/>
  <w15:commentEx w15:paraId="01B74881" w15:paraIdParent="358078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3A43"/>
    <w:rsid w:val="00425009"/>
    <w:rsid w:val="00435237"/>
    <w:rsid w:val="00435CD7"/>
    <w:rsid w:val="00442D89"/>
    <w:rsid w:val="004460A2"/>
    <w:rsid w:val="00450E2A"/>
    <w:rsid w:val="00454D9D"/>
    <w:rsid w:val="0045642D"/>
    <w:rsid w:val="00460A12"/>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721A5"/>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B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4DAE5-CED4-EC48-82E2-35E4D589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20159</Words>
  <Characters>114908</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4</cp:revision>
  <cp:lastPrinted>2015-12-16T15:28:00Z</cp:lastPrinted>
  <dcterms:created xsi:type="dcterms:W3CDTF">2016-01-12T01:12:00Z</dcterms:created>
  <dcterms:modified xsi:type="dcterms:W3CDTF">2016-01-12T04:50:00Z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