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TSA Co-Chair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- Make a copy!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the Transfer Student Alliance?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3.If someone you worked with in the past was asked to describe your leadership style what would they say about it?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if you have a conflict with your partner or with committee members, how would you resolve the issue?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previous experiences have you had that qualify you for this position as Co-Chair?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 your mind what is the primary role of the Transfer Student Alliance?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would you keep team members accountable?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projects or goals do you envision for the Transfer Student Alliance going forward?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resources or services do you feel can be most beneficial for transfer students?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Is there anything else you would like to mention about yourself that you did not get to say during the interview?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your other commitments for the next year? (units, extracurricular activities, jobs, etc.)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Internal Chair COC" w:id="0" w:date="2024-11-18T22:23:08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Duties and powers of Co-Chair(s):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Schedule, attend and oversee all weekly meetings of the Committee, or send a proxy when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unable to attend.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Be the official spokesperson for the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Have ultimate responsibility for the fiscal management of the entire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Present quarterly reports to the Senate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Shall schedule, attend and facilitate all weekly officer meetings to discuss updates,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concerns, and current or future projects. Officer meetings will be held if deemed necessary.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Oversee/conduct meetings, ensure board members are completing each of their tasks, take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any projects/events/workshops that need assistance, make sure updates are made 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agenda in a timely manner, update the Transfer Student Alliance Facebook page,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emails in a timely manner, update Shoreline, keep in contact with our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partners/faculty/advisor/staff.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Set a minimum of three (3) office hours per week in a regularly scheduled location.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Shall each plan and coordinate 2 events per quarter.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