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22"/>
        </w:rPr>
        <w:t>AI TRADE</w:t>
      </w:r>
    </w:p>
    <w:p>
      <w:pPr>
        <w:spacing w:after="80"/>
      </w:pPr>
      <w:r>
        <w:rPr>
          <w:rFonts w:ascii="Calibri" w:hAnsi="Calibri"/>
          <w:b/>
          <w:i w:val="0"/>
          <w:color w:val="17365D"/>
          <w:sz w:val="52"/>
        </w:rPr>
        <w:t>Signal &amp; Execution Design Document</w:t>
      </w:r>
    </w:p>
    <w:p>
      <w:pPr>
        <w:spacing w:after="320"/>
      </w:pPr>
      <w:r>
        <w:rPr>
          <w:rFonts w:ascii="Calibri" w:hAnsi="Calibri"/>
          <w:b w:val="0"/>
          <w:i w:val="0"/>
          <w:color w:val="667085"/>
          <w:sz w:val="26"/>
        </w:rPr>
        <w:t>Phase 2 - turning a macro shortlist into a controlled trade lifecycle | Version 0.2</w:t>
      </w:r>
    </w:p>
    <w:tbl>
      <w:tblPr>
        <w:tblW w:type="auto" w:w="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vAlign w:val="center"/>
            <w:shd w:fill="EAF2F8"/>
          </w:tcPr>
          <w:p>
            <w:r>
              <w:rPr>
                <w:rFonts w:ascii="Calibri" w:hAnsi="Calibri"/>
                <w:b/>
                <w:i w:val="0"/>
                <w:color w:val="17365D"/>
                <w:sz w:val="19"/>
              </w:rPr>
              <w:t>Document status</w:t>
            </w:r>
          </w:p>
        </w:tc>
        <w:tc>
          <w:tcPr>
            <w:tcW w:type="dxa" w:w="7128"/>
            <w:tcMar>
              <w:top w:w="100" w:type="dxa"/>
              <w:start w:w="140" w:type="dxa"/>
              <w:bottom w:w="100" w:type="dxa"/>
              <w:end w:w="140" w:type="dxa"/>
            </w:tcMar>
          </w:tcPr>
          <w:p>
            <w:r>
              <w:rPr>
                <w:rFonts w:ascii="Calibri" w:hAnsi="Calibri"/>
                <w:b w:val="0"/>
                <w:i w:val="0"/>
                <w:color w:val="1F2937"/>
                <w:sz w:val="19"/>
              </w:rPr>
              <w:t>Living design document. Strategy 01 is defined for implementation and backtest; it is not live-trading approval.</w:t>
            </w:r>
          </w:p>
        </w:tc>
      </w:tr>
      <w:tr>
        <w:tc>
          <w:tcPr>
            <w:tcW w:type="dxa" w:w="2232"/>
            <w:tcMar>
              <w:top w:w="100" w:type="dxa"/>
              <w:start w:w="140" w:type="dxa"/>
              <w:bottom w:w="100" w:type="dxa"/>
              <w:end w:w="140" w:type="dxa"/>
            </w:tcMar>
            <w:vAlign w:val="center"/>
            <w:shd w:fill="EAF2F8"/>
          </w:tcPr>
          <w:p>
            <w:r>
              <w:rPr>
                <w:rFonts w:ascii="Calibri" w:hAnsi="Calibri"/>
                <w:b/>
                <w:i w:val="0"/>
                <w:color w:val="17365D"/>
                <w:sz w:val="19"/>
              </w:rPr>
              <w:t>Relationship to Phase 1</w:t>
            </w:r>
          </w:p>
        </w:tc>
        <w:tc>
          <w:tcPr>
            <w:tcW w:type="dxa" w:w="7128"/>
            <w:tcMar>
              <w:top w:w="100" w:type="dxa"/>
              <w:start w:w="140" w:type="dxa"/>
              <w:bottom w:w="100" w:type="dxa"/>
              <w:end w:w="140" w:type="dxa"/>
            </w:tcMar>
          </w:tcPr>
          <w:p>
            <w:r>
              <w:rPr>
                <w:rFonts w:ascii="Calibri" w:hAnsi="Calibri"/>
                <w:b w:val="0"/>
                <w:i w:val="0"/>
                <w:color w:val="1F2937"/>
                <w:sz w:val="19"/>
              </w:rPr>
              <w:t>Phase 1 provides macro context and a shortlist; this document defines the technical signal, risk, execution, and learning layer.</w:t>
            </w:r>
          </w:p>
        </w:tc>
      </w:tr>
      <w:tr>
        <w:tc>
          <w:tcPr>
            <w:tcW w:type="dxa" w:w="2232"/>
            <w:tcMar>
              <w:top w:w="100" w:type="dxa"/>
              <w:start w:w="140" w:type="dxa"/>
              <w:bottom w:w="100" w:type="dxa"/>
              <w:end w:w="140" w:type="dxa"/>
            </w:tcMar>
            <w:vAlign w:val="center"/>
            <w:shd w:fill="EAF2F8"/>
          </w:tcPr>
          <w:p>
            <w:r>
              <w:rPr>
                <w:rFonts w:ascii="Calibri" w:hAnsi="Calibri"/>
                <w:b/>
                <w:i w:val="0"/>
                <w:color w:val="17365D"/>
                <w:sz w:val="19"/>
              </w:rPr>
              <w:t>Current scope</w:t>
            </w:r>
          </w:p>
        </w:tc>
        <w:tc>
          <w:tcPr>
            <w:tcW w:type="dxa" w:w="7128"/>
            <w:tcMar>
              <w:top w:w="100" w:type="dxa"/>
              <w:start w:w="140" w:type="dxa"/>
              <w:bottom w:w="100" w:type="dxa"/>
              <w:end w:w="140" w:type="dxa"/>
            </w:tcMar>
          </w:tcPr>
          <w:p>
            <w:r>
              <w:rPr>
                <w:rFonts w:ascii="Calibri" w:hAnsi="Calibri"/>
                <w:b w:val="0"/>
                <w:i w:val="0"/>
                <w:color w:val="1F2937"/>
                <w:sz w:val="19"/>
              </w:rPr>
              <w:t>Strategy 01 on SPY through IBKR paper. Backtest and shadow mode precede all order submission.</w:t>
            </w:r>
          </w:p>
        </w:tc>
      </w:tr>
    </w:tbl>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Core design decision: </w:t>
            </w:r>
            <w:r>
              <w:rPr>
                <w:rFonts w:ascii="Calibri" w:hAnsi="Calibri"/>
                <w:b w:val="0"/>
                <w:i w:val="0"/>
                <w:color w:val="1F2937"/>
                <w:sz w:val="21"/>
              </w:rPr>
              <w:t>Phase 2 is not separate from Phase 1; it is the next decision layer. Macro tells us which environments and candidates deserve attention. Phase 2 turns a candidate into a testable trade plan and only then, after risk checks, an executable order.</w:t>
            </w:r>
          </w:p>
        </w:tc>
      </w:tr>
    </w:tbl>
    <w:p>
      <w:pPr>
        <w:spacing w:after="40"/>
      </w:pPr>
    </w:p>
    <w:p>
      <w:pPr>
        <w:pStyle w:val="Heading1"/>
        <w:spacing w:before="0" w:after="80" w:line="288" w:lineRule="auto"/>
      </w:pPr>
      <w:r>
        <w:rPr>
          <w:rFonts w:ascii="Calibri" w:hAnsi="Calibri"/>
          <w:b w:val="0"/>
          <w:i w:val="0"/>
          <w:color w:val="1F2937"/>
          <w:sz w:val="21"/>
        </w:rPr>
        <w:t>Contents</w:t>
      </w:r>
    </w:p>
    <w:p>
      <w:pPr>
        <w:pStyle w:val="ListBullet"/>
        <w:spacing w:after="60" w:line="276" w:lineRule="auto"/>
      </w:pPr>
      <w:r>
        <w:rPr>
          <w:rFonts w:ascii="Calibri" w:hAnsi="Calibri"/>
          <w:b w:val="0"/>
          <w:i w:val="0"/>
          <w:color w:val="1F2937"/>
          <w:sz w:val="20"/>
        </w:rPr>
        <w:t>1. From macro shortlist to trade lifecycle</w:t>
      </w:r>
    </w:p>
    <w:p>
      <w:pPr>
        <w:pStyle w:val="ListBullet"/>
        <w:spacing w:after="60" w:line="276" w:lineRule="auto"/>
      </w:pPr>
      <w:r>
        <w:rPr>
          <w:rFonts w:ascii="Calibri" w:hAnsi="Calibri"/>
          <w:b w:val="0"/>
          <w:i w:val="0"/>
          <w:color w:val="1F2937"/>
          <w:sz w:val="20"/>
        </w:rPr>
        <w:t>2. Decision layers and handoff rules</w:t>
      </w:r>
    </w:p>
    <w:p>
      <w:pPr>
        <w:pStyle w:val="ListBullet"/>
        <w:spacing w:after="60" w:line="276" w:lineRule="auto"/>
      </w:pPr>
      <w:r>
        <w:rPr>
          <w:rFonts w:ascii="Calibri" w:hAnsi="Calibri"/>
          <w:b w:val="0"/>
          <w:i w:val="0"/>
          <w:color w:val="1F2937"/>
          <w:sz w:val="20"/>
        </w:rPr>
        <w:t>3. Signal contract: what a valid trade must contain</w:t>
      </w:r>
    </w:p>
    <w:p>
      <w:pPr>
        <w:pStyle w:val="ListBullet"/>
        <w:spacing w:after="60" w:line="276" w:lineRule="auto"/>
      </w:pPr>
      <w:r>
        <w:rPr>
          <w:rFonts w:ascii="Calibri" w:hAnsi="Calibri"/>
          <w:b w:val="0"/>
          <w:i w:val="0"/>
          <w:color w:val="1F2937"/>
          <w:sz w:val="20"/>
        </w:rPr>
        <w:t>4. Operating modes and safety gates</w:t>
      </w:r>
    </w:p>
    <w:p>
      <w:pPr>
        <w:pStyle w:val="ListBullet"/>
        <w:spacing w:after="60" w:line="276" w:lineRule="auto"/>
      </w:pPr>
      <w:r>
        <w:rPr>
          <w:rFonts w:ascii="Calibri" w:hAnsi="Calibri"/>
          <w:b w:val="0"/>
          <w:i w:val="0"/>
          <w:color w:val="1F2937"/>
          <w:sz w:val="20"/>
        </w:rPr>
        <w:t>5. Initial design decisions and next step</w:t>
      </w:r>
    </w:p>
    <w:p>
      <w:pPr>
        <w:pStyle w:val="ListBullet"/>
        <w:spacing w:after="60" w:line="276" w:lineRule="auto"/>
      </w:pPr>
      <w:r>
        <w:rPr>
          <w:rFonts w:ascii="Calibri" w:hAnsi="Calibri"/>
          <w:b w:val="0"/>
          <w:i w:val="0"/>
          <w:color w:val="1F2937"/>
          <w:sz w:val="20"/>
        </w:rPr>
        <w:t>6. Strategy 01 - Bill Williams Alligator + Heikin Ashi + RRMS</w:t>
      </w:r>
    </w:p>
    <w:p>
      <w:pPr>
        <w:pStyle w:val="Heading1"/>
        <w:spacing w:before="0" w:after="140" w:line="288" w:lineRule="auto"/>
      </w:pPr>
      <w:r>
        <w:rPr>
          <w:rFonts w:ascii="Calibri" w:hAnsi="Calibri"/>
          <w:b w:val="0"/>
          <w:i w:val="0"/>
          <w:color w:val="1F2937"/>
          <w:sz w:val="21"/>
        </w:rPr>
        <w:t>1. From Macro Shortlist to Trade Lifecycle</w:t>
      </w:r>
    </w:p>
    <w:p>
      <w:pPr>
        <w:pStyle w:val="Heading2"/>
        <w:spacing w:before="0" w:after="140" w:line="288" w:lineRule="auto"/>
      </w:pPr>
      <w:r>
        <w:rPr>
          <w:rFonts w:ascii="Calibri" w:hAnsi="Calibri"/>
          <w:b w:val="0"/>
          <w:i w:val="0"/>
          <w:color w:val="1F2937"/>
          <w:sz w:val="21"/>
        </w:rPr>
        <w:t>Purpose of this chapter</w:t>
      </w:r>
    </w:p>
    <w:p>
      <w:pPr>
        <w:spacing w:before="0" w:after="140" w:line="288" w:lineRule="auto"/>
      </w:pPr>
      <w:r>
        <w:rPr>
          <w:rFonts w:ascii="Calibri" w:hAnsi="Calibri"/>
          <w:b w:val="0"/>
          <w:i w:val="0"/>
          <w:color w:val="1F2937"/>
          <w:sz w:val="21"/>
        </w:rPr>
        <w:t>This chapter establishes the first design boundary for the AI Trade project. It explains how the Phase 1 Macro Dashboard and Phase 2 trading system work together, what each layer is responsible for, and how a trade should travel from idea to measurement. It is intentionally a design document, not yet a product specification or live-trading authorization.</w:t>
      </w:r>
    </w:p>
    <w:p>
      <w:pPr>
        <w:pStyle w:val="Heading2"/>
        <w:spacing w:before="0" w:after="140" w:line="288" w:lineRule="auto"/>
      </w:pPr>
      <w:r>
        <w:rPr>
          <w:rFonts w:ascii="Calibri" w:hAnsi="Calibri"/>
          <w:b w:val="0"/>
          <w:i w:val="0"/>
          <w:color w:val="1F2937"/>
          <w:sz w:val="21"/>
        </w:rPr>
        <w:t>The handoff</w:t>
      </w:r>
    </w:p>
    <w:p>
      <w:pPr>
        <w:spacing w:before="0" w:after="140" w:line="288" w:lineRule="auto"/>
      </w:pPr>
      <w:r>
        <w:rPr>
          <w:rFonts w:ascii="Calibri" w:hAnsi="Calibri"/>
          <w:b w:val="0"/>
          <w:i w:val="0"/>
          <w:color w:val="1F2937"/>
          <w:sz w:val="21"/>
        </w:rPr>
        <w:t>Phase 1 has already narrowed the opportunity space: the macro regime, preferred sectors, risk appetite, and a shortlist of US stocks provide context. That work is necessary, but it does not yet answer the trading questions that determine whether capital should be put at risk today.</w:t>
      </w:r>
    </w:p>
    <w:p>
      <w:pPr>
        <w:spacing w:before="0" w:after="140" w:line="288" w:lineRule="auto"/>
      </w:pPr>
      <w:r>
        <w:rPr>
          <w:rFonts w:ascii="Calibri" w:hAnsi="Calibri"/>
          <w:b w:val="0"/>
          <w:i w:val="0"/>
          <w:color w:val="1F2937"/>
          <w:sz w:val="21"/>
        </w:rPr>
        <w:t>Phase 2 begins when a shortlisted asset is assessed by an explicit strategy. The strategy needs technical entry and exit rules, a defined invalidation point, position-sizing logic, and an objective way to evaluate the result after the trade closes.</w:t>
      </w:r>
    </w:p>
    <w:p>
      <w:pPr>
        <w:pStyle w:val="Heading2"/>
        <w:spacing w:before="0" w:after="140" w:line="288" w:lineRule="auto"/>
      </w:pPr>
      <w:r>
        <w:rPr>
          <w:rFonts w:ascii="Calibri" w:hAnsi="Calibri"/>
          <w:b w:val="0"/>
          <w:i w:val="0"/>
          <w:color w:val="1F2937"/>
          <w:sz w:val="21"/>
        </w:rPr>
        <w:t>What each phase owns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944"/>
            <w:tcMar>
              <w:top w:w="100" w:type="dxa"/>
              <w:start w:w="140" w:type="dxa"/>
              <w:bottom w:w="100" w:type="dxa"/>
              <w:end w:w="140" w:type="dxa"/>
            </w:tcMar>
            <w:shd w:fill="17365D"/>
          </w:tcPr>
          <w:p>
            <w:r>
              <w:rPr>
                <w:rFonts w:ascii="Calibri" w:hAnsi="Calibri"/>
                <w:b/>
                <w:i w:val="0"/>
                <w:color w:val="FFFFFF"/>
                <w:sz w:val="19"/>
              </w:rPr>
              <w:t>Layer</w:t>
            </w:r>
          </w:p>
        </w:tc>
        <w:tc>
          <w:tcPr>
            <w:tcW w:type="dxa" w:w="3571"/>
            <w:tcMar>
              <w:top w:w="100" w:type="dxa"/>
              <w:start w:w="140" w:type="dxa"/>
              <w:bottom w:w="100" w:type="dxa"/>
              <w:end w:w="140" w:type="dxa"/>
            </w:tcMar>
            <w:shd w:fill="17365D"/>
          </w:tcPr>
          <w:p>
            <w:r>
              <w:rPr>
                <w:rFonts w:ascii="Calibri" w:hAnsi="Calibri"/>
                <w:b/>
                <w:i w:val="0"/>
                <w:color w:val="FFFFFF"/>
                <w:sz w:val="19"/>
              </w:rPr>
              <w:t>Primary question</w:t>
            </w:r>
          </w:p>
        </w:tc>
        <w:tc>
          <w:tcPr>
            <w:tcW w:type="dxa" w:w="3845"/>
            <w:tcMar>
              <w:top w:w="100" w:type="dxa"/>
              <w:start w:w="140" w:type="dxa"/>
              <w:bottom w:w="100" w:type="dxa"/>
              <w:end w:w="140" w:type="dxa"/>
            </w:tcMar>
            <w:shd w:fill="17365D"/>
          </w:tcPr>
          <w:p>
            <w:r>
              <w:rPr>
                <w:rFonts w:ascii="Calibri" w:hAnsi="Calibri"/>
                <w:b/>
                <w:i w:val="0"/>
                <w:color w:val="FFFFFF"/>
                <w:sz w:val="19"/>
              </w:rPr>
              <w:t>Output</w:t>
            </w:r>
          </w:p>
        </w:tc>
      </w:tr>
      <w:tr>
        <w:tc>
          <w:tcPr>
            <w:tcW w:type="dxa" w:w="3264"/>
            <w:vAlign w:val="center"/>
          </w:tcPr>
          <w:p>
            <w:r>
              <w:rPr>
                <w:rFonts w:ascii="Calibri" w:hAnsi="Calibri"/>
                <w:b w:val="0"/>
                <w:i w:val="0"/>
                <w:color w:val="1F2937"/>
                <w:sz w:val="18"/>
              </w:rPr>
              <w:t>Phase 1: Macro</w:t>
            </w:r>
          </w:p>
        </w:tc>
        <w:tc>
          <w:tcPr>
            <w:tcW w:type="dxa" w:w="3264"/>
            <w:vAlign w:val="center"/>
          </w:tcPr>
          <w:p>
            <w:r>
              <w:rPr>
                <w:rFonts w:ascii="Calibri" w:hAnsi="Calibri"/>
                <w:b w:val="0"/>
                <w:i w:val="0"/>
                <w:color w:val="1F2937"/>
                <w:sz w:val="18"/>
              </w:rPr>
              <w:t>Where should attention go?</w:t>
            </w:r>
          </w:p>
        </w:tc>
        <w:tc>
          <w:tcPr>
            <w:tcW w:type="dxa" w:w="3264"/>
            <w:vAlign w:val="center"/>
          </w:tcPr>
          <w:p>
            <w:r>
              <w:rPr>
                <w:rFonts w:ascii="Calibri" w:hAnsi="Calibri"/>
                <w:b w:val="0"/>
                <w:i w:val="0"/>
                <w:color w:val="1F2937"/>
                <w:sz w:val="18"/>
              </w:rPr>
              <w:t>Regime, risk stance, preferred sectors/themes, and a candidate shortlist.</w:t>
            </w:r>
          </w:p>
        </w:tc>
      </w:tr>
      <w:tr>
        <w:tc>
          <w:tcPr>
            <w:tcW w:type="dxa" w:w="3264"/>
            <w:vAlign w:val="center"/>
          </w:tcPr>
          <w:p>
            <w:r>
              <w:rPr>
                <w:rFonts w:ascii="Calibri" w:hAnsi="Calibri"/>
                <w:b w:val="0"/>
                <w:i w:val="0"/>
                <w:color w:val="1F2937"/>
                <w:sz w:val="18"/>
              </w:rPr>
              <w:t>Phase 2A: Setup</w:t>
            </w:r>
          </w:p>
        </w:tc>
        <w:tc>
          <w:tcPr>
            <w:tcW w:type="dxa" w:w="3264"/>
            <w:vAlign w:val="center"/>
          </w:tcPr>
          <w:p>
            <w:r>
              <w:rPr>
                <w:rFonts w:ascii="Calibri" w:hAnsi="Calibri"/>
                <w:b w:val="0"/>
                <w:i w:val="0"/>
                <w:color w:val="1F2937"/>
                <w:sz w:val="18"/>
              </w:rPr>
              <w:t>Is there a tradable technical setup?</w:t>
            </w:r>
          </w:p>
        </w:tc>
        <w:tc>
          <w:tcPr>
            <w:tcW w:type="dxa" w:w="3264"/>
            <w:vAlign w:val="center"/>
          </w:tcPr>
          <w:p>
            <w:r>
              <w:rPr>
                <w:rFonts w:ascii="Calibri" w:hAnsi="Calibri"/>
                <w:b w:val="0"/>
                <w:i w:val="0"/>
                <w:color w:val="1F2937"/>
                <w:sz w:val="18"/>
              </w:rPr>
              <w:t>A rule-based setup with market, timeframe, conditions, and expiry.</w:t>
            </w:r>
          </w:p>
        </w:tc>
      </w:tr>
      <w:tr>
        <w:tc>
          <w:tcPr>
            <w:tcW w:type="dxa" w:w="3264"/>
            <w:vAlign w:val="center"/>
          </w:tcPr>
          <w:p>
            <w:r>
              <w:rPr>
                <w:rFonts w:ascii="Calibri" w:hAnsi="Calibri"/>
                <w:b w:val="0"/>
                <w:i w:val="0"/>
                <w:color w:val="1F2937"/>
                <w:sz w:val="18"/>
              </w:rPr>
              <w:t>Phase 2B: Signal</w:t>
            </w:r>
          </w:p>
        </w:tc>
        <w:tc>
          <w:tcPr>
            <w:tcW w:type="dxa" w:w="3264"/>
            <w:vAlign w:val="center"/>
          </w:tcPr>
          <w:p>
            <w:r>
              <w:rPr>
                <w:rFonts w:ascii="Calibri" w:hAnsi="Calibri"/>
                <w:b w:val="0"/>
                <w:i w:val="0"/>
                <w:color w:val="1F2937"/>
                <w:sz w:val="18"/>
              </w:rPr>
              <w:t>Should we enter now, and on what terms?</w:t>
            </w:r>
          </w:p>
        </w:tc>
        <w:tc>
          <w:tcPr>
            <w:tcW w:type="dxa" w:w="3264"/>
            <w:vAlign w:val="center"/>
          </w:tcPr>
          <w:p>
            <w:r>
              <w:rPr>
                <w:rFonts w:ascii="Calibri" w:hAnsi="Calibri"/>
                <w:b w:val="0"/>
                <w:i w:val="0"/>
                <w:color w:val="1F2937"/>
                <w:sz w:val="18"/>
              </w:rPr>
              <w:t>Entry, stop, target/exit logic, expected reward-to-risk, and confidence.</w:t>
            </w:r>
          </w:p>
        </w:tc>
      </w:tr>
      <w:tr>
        <w:tc>
          <w:tcPr>
            <w:tcW w:type="dxa" w:w="3264"/>
            <w:vAlign w:val="center"/>
          </w:tcPr>
          <w:p>
            <w:r>
              <w:rPr>
                <w:rFonts w:ascii="Calibri" w:hAnsi="Calibri"/>
                <w:b w:val="0"/>
                <w:i w:val="0"/>
                <w:color w:val="1F2937"/>
                <w:sz w:val="18"/>
              </w:rPr>
              <w:t>Phase 2C: Risk + execution</w:t>
            </w:r>
          </w:p>
        </w:tc>
        <w:tc>
          <w:tcPr>
            <w:tcW w:type="dxa" w:w="3264"/>
            <w:vAlign w:val="center"/>
          </w:tcPr>
          <w:p>
            <w:r>
              <w:rPr>
                <w:rFonts w:ascii="Calibri" w:hAnsi="Calibri"/>
                <w:b w:val="0"/>
                <w:i w:val="0"/>
                <w:color w:val="1F2937"/>
                <w:sz w:val="18"/>
              </w:rPr>
              <w:t>May this intent become an order?</w:t>
            </w:r>
          </w:p>
        </w:tc>
        <w:tc>
          <w:tcPr>
            <w:tcW w:type="dxa" w:w="3264"/>
            <w:vAlign w:val="center"/>
          </w:tcPr>
          <w:p>
            <w:r>
              <w:rPr>
                <w:rFonts w:ascii="Calibri" w:hAnsi="Calibri"/>
                <w:b w:val="0"/>
                <w:i w:val="0"/>
                <w:color w:val="1F2937"/>
                <w:sz w:val="18"/>
              </w:rPr>
              <w:t>Approved/rejected intent, permitted size, venue order, and verified fill.</w:t>
            </w:r>
          </w:p>
        </w:tc>
      </w:tr>
      <w:tr>
        <w:tc>
          <w:tcPr>
            <w:tcW w:type="dxa" w:w="3264"/>
            <w:vAlign w:val="center"/>
          </w:tcPr>
          <w:p>
            <w:r>
              <w:rPr>
                <w:rFonts w:ascii="Calibri" w:hAnsi="Calibri"/>
                <w:b w:val="0"/>
                <w:i w:val="0"/>
                <w:color w:val="1F2937"/>
                <w:sz w:val="18"/>
              </w:rPr>
              <w:t>Track + improve</w:t>
            </w:r>
          </w:p>
        </w:tc>
        <w:tc>
          <w:tcPr>
            <w:tcW w:type="dxa" w:w="3264"/>
            <w:vAlign w:val="center"/>
          </w:tcPr>
          <w:p>
            <w:r>
              <w:rPr>
                <w:rFonts w:ascii="Calibri" w:hAnsi="Calibri"/>
                <w:b w:val="0"/>
                <w:i w:val="0"/>
                <w:color w:val="1F2937"/>
                <w:sz w:val="18"/>
              </w:rPr>
              <w:t>Did reality match the thesis and simulation?</w:t>
            </w:r>
          </w:p>
        </w:tc>
        <w:tc>
          <w:tcPr>
            <w:tcW w:type="dxa" w:w="3264"/>
            <w:vAlign w:val="center"/>
          </w:tcPr>
          <w:p>
            <w:r>
              <w:rPr>
                <w:rFonts w:ascii="Calibri" w:hAnsi="Calibri"/>
                <w:b w:val="0"/>
                <w:i w:val="0"/>
                <w:color w:val="1F2937"/>
                <w:sz w:val="18"/>
              </w:rPr>
              <w:t>Trade record, post-trade review, strategy scorecard, and version decision.</w:t>
            </w:r>
          </w:p>
        </w:tc>
      </w:tr>
    </w:tbl>
    <w:p/>
    <w:p>
      <w:pPr>
        <w:pStyle w:val="Heading2"/>
        <w:spacing w:before="0" w:after="140" w:line="288" w:lineRule="auto"/>
      </w:pPr>
      <w:r>
        <w:rPr>
          <w:rFonts w:ascii="Calibri" w:hAnsi="Calibri"/>
          <w:b w:val="0"/>
          <w:i w:val="0"/>
          <w:color w:val="1F2937"/>
          <w:sz w:val="21"/>
        </w:rPr>
        <w:t>Lifecycle visual</w:t>
      </w:r>
    </w:p>
    <w:p>
      <w:pPr>
        <w:spacing w:after="40"/>
        <w:jc w:val="center"/>
      </w:pPr>
      <w:r>
        <w:drawing>
          <wp:inline xmlns:a="http://schemas.openxmlformats.org/drawingml/2006/main" xmlns:pic="http://schemas.openxmlformats.org/drawingml/2006/picture">
            <wp:extent cx="5989320" cy="2844927"/>
            <wp:docPr id="1" name="Picture 1"/>
            <wp:cNvGraphicFramePr>
              <a:graphicFrameLocks noChangeAspect="1"/>
            </wp:cNvGraphicFramePr>
            <a:graphic>
              <a:graphicData uri="http://schemas.openxmlformats.org/drawingml/2006/picture">
                <pic:pic>
                  <pic:nvPicPr>
                    <pic:cNvPr id="0" name="signal_execution_lifecycle.png"/>
                    <pic:cNvPicPr/>
                  </pic:nvPicPr>
                  <pic:blipFill>
                    <a:blip r:embed="rId11"/>
                    <a:stretch>
                      <a:fillRect/>
                    </a:stretch>
                  </pic:blipFill>
                  <pic:spPr>
                    <a:xfrm>
                      <a:off x="0" y="0"/>
                      <a:ext cx="5989320" cy="2844927"/>
                    </a:xfrm>
                    <a:prstGeom prst="rect"/>
                  </pic:spPr>
                </pic:pic>
              </a:graphicData>
            </a:graphic>
          </wp:inline>
        </w:drawing>
      </w:r>
    </w:p>
    <w:p>
      <w:pPr>
        <w:jc w:val="center"/>
      </w:pPr>
      <w:r>
        <w:rPr>
          <w:rFonts w:ascii="Calibri" w:hAnsi="Calibri"/>
          <w:b w:val="0"/>
          <w:i/>
          <w:color w:val="667085"/>
          <w:sz w:val="17"/>
        </w:rPr>
        <w:t>Figure 1. The strategy loop is closed only when real outcomes feed back into the next version of the strategy.</w:t>
      </w:r>
    </w:p>
    <w:p>
      <w:pPr>
        <w:pStyle w:val="Heading1"/>
        <w:spacing w:before="0" w:after="140" w:line="288" w:lineRule="auto"/>
      </w:pPr>
      <w:r>
        <w:rPr>
          <w:rFonts w:ascii="Calibri" w:hAnsi="Calibri"/>
          <w:b w:val="0"/>
          <w:i w:val="0"/>
          <w:color w:val="1F2937"/>
          <w:sz w:val="21"/>
        </w:rPr>
        <w:t>2. Decision Layers and Handoff Rules</w:t>
      </w:r>
    </w:p>
    <w:p>
      <w:pPr>
        <w:spacing w:before="0" w:after="140" w:line="288" w:lineRule="auto"/>
      </w:pPr>
      <w:r>
        <w:rPr>
          <w:rFonts w:ascii="Calibri" w:hAnsi="Calibri"/>
          <w:b w:val="0"/>
          <w:i w:val="0"/>
          <w:color w:val="1F2937"/>
          <w:sz w:val="21"/>
        </w:rPr>
        <w:t>The system should preserve a clear separation between deciding, approving, and doing. This prevents a promising chart or an AI-generated explanation from bypassing risk control.</w:t>
      </w:r>
    </w:p>
    <w:p>
      <w:pPr>
        <w:spacing w:after="80"/>
      </w:pPr>
      <w:r>
        <w:rPr>
          <w:rFonts w:ascii="Calibri" w:hAnsi="Calibri"/>
          <w:b/>
          <w:i w:val="0"/>
          <w:color w:val="17365D"/>
          <w:sz w:val="21"/>
        </w:rPr>
        <w:t xml:space="preserve">1. Macro context. </w:t>
      </w:r>
      <w:r>
        <w:rPr>
          <w:rFonts w:ascii="Calibri" w:hAnsi="Calibri"/>
          <w:b w:val="0"/>
          <w:i w:val="0"/>
          <w:color w:val="1F2937"/>
          <w:sz w:val="21"/>
        </w:rPr>
        <w:t>Optional filter: market regime, sector preference, and event risk determine whether a setup is allowed or should be treated cautiously.</w:t>
      </w:r>
    </w:p>
    <w:p>
      <w:pPr>
        <w:spacing w:after="80"/>
      </w:pPr>
      <w:r>
        <w:rPr>
          <w:rFonts w:ascii="Calibri" w:hAnsi="Calibri"/>
          <w:b/>
          <w:i w:val="0"/>
          <w:color w:val="17365D"/>
          <w:sz w:val="21"/>
        </w:rPr>
        <w:t xml:space="preserve">2. Strategy setup. </w:t>
      </w:r>
      <w:r>
        <w:rPr>
          <w:rFonts w:ascii="Calibri" w:hAnsi="Calibri"/>
          <w:b w:val="0"/>
          <w:i w:val="0"/>
          <w:color w:val="1F2937"/>
          <w:sz w:val="21"/>
        </w:rPr>
        <w:t>Deterministic technical criteria identify the market, timeframe, and conditions that qualify a candidate for a possible trade.</w:t>
      </w:r>
    </w:p>
    <w:p>
      <w:pPr>
        <w:spacing w:after="80"/>
      </w:pPr>
      <w:r>
        <w:rPr>
          <w:rFonts w:ascii="Calibri" w:hAnsi="Calibri"/>
          <w:b/>
          <w:i w:val="0"/>
          <w:color w:val="17365D"/>
          <w:sz w:val="21"/>
        </w:rPr>
        <w:t xml:space="preserve">3. Signal. </w:t>
      </w:r>
      <w:r>
        <w:rPr>
          <w:rFonts w:ascii="Calibri" w:hAnsi="Calibri"/>
          <w:b w:val="0"/>
          <w:i w:val="0"/>
          <w:color w:val="1F2937"/>
          <w:sz w:val="21"/>
        </w:rPr>
        <w:t>A qualifying setup becomes an intent only when the defined trigger occurs. The signal contains no discretionary gaps.</w:t>
      </w:r>
    </w:p>
    <w:p>
      <w:pPr>
        <w:spacing w:after="80"/>
      </w:pPr>
      <w:r>
        <w:rPr>
          <w:rFonts w:ascii="Calibri" w:hAnsi="Calibri"/>
          <w:b/>
          <w:i w:val="0"/>
          <w:color w:val="17365D"/>
          <w:sz w:val="21"/>
        </w:rPr>
        <w:t xml:space="preserve">4. Risk gateway. </w:t>
      </w:r>
      <w:r>
        <w:rPr>
          <w:rFonts w:ascii="Calibri" w:hAnsi="Calibri"/>
          <w:b w:val="0"/>
          <w:i w:val="0"/>
          <w:color w:val="1F2937"/>
          <w:sz w:val="21"/>
        </w:rPr>
        <w:t>Checks permitted market, capital allocation, maximum loss, leverage, existing exposure, trading hours, and daily stop rules.</w:t>
      </w:r>
    </w:p>
    <w:p>
      <w:pPr>
        <w:spacing w:after="80"/>
      </w:pPr>
      <w:r>
        <w:rPr>
          <w:rFonts w:ascii="Calibri" w:hAnsi="Calibri"/>
          <w:b/>
          <w:i w:val="0"/>
          <w:color w:val="17365D"/>
          <w:sz w:val="21"/>
        </w:rPr>
        <w:t xml:space="preserve">5. Execution adapter. </w:t>
      </w:r>
      <w:r>
        <w:rPr>
          <w:rFonts w:ascii="Calibri" w:hAnsi="Calibri"/>
          <w:b w:val="0"/>
          <w:i w:val="0"/>
          <w:color w:val="1F2937"/>
          <w:sz w:val="21"/>
        </w:rPr>
        <w:t>Maps an approved intent to venue-specific order instructions and records acknowledgements, partial fills, rejections, and cancellations.</w:t>
      </w:r>
    </w:p>
    <w:p>
      <w:pPr>
        <w:spacing w:after="80"/>
      </w:pPr>
      <w:r>
        <w:rPr>
          <w:rFonts w:ascii="Calibri" w:hAnsi="Calibri"/>
          <w:b/>
          <w:i w:val="0"/>
          <w:color w:val="17365D"/>
          <w:sz w:val="21"/>
        </w:rPr>
        <w:t xml:space="preserve">6. Tracking and review. </w:t>
      </w:r>
      <w:r>
        <w:rPr>
          <w:rFonts w:ascii="Calibri" w:hAnsi="Calibri"/>
          <w:b w:val="0"/>
          <w:i w:val="0"/>
          <w:color w:val="1F2937"/>
          <w:sz w:val="21"/>
        </w:rPr>
        <w:t>Reconciles broker truth with internal records and measures the result against the strategy's expected behavior.</w:t>
      </w:r>
    </w:p>
    <w:p>
      <w:pPr>
        <w:pStyle w:val="Heading1"/>
        <w:spacing w:before="0" w:after="140" w:line="288" w:lineRule="auto"/>
      </w:pPr>
      <w:r>
        <w:rPr>
          <w:rFonts w:ascii="Calibri" w:hAnsi="Calibri"/>
          <w:b w:val="0"/>
          <w:i w:val="0"/>
          <w:color w:val="1F2937"/>
          <w:sz w:val="21"/>
        </w:rPr>
        <w:t>3. Signal Contract: What a Valid Trade Must Contain</w:t>
      </w:r>
    </w:p>
    <w:p>
      <w:pPr>
        <w:spacing w:before="0" w:after="140" w:line="288" w:lineRule="auto"/>
      </w:pPr>
      <w:r>
        <w:rPr>
          <w:rFonts w:ascii="Calibri" w:hAnsi="Calibri"/>
          <w:b w:val="0"/>
          <w:i w:val="0"/>
          <w:color w:val="1F2937"/>
          <w:sz w:val="21"/>
        </w:rPr>
        <w:t>A signal is a structured trade proposal, not a vague direction such as 'buy Tesla.' Before it can reach the risk gateway, it must provide the following fields.</w:t>
      </w:r>
    </w:p>
    <w:tbl>
      <w:tblPr>
        <w:tblW w:type="auto" w:w="0"/>
        <w:tblLayout w:type="fixed"/>
        <w:tblLook w:firstColumn="1" w:firstRow="1" w:lastColumn="0" w:lastRow="0" w:noHBand="0" w:noVBand="1" w:val="04A0"/>
      </w:tblPr>
      <w:tblGrid>
        <w:gridCol w:w="4896"/>
        <w:gridCol w:w="4896"/>
      </w:tblGrid>
      <w:tr>
        <w:trPr>
          <w:tblHeader w:val="true"/>
        </w:trPr>
        <w:tc>
          <w:tcPr>
            <w:tcW w:type="dxa" w:w="2592"/>
            <w:tcMar>
              <w:top w:w="100" w:type="dxa"/>
              <w:start w:w="140" w:type="dxa"/>
              <w:bottom w:w="100" w:type="dxa"/>
              <w:end w:w="140" w:type="dxa"/>
            </w:tcMar>
            <w:shd w:fill="17365D"/>
          </w:tcPr>
          <w:p>
            <w:r>
              <w:rPr>
                <w:rFonts w:ascii="Calibri" w:hAnsi="Calibri"/>
                <w:b/>
                <w:i w:val="0"/>
                <w:color w:val="FFFFFF"/>
                <w:sz w:val="19"/>
              </w:rPr>
              <w:t>Field</w:t>
            </w:r>
          </w:p>
        </w:tc>
        <w:tc>
          <w:tcPr>
            <w:tcW w:type="dxa" w:w="6768"/>
            <w:tcMar>
              <w:top w:w="100" w:type="dxa"/>
              <w:start w:w="140" w:type="dxa"/>
              <w:bottom w:w="100" w:type="dxa"/>
              <w:end w:w="140" w:type="dxa"/>
            </w:tcMar>
            <w:shd w:fill="17365D"/>
          </w:tcPr>
          <w:p>
            <w:r>
              <w:rPr>
                <w:rFonts w:ascii="Calibri" w:hAnsi="Calibri"/>
                <w:b/>
                <w:i w:val="0"/>
                <w:color w:val="FFFFFF"/>
                <w:sz w:val="19"/>
              </w:rPr>
              <w:t>Required meaning</w:t>
            </w:r>
          </w:p>
        </w:tc>
      </w:tr>
      <w:tr>
        <w:tc>
          <w:tcPr>
            <w:tcW w:type="dxa" w:w="4896"/>
          </w:tcPr>
          <w:p>
            <w:r>
              <w:rPr>
                <w:rFonts w:ascii="Calibri" w:hAnsi="Calibri"/>
                <w:b/>
                <w:i w:val="0"/>
                <w:color w:val="17365D"/>
                <w:sz w:val="18"/>
              </w:rPr>
              <w:t>Identity</w:t>
            </w:r>
          </w:p>
        </w:tc>
        <w:tc>
          <w:tcPr>
            <w:tcW w:type="dxa" w:w="4896"/>
          </w:tcPr>
          <w:p>
            <w:r>
              <w:rPr>
                <w:rFonts w:ascii="Calibri" w:hAnsi="Calibri"/>
                <w:b w:val="0"/>
                <w:i w:val="0"/>
                <w:color w:val="1F2937"/>
                <w:sz w:val="18"/>
              </w:rPr>
              <w:t>Strategy version, venue, symbol, timeframe, and a unique signal ID.</w:t>
            </w:r>
          </w:p>
        </w:tc>
      </w:tr>
      <w:tr>
        <w:tc>
          <w:tcPr>
            <w:tcW w:type="dxa" w:w="4896"/>
          </w:tcPr>
          <w:p>
            <w:r>
              <w:rPr>
                <w:rFonts w:ascii="Calibri" w:hAnsi="Calibri"/>
                <w:b/>
                <w:i w:val="0"/>
                <w:color w:val="17365D"/>
                <w:sz w:val="18"/>
              </w:rPr>
              <w:t>Why now</w:t>
            </w:r>
          </w:p>
        </w:tc>
        <w:tc>
          <w:tcPr>
            <w:tcW w:type="dxa" w:w="4896"/>
          </w:tcPr>
          <w:p>
            <w:r>
              <w:rPr>
                <w:rFonts w:ascii="Calibri" w:hAnsi="Calibri"/>
                <w:b w:val="0"/>
                <w:i w:val="0"/>
                <w:color w:val="1F2937"/>
                <w:sz w:val="18"/>
              </w:rPr>
              <w:t>Exact setup and trigger conditions that fired; macro context may be attached as a filter, not invented after entry.</w:t>
            </w:r>
          </w:p>
        </w:tc>
      </w:tr>
      <w:tr>
        <w:tc>
          <w:tcPr>
            <w:tcW w:type="dxa" w:w="4896"/>
          </w:tcPr>
          <w:p>
            <w:r>
              <w:rPr>
                <w:rFonts w:ascii="Calibri" w:hAnsi="Calibri"/>
                <w:b/>
                <w:i w:val="0"/>
                <w:color w:val="17365D"/>
                <w:sz w:val="18"/>
              </w:rPr>
              <w:t>Entry</w:t>
            </w:r>
          </w:p>
        </w:tc>
        <w:tc>
          <w:tcPr>
            <w:tcW w:type="dxa" w:w="4896"/>
          </w:tcPr>
          <w:p>
            <w:r>
              <w:rPr>
                <w:rFonts w:ascii="Calibri" w:hAnsi="Calibri"/>
                <w:b w:val="0"/>
                <w:i w:val="0"/>
                <w:color w:val="1F2937"/>
                <w:sz w:val="18"/>
              </w:rPr>
              <w:t>Order side, allowed entry price/range, order type, and time-to-live.</w:t>
            </w:r>
          </w:p>
        </w:tc>
      </w:tr>
      <w:tr>
        <w:tc>
          <w:tcPr>
            <w:tcW w:type="dxa" w:w="4896"/>
          </w:tcPr>
          <w:p>
            <w:r>
              <w:rPr>
                <w:rFonts w:ascii="Calibri" w:hAnsi="Calibri"/>
                <w:b/>
                <w:i w:val="0"/>
                <w:color w:val="17365D"/>
                <w:sz w:val="18"/>
              </w:rPr>
              <w:t>Invalidation</w:t>
            </w:r>
          </w:p>
        </w:tc>
        <w:tc>
          <w:tcPr>
            <w:tcW w:type="dxa" w:w="4896"/>
          </w:tcPr>
          <w:p>
            <w:r>
              <w:rPr>
                <w:rFonts w:ascii="Calibri" w:hAnsi="Calibri"/>
                <w:b w:val="0"/>
                <w:i w:val="0"/>
                <w:color w:val="1F2937"/>
                <w:sz w:val="18"/>
              </w:rPr>
              <w:t>Stop-loss or condition that proves the thesis wrong and ends the trade.</w:t>
            </w:r>
          </w:p>
        </w:tc>
      </w:tr>
      <w:tr>
        <w:tc>
          <w:tcPr>
            <w:tcW w:type="dxa" w:w="4896"/>
          </w:tcPr>
          <w:p>
            <w:r>
              <w:rPr>
                <w:rFonts w:ascii="Calibri" w:hAnsi="Calibri"/>
                <w:b/>
                <w:i w:val="0"/>
                <w:color w:val="17365D"/>
                <w:sz w:val="18"/>
              </w:rPr>
              <w:t>Exit plan</w:t>
            </w:r>
          </w:p>
        </w:tc>
        <w:tc>
          <w:tcPr>
            <w:tcW w:type="dxa" w:w="4896"/>
          </w:tcPr>
          <w:p>
            <w:r>
              <w:rPr>
                <w:rFonts w:ascii="Calibri" w:hAnsi="Calibri"/>
                <w:b w:val="0"/>
                <w:i w:val="0"/>
                <w:color w:val="1F2937"/>
                <w:sz w:val="18"/>
              </w:rPr>
              <w:t>Profit target, trailing or time-based exit, and rules for partial exits if used.</w:t>
            </w:r>
          </w:p>
        </w:tc>
      </w:tr>
      <w:tr>
        <w:tc>
          <w:tcPr>
            <w:tcW w:type="dxa" w:w="4896"/>
          </w:tcPr>
          <w:p>
            <w:r>
              <w:rPr>
                <w:rFonts w:ascii="Calibri" w:hAnsi="Calibri"/>
                <w:b/>
                <w:i w:val="0"/>
                <w:color w:val="17365D"/>
                <w:sz w:val="18"/>
              </w:rPr>
              <w:t>Risk</w:t>
            </w:r>
          </w:p>
        </w:tc>
        <w:tc>
          <w:tcPr>
            <w:tcW w:type="dxa" w:w="4896"/>
          </w:tcPr>
          <w:p>
            <w:r>
              <w:rPr>
                <w:rFonts w:ascii="Calibri" w:hAnsi="Calibri"/>
                <w:b w:val="0"/>
                <w:i w:val="0"/>
                <w:color w:val="1F2937"/>
                <w:sz w:val="18"/>
              </w:rPr>
              <w:t>Maximum loss, proposed position size, leverage if applicable, and expected fees/funding assumptions.</w:t>
            </w:r>
          </w:p>
        </w:tc>
      </w:tr>
      <w:tr>
        <w:tc>
          <w:tcPr>
            <w:tcW w:type="dxa" w:w="4896"/>
          </w:tcPr>
          <w:p>
            <w:r>
              <w:rPr>
                <w:rFonts w:ascii="Calibri" w:hAnsi="Calibri"/>
                <w:b/>
                <w:i w:val="0"/>
                <w:color w:val="17365D"/>
                <w:sz w:val="18"/>
              </w:rPr>
              <w:t>Audit</w:t>
            </w:r>
          </w:p>
        </w:tc>
        <w:tc>
          <w:tcPr>
            <w:tcW w:type="dxa" w:w="4896"/>
          </w:tcPr>
          <w:p>
            <w:r>
              <w:rPr>
                <w:rFonts w:ascii="Calibri" w:hAnsi="Calibri"/>
                <w:b w:val="0"/>
                <w:i w:val="0"/>
                <w:color w:val="1F2937"/>
                <w:sz w:val="18"/>
              </w:rPr>
              <w:t>Data timestamp, model/configuration version, and every later state transition.</w:t>
            </w:r>
          </w:p>
        </w:tc>
      </w:tr>
    </w:tbl>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DECEC"/>
            <w:vAlign w:val="center"/>
          </w:tcPr>
          <w:p>
            <w:pPr>
              <w:spacing w:before="20" w:after="20"/>
            </w:pPr>
            <w:r>
              <w:rPr>
                <w:rFonts w:ascii="Calibri" w:hAnsi="Calibri"/>
                <w:b/>
                <w:i w:val="0"/>
                <w:color w:val="17365D"/>
                <w:sz w:val="21"/>
              </w:rPr>
              <w:t xml:space="preserve">Non-negotiable rule: </w:t>
            </w:r>
            <w:r>
              <w:rPr>
                <w:rFonts w:ascii="Calibri" w:hAnsi="Calibri"/>
                <w:b w:val="0"/>
                <w:i w:val="0"/>
                <w:color w:val="1F2937"/>
                <w:sz w:val="21"/>
              </w:rPr>
              <w:t>An LLM can help explain, test ideas, or summarize context. It does not submit an order. Only an explicit strategy intent that passes the risk gateway may reach an execution adapter.</w:t>
            </w:r>
          </w:p>
        </w:tc>
      </w:tr>
    </w:tbl>
    <w:p>
      <w:pPr>
        <w:spacing w:after="40"/>
      </w:pPr>
    </w:p>
    <w:p>
      <w:pPr>
        <w:pStyle w:val="Heading1"/>
        <w:spacing w:before="0" w:after="140" w:line="288" w:lineRule="auto"/>
      </w:pPr>
      <w:r>
        <w:rPr>
          <w:rFonts w:ascii="Calibri" w:hAnsi="Calibri"/>
          <w:b w:val="0"/>
          <w:i w:val="0"/>
          <w:color w:val="1F2937"/>
          <w:sz w:val="21"/>
        </w:rPr>
        <w:t>4. Operating Modes and Safety Gates</w:t>
      </w:r>
    </w:p>
    <w:p>
      <w:pPr>
        <w:spacing w:before="0" w:after="140" w:line="288" w:lineRule="auto"/>
      </w:pPr>
      <w:r>
        <w:rPr>
          <w:rFonts w:ascii="Calibri" w:hAnsi="Calibri"/>
          <w:b w:val="0"/>
          <w:i w:val="0"/>
          <w:color w:val="1F2937"/>
          <w:sz w:val="21"/>
        </w:rPr>
        <w:t>The same strategy should advance through explicit modes. Promotion is deliberate; it never happens simply because a backtest looks attractive.</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584"/>
            <w:tcMar>
              <w:top w:w="100" w:type="dxa"/>
              <w:start w:w="140" w:type="dxa"/>
              <w:bottom w:w="100" w:type="dxa"/>
              <w:end w:w="140" w:type="dxa"/>
            </w:tcMar>
            <w:shd w:fill="17365D"/>
          </w:tcPr>
          <w:p>
            <w:r>
              <w:rPr>
                <w:rFonts w:ascii="Calibri" w:hAnsi="Calibri"/>
                <w:b/>
                <w:i w:val="0"/>
                <w:color w:val="FFFFFF"/>
                <w:sz w:val="19"/>
              </w:rPr>
              <w:t>Mode</w:t>
            </w:r>
          </w:p>
        </w:tc>
        <w:tc>
          <w:tcPr>
            <w:tcW w:type="dxa" w:w="3168"/>
            <w:tcMar>
              <w:top w:w="100" w:type="dxa"/>
              <w:start w:w="140" w:type="dxa"/>
              <w:bottom w:w="100" w:type="dxa"/>
              <w:end w:w="140" w:type="dxa"/>
            </w:tcMar>
            <w:shd w:fill="17365D"/>
          </w:tcPr>
          <w:p>
            <w:r>
              <w:rPr>
                <w:rFonts w:ascii="Calibri" w:hAnsi="Calibri"/>
                <w:b/>
                <w:i w:val="0"/>
                <w:color w:val="FFFFFF"/>
                <w:sz w:val="19"/>
              </w:rPr>
              <w:t>What runs</w:t>
            </w:r>
          </w:p>
        </w:tc>
        <w:tc>
          <w:tcPr>
            <w:tcW w:type="dxa" w:w="4608"/>
            <w:tcMar>
              <w:top w:w="100" w:type="dxa"/>
              <w:start w:w="140" w:type="dxa"/>
              <w:bottom w:w="100" w:type="dxa"/>
              <w:end w:w="140" w:type="dxa"/>
            </w:tcMar>
            <w:shd w:fill="17365D"/>
          </w:tcPr>
          <w:p>
            <w:r>
              <w:rPr>
                <w:rFonts w:ascii="Calibri" w:hAnsi="Calibri"/>
                <w:b/>
                <w:i w:val="0"/>
                <w:color w:val="FFFFFF"/>
                <w:sz w:val="19"/>
              </w:rPr>
              <w:t>Gate to leave the mode</w:t>
            </w:r>
          </w:p>
        </w:tc>
      </w:tr>
      <w:tr>
        <w:tc>
          <w:tcPr>
            <w:tcW w:type="dxa" w:w="3264"/>
          </w:tcPr>
          <w:p>
            <w:r>
              <w:rPr>
                <w:rFonts w:ascii="Calibri" w:hAnsi="Calibri"/>
                <w:b/>
                <w:i w:val="0"/>
                <w:color w:val="17365D"/>
                <w:sz w:val="18"/>
              </w:rPr>
              <w:t>Backtest</w:t>
            </w:r>
          </w:p>
        </w:tc>
        <w:tc>
          <w:tcPr>
            <w:tcW w:type="dxa" w:w="3264"/>
          </w:tcPr>
          <w:p>
            <w:r>
              <w:rPr>
                <w:rFonts w:ascii="Calibri" w:hAnsi="Calibri"/>
                <w:b w:val="0"/>
                <w:i w:val="0"/>
                <w:color w:val="1F2937"/>
                <w:sz w:val="18"/>
              </w:rPr>
              <w:t>Historical data and simulated orders.</w:t>
            </w:r>
          </w:p>
        </w:tc>
        <w:tc>
          <w:tcPr>
            <w:tcW w:type="dxa" w:w="3264"/>
          </w:tcPr>
          <w:p>
            <w:r>
              <w:rPr>
                <w:rFonts w:ascii="Calibri" w:hAnsi="Calibri"/>
                <w:b w:val="0"/>
                <w:i w:val="0"/>
                <w:color w:val="1F2937"/>
                <w:sz w:val="18"/>
              </w:rPr>
              <w:t>Reproducible report with realistic costs and an untouched out-of-sample period.</w:t>
            </w:r>
          </w:p>
        </w:tc>
      </w:tr>
      <w:tr>
        <w:tc>
          <w:tcPr>
            <w:tcW w:type="dxa" w:w="3264"/>
          </w:tcPr>
          <w:p>
            <w:r>
              <w:rPr>
                <w:rFonts w:ascii="Calibri" w:hAnsi="Calibri"/>
                <w:b/>
                <w:i w:val="0"/>
                <w:color w:val="17365D"/>
                <w:sz w:val="18"/>
              </w:rPr>
              <w:t>Shadow</w:t>
            </w:r>
          </w:p>
        </w:tc>
        <w:tc>
          <w:tcPr>
            <w:tcW w:type="dxa" w:w="3264"/>
          </w:tcPr>
          <w:p>
            <w:r>
              <w:rPr>
                <w:rFonts w:ascii="Calibri" w:hAnsi="Calibri"/>
                <w:b w:val="0"/>
                <w:i w:val="0"/>
                <w:color w:val="1F2937"/>
                <w:sz w:val="18"/>
              </w:rPr>
              <w:t>Live data; hypothetical trades only.</w:t>
            </w:r>
          </w:p>
        </w:tc>
        <w:tc>
          <w:tcPr>
            <w:tcW w:type="dxa" w:w="3264"/>
          </w:tcPr>
          <w:p>
            <w:r>
              <w:rPr>
                <w:rFonts w:ascii="Calibri" w:hAnsi="Calibri"/>
                <w:b w:val="0"/>
                <w:i w:val="0"/>
                <w:color w:val="1F2937"/>
                <w:sz w:val="18"/>
              </w:rPr>
              <w:t>Signals, timing, and health checks behave as specified for a meaningful observation period.</w:t>
            </w:r>
          </w:p>
        </w:tc>
      </w:tr>
      <w:tr>
        <w:tc>
          <w:tcPr>
            <w:tcW w:type="dxa" w:w="3264"/>
          </w:tcPr>
          <w:p>
            <w:r>
              <w:rPr>
                <w:rFonts w:ascii="Calibri" w:hAnsi="Calibri"/>
                <w:b/>
                <w:i w:val="0"/>
                <w:color w:val="17365D"/>
                <w:sz w:val="18"/>
              </w:rPr>
              <w:t>Paper</w:t>
            </w:r>
          </w:p>
        </w:tc>
        <w:tc>
          <w:tcPr>
            <w:tcW w:type="dxa" w:w="3264"/>
          </w:tcPr>
          <w:p>
            <w:r>
              <w:rPr>
                <w:rFonts w:ascii="Calibri" w:hAnsi="Calibri"/>
                <w:b w:val="0"/>
                <w:i w:val="0"/>
                <w:color w:val="1F2937"/>
                <w:sz w:val="18"/>
              </w:rPr>
              <w:t>Orders sent only to a paper environment.</w:t>
            </w:r>
          </w:p>
        </w:tc>
        <w:tc>
          <w:tcPr>
            <w:tcW w:type="dxa" w:w="3264"/>
          </w:tcPr>
          <w:p>
            <w:r>
              <w:rPr>
                <w:rFonts w:ascii="Calibri" w:hAnsi="Calibri"/>
                <w:b w:val="0"/>
                <w:i w:val="0"/>
                <w:color w:val="1F2937"/>
                <w:sz w:val="18"/>
              </w:rPr>
              <w:t>Order states, restarts, fills, and balances reconcile with the venue.</w:t>
            </w:r>
          </w:p>
        </w:tc>
      </w:tr>
      <w:tr>
        <w:tc>
          <w:tcPr>
            <w:tcW w:type="dxa" w:w="3264"/>
          </w:tcPr>
          <w:p>
            <w:r>
              <w:rPr>
                <w:rFonts w:ascii="Calibri" w:hAnsi="Calibri"/>
                <w:b/>
                <w:i w:val="0"/>
                <w:color w:val="17365D"/>
                <w:sz w:val="18"/>
              </w:rPr>
              <w:t>Limited live</w:t>
            </w:r>
          </w:p>
        </w:tc>
        <w:tc>
          <w:tcPr>
            <w:tcW w:type="dxa" w:w="3264"/>
          </w:tcPr>
          <w:p>
            <w:r>
              <w:rPr>
                <w:rFonts w:ascii="Calibri" w:hAnsi="Calibri"/>
                <w:b w:val="0"/>
                <w:i w:val="0"/>
                <w:color w:val="1F2937"/>
                <w:sz w:val="18"/>
              </w:rPr>
              <w:t>Small, constrained real orders.</w:t>
            </w:r>
          </w:p>
        </w:tc>
        <w:tc>
          <w:tcPr>
            <w:tcW w:type="dxa" w:w="3264"/>
          </w:tcPr>
          <w:p>
            <w:r>
              <w:rPr>
                <w:rFonts w:ascii="Calibri" w:hAnsi="Calibri"/>
                <w:b w:val="0"/>
                <w:i w:val="0"/>
                <w:color w:val="1F2937"/>
                <w:sz w:val="18"/>
              </w:rPr>
              <w:t>Explicit user authorization, limits configured, alerts working, and manual kill switch tested.</w:t>
            </w:r>
          </w:p>
        </w:tc>
      </w:tr>
    </w:tbl>
    <w:p/>
    <w:p>
      <w:pPr>
        <w:pStyle w:val="Heading1"/>
        <w:spacing w:before="0" w:after="140" w:line="288" w:lineRule="auto"/>
      </w:pPr>
      <w:r>
        <w:rPr>
          <w:rFonts w:ascii="Calibri" w:hAnsi="Calibri"/>
          <w:b w:val="0"/>
          <w:i w:val="0"/>
          <w:color w:val="1F2937"/>
          <w:sz w:val="21"/>
        </w:rPr>
        <w:t>5. Initial Design Decisions and Next Step</w:t>
      </w:r>
    </w:p>
    <w:p>
      <w:pPr>
        <w:pStyle w:val="Heading2"/>
        <w:spacing w:before="0" w:after="140" w:line="288" w:lineRule="auto"/>
      </w:pPr>
      <w:r>
        <w:rPr>
          <w:rFonts w:ascii="Calibri" w:hAnsi="Calibri"/>
          <w:b w:val="0"/>
          <w:i w:val="0"/>
          <w:color w:val="1F2937"/>
          <w:sz w:val="21"/>
        </w:rPr>
        <w:t>Decisions made in this chapter</w:t>
      </w:r>
    </w:p>
    <w:p>
      <w:pPr>
        <w:pStyle w:val="ListBullet"/>
        <w:spacing w:after="60" w:line="276" w:lineRule="auto"/>
      </w:pPr>
      <w:r>
        <w:rPr>
          <w:rFonts w:ascii="Calibri" w:hAnsi="Calibri"/>
          <w:b w:val="0"/>
          <w:i w:val="0"/>
          <w:color w:val="1F2937"/>
          <w:sz w:val="20"/>
        </w:rPr>
        <w:t>Phase 1 and Phase 2 overlap by design: the macro layer filters the universe; it does not replace a technical strategy.</w:t>
      </w:r>
    </w:p>
    <w:p>
      <w:pPr>
        <w:pStyle w:val="ListBullet"/>
        <w:spacing w:after="60" w:line="276" w:lineRule="auto"/>
      </w:pPr>
      <w:r>
        <w:rPr>
          <w:rFonts w:ascii="Calibri" w:hAnsi="Calibri"/>
          <w:b w:val="0"/>
          <w:i w:val="0"/>
          <w:color w:val="1F2937"/>
          <w:sz w:val="20"/>
        </w:rPr>
        <w:t>The current project owns signal generation, backtesting, risk controls, broker/exchange adapters, reconciliation, monitoring, and strategy improvement.</w:t>
      </w:r>
    </w:p>
    <w:p>
      <w:pPr>
        <w:pStyle w:val="ListBullet"/>
        <w:spacing w:after="60" w:line="276" w:lineRule="auto"/>
      </w:pPr>
      <w:r>
        <w:rPr>
          <w:rFonts w:ascii="Calibri" w:hAnsi="Calibri"/>
          <w:b w:val="0"/>
          <w:i w:val="0"/>
          <w:color w:val="1F2937"/>
          <w:sz w:val="20"/>
        </w:rPr>
        <w:t>The initial release focuses on a single small experiment rather than a multi-strategy dashboard or unrestricted live trading.</w:t>
      </w:r>
    </w:p>
    <w:p>
      <w:pPr>
        <w:pStyle w:val="ListBullet"/>
        <w:spacing w:after="60" w:line="276" w:lineRule="auto"/>
      </w:pPr>
      <w:r>
        <w:rPr>
          <w:rFonts w:ascii="Calibri" w:hAnsi="Calibri"/>
          <w:b w:val="0"/>
          <w:i w:val="0"/>
          <w:color w:val="1F2937"/>
          <w:sz w:val="20"/>
        </w:rPr>
        <w:t>Broker/exchange records are the source of truth for positions, balances, orders, and fills.</w:t>
      </w:r>
    </w:p>
    <w:p>
      <w:pPr>
        <w:pStyle w:val="ListBullet"/>
        <w:spacing w:after="60" w:line="276" w:lineRule="auto"/>
      </w:pPr>
      <w:r>
        <w:rPr>
          <w:rFonts w:ascii="Calibri" w:hAnsi="Calibri"/>
          <w:b w:val="0"/>
          <w:i w:val="0"/>
          <w:color w:val="1F2937"/>
          <w:sz w:val="20"/>
        </w:rPr>
        <w:t>Any strategy change creates a new version that must repeat backtest, shadow, and paper validation before live use.</w:t>
      </w:r>
    </w:p>
    <w:p>
      <w:pPr>
        <w:pStyle w:val="Heading2"/>
        <w:spacing w:before="0" w:after="140" w:line="288" w:lineRule="auto"/>
      </w:pPr>
      <w:r>
        <w:rPr>
          <w:rFonts w:ascii="Calibri" w:hAnsi="Calibri"/>
          <w:b w:val="0"/>
          <w:i w:val="0"/>
          <w:color w:val="1F2937"/>
          <w:sz w:val="21"/>
        </w:rPr>
        <w:t>Next design step</w:t>
      </w:r>
    </w:p>
    <w:p>
      <w:pPr>
        <w:spacing w:before="0" w:after="140" w:line="288" w:lineRule="auto"/>
      </w:pPr>
      <w:r>
        <w:rPr>
          <w:rFonts w:ascii="Calibri" w:hAnsi="Calibri"/>
          <w:b w:val="0"/>
          <w:i w:val="0"/>
          <w:color w:val="1F2937"/>
          <w:sz w:val="21"/>
        </w:rPr>
        <w:t>Define the first experiment in a one-page strategy brief. The brief must choose one venue, one market, one timeframe, one fully rule-based setup, and the costs/limits that a realistic backtest must include. That brief becomes the input to the data-collection and backtesting work.</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First experiment selected: </w:t>
            </w:r>
            <w:r>
              <w:rPr>
                <w:rFonts w:ascii="Calibri" w:hAnsi="Calibri"/>
                <w:b w:val="0"/>
                <w:i w:val="0"/>
                <w:color w:val="1F2937"/>
                <w:sz w:val="21"/>
              </w:rPr>
              <w:t>Strategy 01 will be developed on SPY with IBKR paper trading. MEXC spot and futures remain later extensions after the core cycle has been proven.</w:t>
            </w:r>
          </w:p>
        </w:tc>
      </w:tr>
    </w:tbl>
    <w:p>
      <w:pPr>
        <w:spacing w:after="40"/>
      </w:pPr>
    </w:p>
    <w:p>
      <w:pPr>
        <w:pStyle w:val="Heading1"/>
        <w:spacing w:before="0" w:after="140" w:line="288" w:lineRule="auto"/>
      </w:pPr>
      <w:r>
        <w:rPr>
          <w:rFonts w:ascii="Calibri" w:hAnsi="Calibri"/>
          <w:b w:val="0"/>
          <w:i w:val="0"/>
          <w:color w:val="1F2937"/>
          <w:sz w:val="21"/>
        </w:rPr>
        <w:t>6. Strategy 01 - Bill Williams Alligator + Heikin Ashi + RRMS</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Implementation status: </w:t>
            </w:r>
            <w:r>
              <w:rPr>
                <w:rFonts w:ascii="Calibri" w:hAnsi="Calibri"/>
                <w:b w:val="0"/>
                <w:i w:val="0"/>
                <w:color w:val="1F2937"/>
                <w:sz w:val="21"/>
              </w:rPr>
              <w:t>This is the first strategy selected for implementation. Its first use is a historical backtest, then shadow mode, then IBKR paper trading. It is not approved for live trading.</w:t>
            </w:r>
          </w:p>
        </w:tc>
      </w:tr>
    </w:tbl>
    <w:p>
      <w:pPr>
        <w:spacing w:after="40"/>
      </w:pPr>
    </w:p>
    <w:p>
      <w:pPr>
        <w:pStyle w:val="Heading2"/>
        <w:spacing w:before="0" w:after="140" w:line="288" w:lineRule="auto"/>
      </w:pPr>
      <w:r>
        <w:rPr>
          <w:rFonts w:ascii="Calibri" w:hAnsi="Calibri"/>
          <w:b w:val="0"/>
          <w:i w:val="0"/>
          <w:color w:val="1F2937"/>
          <w:sz w:val="21"/>
        </w:rPr>
        <w:t>6.1 Strategy objective and scope</w:t>
      </w:r>
    </w:p>
    <w:p>
      <w:pPr>
        <w:spacing w:before="0" w:after="140" w:line="288" w:lineRule="auto"/>
      </w:pPr>
      <w:r>
        <w:rPr>
          <w:rFonts w:ascii="Calibri" w:hAnsi="Calibri"/>
          <w:b w:val="0"/>
          <w:i w:val="0"/>
          <w:color w:val="1F2937"/>
          <w:sz w:val="21"/>
        </w:rPr>
        <w:t>Strategy 01 is an intraday trend-following system for the S&amp;P 500 using the SPY ETF as the initial executable instrument. The Macro Dashboard is the context layer: it determines whether S&amp;P 500 trades are allowed. The 1-hour chart confirms trend direction, and the 15-minute chart determines the setup and entry.</w:t>
      </w:r>
    </w:p>
    <w:tbl>
      <w:tblPr>
        <w:tblW w:type="auto" w:w="0"/>
        <w:tblLayout w:type="fixed"/>
        <w:tblLook w:firstColumn="1" w:firstRow="1" w:lastColumn="0" w:lastRow="0" w:noHBand="0" w:noVBand="1" w:val="04A0"/>
      </w:tblPr>
      <w:tblGrid>
        <w:gridCol w:w="4896"/>
        <w:gridCol w:w="4896"/>
      </w:tblGrid>
      <w:tr>
        <w:trPr>
          <w:tblHeader w:val="true"/>
        </w:trPr>
        <w:tc>
          <w:tcPr>
            <w:tcW w:type="dxa" w:w="2664"/>
            <w:tcMar>
              <w:top w:w="100" w:type="dxa"/>
              <w:start w:w="140" w:type="dxa"/>
              <w:bottom w:w="100" w:type="dxa"/>
              <w:end w:w="140" w:type="dxa"/>
            </w:tcMar>
            <w:shd w:fill="17365D"/>
          </w:tcPr>
          <w:p>
            <w:r>
              <w:rPr>
                <w:rFonts w:ascii="Calibri" w:hAnsi="Calibri"/>
                <w:b/>
                <w:i w:val="0"/>
                <w:color w:val="FFFFFF"/>
                <w:sz w:val="19"/>
              </w:rPr>
              <w:t>Design item</w:t>
            </w:r>
          </w:p>
        </w:tc>
        <w:tc>
          <w:tcPr>
            <w:tcW w:type="dxa" w:w="6696"/>
            <w:tcMar>
              <w:top w:w="100" w:type="dxa"/>
              <w:start w:w="140" w:type="dxa"/>
              <w:bottom w:w="100" w:type="dxa"/>
              <w:end w:w="140" w:type="dxa"/>
            </w:tcMar>
            <w:shd w:fill="17365D"/>
          </w:tcPr>
          <w:p>
            <w:r>
              <w:rPr>
                <w:rFonts w:ascii="Calibri" w:hAnsi="Calibri"/>
                <w:b/>
                <w:i w:val="0"/>
                <w:color w:val="FFFFFF"/>
                <w:sz w:val="19"/>
              </w:rPr>
              <w:t>Decision</w:t>
            </w:r>
          </w:p>
        </w:tc>
      </w:tr>
      <w:tr>
        <w:tc>
          <w:tcPr>
            <w:tcW w:type="dxa" w:w="4896"/>
          </w:tcPr>
          <w:p>
            <w:r>
              <w:rPr>
                <w:rFonts w:ascii="Calibri" w:hAnsi="Calibri"/>
                <w:b/>
                <w:i w:val="0"/>
                <w:color w:val="17365D"/>
                <w:sz w:val="18"/>
              </w:rPr>
              <w:t>Strategy name</w:t>
            </w:r>
          </w:p>
        </w:tc>
        <w:tc>
          <w:tcPr>
            <w:tcW w:type="dxa" w:w="4896"/>
          </w:tcPr>
          <w:p>
            <w:r>
              <w:rPr>
                <w:rFonts w:ascii="Calibri" w:hAnsi="Calibri"/>
                <w:b w:val="0"/>
                <w:i w:val="0"/>
                <w:color w:val="1F2937"/>
                <w:sz w:val="18"/>
              </w:rPr>
              <w:t>Strategy 01 - Bill Williams Alligator + Heikin Ashi + RRMS</w:t>
            </w:r>
          </w:p>
        </w:tc>
      </w:tr>
      <w:tr>
        <w:tc>
          <w:tcPr>
            <w:tcW w:type="dxa" w:w="4896"/>
          </w:tcPr>
          <w:p>
            <w:r>
              <w:rPr>
                <w:rFonts w:ascii="Calibri" w:hAnsi="Calibri"/>
                <w:b/>
                <w:i w:val="0"/>
                <w:color w:val="17365D"/>
                <w:sz w:val="18"/>
              </w:rPr>
              <w:t>Market</w:t>
            </w:r>
          </w:p>
        </w:tc>
        <w:tc>
          <w:tcPr>
            <w:tcW w:type="dxa" w:w="4896"/>
          </w:tcPr>
          <w:p>
            <w:r>
              <w:rPr>
                <w:rFonts w:ascii="Calibri" w:hAnsi="Calibri"/>
                <w:b w:val="0"/>
                <w:i w:val="0"/>
                <w:color w:val="1F2937"/>
                <w:sz w:val="18"/>
              </w:rPr>
              <w:t>S&amp;P 500, initially executed as SPY through IBKR paper trading. A continuous S&amp;P chart may be used for research only; it is not an executable contract.</w:t>
            </w:r>
          </w:p>
        </w:tc>
      </w:tr>
      <w:tr>
        <w:tc>
          <w:tcPr>
            <w:tcW w:type="dxa" w:w="4896"/>
          </w:tcPr>
          <w:p>
            <w:r>
              <w:rPr>
                <w:rFonts w:ascii="Calibri" w:hAnsi="Calibri"/>
                <w:b/>
                <w:i w:val="0"/>
                <w:color w:val="17365D"/>
                <w:sz w:val="18"/>
              </w:rPr>
              <w:t>Macro filter</w:t>
            </w:r>
          </w:p>
        </w:tc>
        <w:tc>
          <w:tcPr>
            <w:tcW w:type="dxa" w:w="4896"/>
          </w:tcPr>
          <w:p>
            <w:r>
              <w:rPr>
                <w:rFonts w:ascii="Calibri" w:hAnsi="Calibri"/>
                <w:b w:val="0"/>
                <w:i w:val="0"/>
                <w:color w:val="1F2937"/>
                <w:sz w:val="18"/>
              </w:rPr>
              <w:t>S&amp;P 500 trading is allowed only when the Phase 1 macro stance permits it.</w:t>
            </w:r>
          </w:p>
        </w:tc>
      </w:tr>
      <w:tr>
        <w:tc>
          <w:tcPr>
            <w:tcW w:type="dxa" w:w="4896"/>
          </w:tcPr>
          <w:p>
            <w:r>
              <w:rPr>
                <w:rFonts w:ascii="Calibri" w:hAnsi="Calibri"/>
                <w:b/>
                <w:i w:val="0"/>
                <w:color w:val="17365D"/>
                <w:sz w:val="18"/>
              </w:rPr>
              <w:t>Trend confirmation</w:t>
            </w:r>
          </w:p>
        </w:tc>
        <w:tc>
          <w:tcPr>
            <w:tcW w:type="dxa" w:w="4896"/>
          </w:tcPr>
          <w:p>
            <w:r>
              <w:rPr>
                <w:rFonts w:ascii="Calibri" w:hAnsi="Calibri"/>
                <w:b w:val="0"/>
                <w:i w:val="0"/>
                <w:color w:val="1F2937"/>
                <w:sz w:val="18"/>
              </w:rPr>
              <w:t>1-hour chart</w:t>
            </w:r>
          </w:p>
        </w:tc>
      </w:tr>
      <w:tr>
        <w:tc>
          <w:tcPr>
            <w:tcW w:type="dxa" w:w="4896"/>
          </w:tcPr>
          <w:p>
            <w:r>
              <w:rPr>
                <w:rFonts w:ascii="Calibri" w:hAnsi="Calibri"/>
                <w:b/>
                <w:i w:val="0"/>
                <w:color w:val="17365D"/>
                <w:sz w:val="18"/>
              </w:rPr>
              <w:t>Entry timeframe</w:t>
            </w:r>
          </w:p>
        </w:tc>
        <w:tc>
          <w:tcPr>
            <w:tcW w:type="dxa" w:w="4896"/>
          </w:tcPr>
          <w:p>
            <w:r>
              <w:rPr>
                <w:rFonts w:ascii="Calibri" w:hAnsi="Calibri"/>
                <w:b w:val="0"/>
                <w:i w:val="0"/>
                <w:color w:val="1F2937"/>
                <w:sz w:val="18"/>
              </w:rPr>
              <w:t>15-minute chart</w:t>
            </w:r>
          </w:p>
        </w:tc>
      </w:tr>
      <w:tr>
        <w:tc>
          <w:tcPr>
            <w:tcW w:type="dxa" w:w="4896"/>
          </w:tcPr>
          <w:p>
            <w:r>
              <w:rPr>
                <w:rFonts w:ascii="Calibri" w:hAnsi="Calibri"/>
                <w:b/>
                <w:i w:val="0"/>
                <w:color w:val="17365D"/>
                <w:sz w:val="18"/>
              </w:rPr>
              <w:t>Direction</w:t>
            </w:r>
          </w:p>
        </w:tc>
        <w:tc>
          <w:tcPr>
            <w:tcW w:type="dxa" w:w="4896"/>
          </w:tcPr>
          <w:p>
            <w:r>
              <w:rPr>
                <w:rFonts w:ascii="Calibri" w:hAnsi="Calibri"/>
                <w:b w:val="0"/>
                <w:i w:val="0"/>
                <w:color w:val="1F2937"/>
                <w:sz w:val="18"/>
              </w:rPr>
              <w:t>Long and short rules are defined symmetrically; the initial backtest will report their results separately.</w:t>
            </w:r>
          </w:p>
        </w:tc>
      </w:tr>
      <w:tr>
        <w:tc>
          <w:tcPr>
            <w:tcW w:type="dxa" w:w="4896"/>
          </w:tcPr>
          <w:p>
            <w:r>
              <w:rPr>
                <w:rFonts w:ascii="Calibri" w:hAnsi="Calibri"/>
                <w:b/>
                <w:i w:val="0"/>
                <w:color w:val="17365D"/>
                <w:sz w:val="18"/>
              </w:rPr>
              <w:t>Initial reward model</w:t>
            </w:r>
          </w:p>
        </w:tc>
        <w:tc>
          <w:tcPr>
            <w:tcW w:type="dxa" w:w="4896"/>
          </w:tcPr>
          <w:p>
            <w:r>
              <w:rPr>
                <w:rFonts w:ascii="Calibri" w:hAnsi="Calibri"/>
                <w:b w:val="0"/>
                <w:i w:val="0"/>
                <w:color w:val="1F2937"/>
                <w:sz w:val="18"/>
              </w:rPr>
              <w:t>1R target: target distance equals the actual entry-to-stop distance. This is provisional and must be tested.</w:t>
            </w:r>
          </w:p>
        </w:tc>
      </w:tr>
    </w:tbl>
    <w:p/>
    <w:p>
      <w:pPr>
        <w:pStyle w:val="Heading2"/>
        <w:spacing w:before="0" w:after="140" w:line="288" w:lineRule="auto"/>
      </w:pPr>
      <w:r>
        <w:rPr>
          <w:rFonts w:ascii="Calibri" w:hAnsi="Calibri"/>
          <w:b w:val="0"/>
          <w:i w:val="0"/>
          <w:color w:val="1F2937"/>
          <w:sz w:val="21"/>
        </w:rPr>
        <w:t>6.2 Indicator definitions and no-lookahead rule</w:t>
      </w:r>
    </w:p>
    <w:p>
      <w:pPr>
        <w:spacing w:before="0" w:after="140" w:line="288" w:lineRule="auto"/>
      </w:pPr>
      <w:r>
        <w:rPr>
          <w:rFonts w:ascii="Calibri" w:hAnsi="Calibri"/>
          <w:b w:val="0"/>
          <w:i w:val="0"/>
          <w:color w:val="1F2937"/>
          <w:sz w:val="21"/>
        </w:rPr>
        <w:t>The Alligator uses three smoothed moving averages of median price, where median price is (high + low) / 2. The Jaw is a 13-period smoothed moving average displayed 8 bars forward; Teeth is an 8-period average displayed 5 bars forward; Lips is a 5-period average displayed 3 bars forward. Heikin Ashi candles are used to reduce visual noise in the entry signal.</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DECEC"/>
            <w:vAlign w:val="center"/>
          </w:tcPr>
          <w:p>
            <w:pPr>
              <w:spacing w:before="20" w:after="20"/>
            </w:pPr>
            <w:r>
              <w:rPr>
                <w:rFonts w:ascii="Calibri" w:hAnsi="Calibri"/>
                <w:b/>
                <w:i w:val="0"/>
                <w:color w:val="17365D"/>
                <w:sz w:val="21"/>
              </w:rPr>
              <w:t xml:space="preserve">Backtest integrity: </w:t>
            </w:r>
            <w:r>
              <w:rPr>
                <w:rFonts w:ascii="Calibri" w:hAnsi="Calibri"/>
                <w:b w:val="0"/>
                <w:i w:val="0"/>
                <w:color w:val="1F2937"/>
                <w:sz w:val="21"/>
              </w:rPr>
              <w:t>Forward offsets are display offsets only. The implementation must never use candles that did not exist at the decision time. Every 1-hour and 15-minute rule is evaluated only from completed data available at that time.</w:t>
            </w:r>
          </w:p>
        </w:tc>
      </w:tr>
    </w:tbl>
    <w:p>
      <w:pPr>
        <w:spacing w:after="40"/>
      </w:pPr>
    </w:p>
    <w:p>
      <w:pPr>
        <w:pStyle w:val="Heading2"/>
        <w:spacing w:before="0" w:after="140" w:line="288" w:lineRule="auto"/>
      </w:pPr>
      <w:r>
        <w:rPr>
          <w:rFonts w:ascii="Calibri" w:hAnsi="Calibri"/>
          <w:b w:val="0"/>
          <w:i w:val="0"/>
          <w:color w:val="1F2937"/>
          <w:sz w:val="21"/>
        </w:rPr>
        <w:t>6.3 Trade rules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728"/>
            <w:tcMar>
              <w:top w:w="100" w:type="dxa"/>
              <w:start w:w="140" w:type="dxa"/>
              <w:bottom w:w="100" w:type="dxa"/>
              <w:end w:w="140" w:type="dxa"/>
            </w:tcMar>
            <w:shd w:fill="17365D"/>
          </w:tcPr>
          <w:p>
            <w:r>
              <w:rPr>
                <w:rFonts w:ascii="Calibri" w:hAnsi="Calibri"/>
                <w:b/>
                <w:i w:val="0"/>
                <w:color w:val="FFFFFF"/>
                <w:sz w:val="19"/>
              </w:rPr>
              <w:t>Rule</w:t>
            </w:r>
          </w:p>
        </w:tc>
        <w:tc>
          <w:tcPr>
            <w:tcW w:type="dxa" w:w="3816"/>
            <w:tcMar>
              <w:top w:w="100" w:type="dxa"/>
              <w:start w:w="140" w:type="dxa"/>
              <w:bottom w:w="100" w:type="dxa"/>
              <w:end w:w="140" w:type="dxa"/>
            </w:tcMar>
            <w:shd w:fill="17365D"/>
          </w:tcPr>
          <w:p>
            <w:r>
              <w:rPr>
                <w:rFonts w:ascii="Calibri" w:hAnsi="Calibri"/>
                <w:b/>
                <w:i w:val="0"/>
                <w:color w:val="FFFFFF"/>
                <w:sz w:val="19"/>
              </w:rPr>
              <w:t>Long</w:t>
            </w:r>
          </w:p>
        </w:tc>
        <w:tc>
          <w:tcPr>
            <w:tcW w:type="dxa" w:w="3816"/>
            <w:tcMar>
              <w:top w:w="100" w:type="dxa"/>
              <w:start w:w="140" w:type="dxa"/>
              <w:bottom w:w="100" w:type="dxa"/>
              <w:end w:w="140" w:type="dxa"/>
            </w:tcMar>
            <w:shd w:fill="17365D"/>
          </w:tcPr>
          <w:p>
            <w:r>
              <w:rPr>
                <w:rFonts w:ascii="Calibri" w:hAnsi="Calibri"/>
                <w:b/>
                <w:i w:val="0"/>
                <w:color w:val="FFFFFF"/>
                <w:sz w:val="19"/>
              </w:rPr>
              <w:t>Short</w:t>
            </w:r>
          </w:p>
        </w:tc>
      </w:tr>
      <w:tr>
        <w:tc>
          <w:tcPr>
            <w:tcW w:type="dxa" w:w="3264"/>
          </w:tcPr>
          <w:p>
            <w:r>
              <w:rPr>
                <w:rFonts w:ascii="Calibri" w:hAnsi="Calibri"/>
                <w:b/>
                <w:i w:val="0"/>
                <w:color w:val="17365D"/>
                <w:sz w:val="17"/>
              </w:rPr>
              <w:t>Macro</w:t>
            </w:r>
          </w:p>
        </w:tc>
        <w:tc>
          <w:tcPr>
            <w:tcW w:type="dxa" w:w="3264"/>
          </w:tcPr>
          <w:p>
            <w:r>
              <w:rPr>
                <w:rFonts w:ascii="Calibri" w:hAnsi="Calibri"/>
                <w:b w:val="0"/>
                <w:i w:val="0"/>
                <w:color w:val="1F2937"/>
                <w:sz w:val="17"/>
              </w:rPr>
              <w:t>Macro stance permits the trade.</w:t>
            </w:r>
          </w:p>
        </w:tc>
        <w:tc>
          <w:tcPr>
            <w:tcW w:type="dxa" w:w="3264"/>
          </w:tcPr>
          <w:p>
            <w:r>
              <w:rPr>
                <w:rFonts w:ascii="Calibri" w:hAnsi="Calibri"/>
                <w:b w:val="0"/>
                <w:i w:val="0"/>
                <w:color w:val="1F2937"/>
                <w:sz w:val="17"/>
              </w:rPr>
              <w:t>Macro stance permits the trade.</w:t>
            </w:r>
          </w:p>
        </w:tc>
      </w:tr>
      <w:tr>
        <w:tc>
          <w:tcPr>
            <w:tcW w:type="dxa" w:w="3264"/>
          </w:tcPr>
          <w:p>
            <w:r>
              <w:rPr>
                <w:rFonts w:ascii="Calibri" w:hAnsi="Calibri"/>
                <w:b/>
                <w:i w:val="0"/>
                <w:color w:val="17365D"/>
                <w:sz w:val="17"/>
              </w:rPr>
              <w:t>1-hour confirmation</w:t>
            </w:r>
          </w:p>
        </w:tc>
        <w:tc>
          <w:tcPr>
            <w:tcW w:type="dxa" w:w="3264"/>
          </w:tcPr>
          <w:p>
            <w:r>
              <w:rPr>
                <w:rFonts w:ascii="Calibri" w:hAnsi="Calibri"/>
                <w:b w:val="0"/>
                <w:i w:val="0"/>
                <w:color w:val="1F2937"/>
                <w:sz w:val="17"/>
              </w:rPr>
              <w:t>Lips above Teeth above Jaw; all three rise; mouth is open rather than compressed.</w:t>
            </w:r>
          </w:p>
        </w:tc>
        <w:tc>
          <w:tcPr>
            <w:tcW w:type="dxa" w:w="3264"/>
          </w:tcPr>
          <w:p>
            <w:r>
              <w:rPr>
                <w:rFonts w:ascii="Calibri" w:hAnsi="Calibri"/>
                <w:b w:val="0"/>
                <w:i w:val="0"/>
                <w:color w:val="1F2937"/>
                <w:sz w:val="17"/>
              </w:rPr>
              <w:t>Lips below Teeth below Jaw; all three fall; mouth is open rather than compressed.</w:t>
            </w:r>
          </w:p>
        </w:tc>
      </w:tr>
      <w:tr>
        <w:tc>
          <w:tcPr>
            <w:tcW w:type="dxa" w:w="3264"/>
          </w:tcPr>
          <w:p>
            <w:r>
              <w:rPr>
                <w:rFonts w:ascii="Calibri" w:hAnsi="Calibri"/>
                <w:b/>
                <w:i w:val="0"/>
                <w:color w:val="17365D"/>
                <w:sz w:val="17"/>
              </w:rPr>
              <w:t>15-minute setup</w:t>
            </w:r>
          </w:p>
        </w:tc>
        <w:tc>
          <w:tcPr>
            <w:tcW w:type="dxa" w:w="3264"/>
          </w:tcPr>
          <w:p>
            <w:r>
              <w:rPr>
                <w:rFonts w:ascii="Calibri" w:hAnsi="Calibri"/>
                <w:b w:val="0"/>
                <w:i w:val="0"/>
                <w:color w:val="1F2937"/>
                <w:sz w:val="17"/>
              </w:rPr>
              <w:t>Same bullish line order and open-mouth condition.</w:t>
            </w:r>
          </w:p>
        </w:tc>
        <w:tc>
          <w:tcPr>
            <w:tcW w:type="dxa" w:w="3264"/>
          </w:tcPr>
          <w:p>
            <w:r>
              <w:rPr>
                <w:rFonts w:ascii="Calibri" w:hAnsi="Calibri"/>
                <w:b w:val="0"/>
                <w:i w:val="0"/>
                <w:color w:val="1F2937"/>
                <w:sz w:val="17"/>
              </w:rPr>
              <w:t>Same bearish line order and open-mouth condition.</w:t>
            </w:r>
          </w:p>
        </w:tc>
      </w:tr>
      <w:tr>
        <w:tc>
          <w:tcPr>
            <w:tcW w:type="dxa" w:w="3264"/>
          </w:tcPr>
          <w:p>
            <w:r>
              <w:rPr>
                <w:rFonts w:ascii="Calibri" w:hAnsi="Calibri"/>
                <w:b/>
                <w:i w:val="0"/>
                <w:color w:val="17365D"/>
                <w:sz w:val="17"/>
              </w:rPr>
              <w:t>Trigger</w:t>
            </w:r>
          </w:p>
        </w:tc>
        <w:tc>
          <w:tcPr>
            <w:tcW w:type="dxa" w:w="3264"/>
          </w:tcPr>
          <w:p>
            <w:r>
              <w:rPr>
                <w:rFonts w:ascii="Calibri" w:hAnsi="Calibri"/>
                <w:b w:val="0"/>
                <w:i w:val="0"/>
                <w:color w:val="1F2937"/>
                <w:sz w:val="17"/>
              </w:rPr>
              <w:t>Completed Heikin Ashi candle body closes above Lips.</w:t>
            </w:r>
          </w:p>
        </w:tc>
        <w:tc>
          <w:tcPr>
            <w:tcW w:type="dxa" w:w="3264"/>
          </w:tcPr>
          <w:p>
            <w:r>
              <w:rPr>
                <w:rFonts w:ascii="Calibri" w:hAnsi="Calibri"/>
                <w:b w:val="0"/>
                <w:i w:val="0"/>
                <w:color w:val="1F2937"/>
                <w:sz w:val="17"/>
              </w:rPr>
              <w:t>Completed Heikin Ashi candle body closes below Lips.</w:t>
            </w:r>
          </w:p>
        </w:tc>
      </w:tr>
      <w:tr>
        <w:tc>
          <w:tcPr>
            <w:tcW w:type="dxa" w:w="3264"/>
          </w:tcPr>
          <w:p>
            <w:r>
              <w:rPr>
                <w:rFonts w:ascii="Calibri" w:hAnsi="Calibri"/>
                <w:b/>
                <w:i w:val="0"/>
                <w:color w:val="17365D"/>
                <w:sz w:val="17"/>
              </w:rPr>
              <w:t>Entry</w:t>
            </w:r>
          </w:p>
        </w:tc>
        <w:tc>
          <w:tcPr>
            <w:tcW w:type="dxa" w:w="3264"/>
          </w:tcPr>
          <w:p>
            <w:r>
              <w:rPr>
                <w:rFonts w:ascii="Calibri" w:hAnsi="Calibri"/>
                <w:b w:val="0"/>
                <w:i w:val="0"/>
                <w:color w:val="1F2937"/>
                <w:sz w:val="17"/>
              </w:rPr>
              <w:t>Next 15-minute candle open after the trigger.</w:t>
            </w:r>
          </w:p>
        </w:tc>
        <w:tc>
          <w:tcPr>
            <w:tcW w:type="dxa" w:w="3264"/>
          </w:tcPr>
          <w:p>
            <w:r>
              <w:rPr>
                <w:rFonts w:ascii="Calibri" w:hAnsi="Calibri"/>
                <w:b w:val="0"/>
                <w:i w:val="0"/>
                <w:color w:val="1F2937"/>
                <w:sz w:val="17"/>
              </w:rPr>
              <w:t>Next 15-minute candle open after the trigger.</w:t>
            </w:r>
          </w:p>
        </w:tc>
      </w:tr>
      <w:tr>
        <w:tc>
          <w:tcPr>
            <w:tcW w:type="dxa" w:w="3264"/>
          </w:tcPr>
          <w:p>
            <w:r>
              <w:rPr>
                <w:rFonts w:ascii="Calibri" w:hAnsi="Calibri"/>
                <w:b/>
                <w:i w:val="0"/>
                <w:color w:val="17365D"/>
                <w:sz w:val="17"/>
              </w:rPr>
              <w:t>Stop</w:t>
            </w:r>
          </w:p>
        </w:tc>
        <w:tc>
          <w:tcPr>
            <w:tcW w:type="dxa" w:w="3264"/>
          </w:tcPr>
          <w:p>
            <w:r>
              <w:rPr>
                <w:rFonts w:ascii="Calibri" w:hAnsi="Calibri"/>
                <w:b w:val="0"/>
                <w:i w:val="0"/>
                <w:color w:val="1F2937"/>
                <w:sz w:val="17"/>
              </w:rPr>
              <w:t>Below the 15-minute Jaw plus a small configured buffer.</w:t>
            </w:r>
          </w:p>
        </w:tc>
        <w:tc>
          <w:tcPr>
            <w:tcW w:type="dxa" w:w="3264"/>
          </w:tcPr>
          <w:p>
            <w:r>
              <w:rPr>
                <w:rFonts w:ascii="Calibri" w:hAnsi="Calibri"/>
                <w:b w:val="0"/>
                <w:i w:val="0"/>
                <w:color w:val="1F2937"/>
                <w:sz w:val="17"/>
              </w:rPr>
              <w:t>Above the 15-minute Jaw plus a small configured buffer.</w:t>
            </w:r>
          </w:p>
        </w:tc>
      </w:tr>
      <w:tr>
        <w:tc>
          <w:tcPr>
            <w:tcW w:type="dxa" w:w="3264"/>
          </w:tcPr>
          <w:p>
            <w:r>
              <w:rPr>
                <w:rFonts w:ascii="Calibri" w:hAnsi="Calibri"/>
                <w:b/>
                <w:i w:val="0"/>
                <w:color w:val="17365D"/>
                <w:sz w:val="17"/>
              </w:rPr>
              <w:t>Target</w:t>
            </w:r>
          </w:p>
        </w:tc>
        <w:tc>
          <w:tcPr>
            <w:tcW w:type="dxa" w:w="3264"/>
          </w:tcPr>
          <w:p>
            <w:r>
              <w:rPr>
                <w:rFonts w:ascii="Calibri" w:hAnsi="Calibri"/>
                <w:b w:val="0"/>
                <w:i w:val="0"/>
                <w:color w:val="1F2937"/>
                <w:sz w:val="17"/>
              </w:rPr>
              <w:t>Entry + 1R, where R is the actual entry-to-stop distance.</w:t>
            </w:r>
          </w:p>
        </w:tc>
        <w:tc>
          <w:tcPr>
            <w:tcW w:type="dxa" w:w="3264"/>
          </w:tcPr>
          <w:p>
            <w:r>
              <w:rPr>
                <w:rFonts w:ascii="Calibri" w:hAnsi="Calibri"/>
                <w:b w:val="0"/>
                <w:i w:val="0"/>
                <w:color w:val="1F2937"/>
                <w:sz w:val="17"/>
              </w:rPr>
              <w:t>Entry - 1R, where R is the actual entry-to-stop distance.</w:t>
            </w:r>
          </w:p>
        </w:tc>
      </w:tr>
      <w:tr>
        <w:tc>
          <w:tcPr>
            <w:tcW w:type="dxa" w:w="3264"/>
          </w:tcPr>
          <w:p>
            <w:r>
              <w:rPr>
                <w:rFonts w:ascii="Calibri" w:hAnsi="Calibri"/>
                <w:b/>
                <w:i w:val="0"/>
                <w:color w:val="17365D"/>
                <w:sz w:val="17"/>
              </w:rPr>
              <w:t>Trend exit</w:t>
            </w:r>
          </w:p>
        </w:tc>
        <w:tc>
          <w:tcPr>
            <w:tcW w:type="dxa" w:w="3264"/>
          </w:tcPr>
          <w:p>
            <w:r>
              <w:rPr>
                <w:rFonts w:ascii="Calibri" w:hAnsi="Calibri"/>
                <w:b w:val="0"/>
                <w:i w:val="0"/>
                <w:color w:val="1F2937"/>
                <w:sz w:val="17"/>
              </w:rPr>
              <w:t>A confirmed opposite setup or an Alligator mouth-closing rule, to be tested alongside the fixed target.</w:t>
            </w:r>
          </w:p>
        </w:tc>
        <w:tc>
          <w:tcPr>
            <w:tcW w:type="dxa" w:w="3264"/>
          </w:tcPr>
          <w:p>
            <w:r>
              <w:rPr>
                <w:rFonts w:ascii="Calibri" w:hAnsi="Calibri"/>
                <w:b w:val="0"/>
                <w:i w:val="0"/>
                <w:color w:val="1F2937"/>
                <w:sz w:val="17"/>
              </w:rPr>
              <w:t>A confirmed opposite setup or an Alligator mouth-closing rule, to be tested alongside the fixed target.</w:t>
            </w:r>
          </w:p>
        </w:tc>
      </w:tr>
    </w:tbl>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Parameter still to formalize: </w:t>
            </w:r>
            <w:r>
              <w:rPr>
                <w:rFonts w:ascii="Calibri" w:hAnsi="Calibri"/>
                <w:b w:val="0"/>
                <w:i w:val="0"/>
                <w:color w:val="1F2937"/>
                <w:sz w:val="21"/>
              </w:rPr>
              <w:t>'Mouth open' and 'parallel' are visual concepts. Before coding, the strategy brief will set numerical thresholds for line separation, slope, and whether separation must be widening. No discretionary chart reading will be used in the backtest.</w:t>
            </w:r>
          </w:p>
        </w:tc>
      </w:tr>
    </w:tbl>
    <w:p>
      <w:pPr>
        <w:spacing w:after="40"/>
      </w:pPr>
    </w:p>
    <w:p>
      <w:pPr>
        <w:pStyle w:val="Heading2"/>
        <w:spacing w:before="0" w:after="140" w:line="288" w:lineRule="auto"/>
      </w:pPr>
      <w:r>
        <w:rPr>
          <w:rFonts w:ascii="Calibri" w:hAnsi="Calibri"/>
          <w:b w:val="0"/>
          <w:i w:val="0"/>
          <w:color w:val="1F2937"/>
          <w:sz w:val="21"/>
        </w:rPr>
        <w:t>6.4 RRMS position-sizing overlay</w:t>
      </w:r>
    </w:p>
    <w:p>
      <w:pPr>
        <w:spacing w:before="0" w:after="140" w:line="288" w:lineRule="auto"/>
      </w:pPr>
      <w:r>
        <w:rPr>
          <w:rFonts w:ascii="Calibri" w:hAnsi="Calibri"/>
          <w:b w:val="0"/>
          <w:i w:val="0"/>
          <w:color w:val="1F2937"/>
          <w:sz w:val="21"/>
        </w:rPr>
        <w:t>RRMS is separate from the entry logic. The Alligator and Heikin Ashi rules determine whether a trade exists and the Jaw determines its stop. RRMS determines the maximum account loss and converts that loss budget into position size.</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160"/>
            <w:tcMar>
              <w:top w:w="100" w:type="dxa"/>
              <w:start w:w="140" w:type="dxa"/>
              <w:bottom w:w="100" w:type="dxa"/>
              <w:end w:w="140" w:type="dxa"/>
            </w:tcMar>
            <w:shd w:fill="17365D"/>
          </w:tcPr>
          <w:p>
            <w:r>
              <w:rPr>
                <w:rFonts w:ascii="Calibri" w:hAnsi="Calibri"/>
                <w:b/>
                <w:i w:val="0"/>
                <w:color w:val="FFFFFF"/>
                <w:sz w:val="18"/>
              </w:rPr>
              <w:t>State</w:t>
            </w:r>
          </w:p>
        </w:tc>
        <w:tc>
          <w:tcPr>
            <w:tcW w:type="dxa" w:w="2232"/>
            <w:tcMar>
              <w:top w:w="100" w:type="dxa"/>
              <w:start w:w="140" w:type="dxa"/>
              <w:bottom w:w="100" w:type="dxa"/>
              <w:end w:w="140" w:type="dxa"/>
            </w:tcMar>
            <w:shd w:fill="17365D"/>
          </w:tcPr>
          <w:p>
            <w:r>
              <w:rPr>
                <w:rFonts w:ascii="Calibri" w:hAnsi="Calibri"/>
                <w:b/>
                <w:i w:val="0"/>
                <w:color w:val="FFFFFF"/>
                <w:sz w:val="18"/>
              </w:rPr>
              <w:t>Risk of account equity</w:t>
            </w:r>
          </w:p>
        </w:tc>
        <w:tc>
          <w:tcPr>
            <w:tcW w:type="dxa" w:w="2592"/>
            <w:tcMar>
              <w:top w:w="100" w:type="dxa"/>
              <w:start w:w="140" w:type="dxa"/>
              <w:bottom w:w="100" w:type="dxa"/>
              <w:end w:w="140" w:type="dxa"/>
            </w:tcMar>
            <w:shd w:fill="17365D"/>
          </w:tcPr>
          <w:p>
            <w:r>
              <w:rPr>
                <w:rFonts w:ascii="Calibri" w:hAnsi="Calibri"/>
                <w:b/>
                <w:i w:val="0"/>
                <w:color w:val="FFFFFF"/>
                <w:sz w:val="18"/>
              </w:rPr>
              <w:t>Purpose</w:t>
            </w:r>
          </w:p>
        </w:tc>
        <w:tc>
          <w:tcPr>
            <w:tcW w:type="dxa" w:w="2376"/>
            <w:tcMar>
              <w:top w:w="100" w:type="dxa"/>
              <w:start w:w="140" w:type="dxa"/>
              <w:bottom w:w="100" w:type="dxa"/>
              <w:end w:w="140" w:type="dxa"/>
            </w:tcMar>
            <w:shd w:fill="17365D"/>
          </w:tcPr>
          <w:p>
            <w:r>
              <w:rPr>
                <w:rFonts w:ascii="Calibri" w:hAnsi="Calibri"/>
                <w:b/>
                <w:i w:val="0"/>
                <w:color w:val="FFFFFF"/>
                <w:sz w:val="18"/>
              </w:rPr>
              <w:t>If stop-loss hits</w:t>
            </w:r>
          </w:p>
        </w:tc>
      </w:tr>
      <w:tr>
        <w:tc>
          <w:tcPr>
            <w:tcW w:type="dxa" w:w="2448"/>
          </w:tcPr>
          <w:p>
            <w:r>
              <w:rPr>
                <w:rFonts w:ascii="Calibri" w:hAnsi="Calibri"/>
                <w:b/>
                <w:i w:val="0"/>
                <w:color w:val="17365D"/>
                <w:sz w:val="17"/>
              </w:rPr>
              <w:t>Normal</w:t>
            </w:r>
          </w:p>
        </w:tc>
        <w:tc>
          <w:tcPr>
            <w:tcW w:type="dxa" w:w="2448"/>
          </w:tcPr>
          <w:p>
            <w:r>
              <w:rPr>
                <w:rFonts w:ascii="Calibri" w:hAnsi="Calibri"/>
                <w:b w:val="0"/>
                <w:i w:val="0"/>
                <w:color w:val="1F2937"/>
                <w:sz w:val="17"/>
              </w:rPr>
              <w:t>0.15%</w:t>
            </w:r>
          </w:p>
        </w:tc>
        <w:tc>
          <w:tcPr>
            <w:tcW w:type="dxa" w:w="2448"/>
          </w:tcPr>
          <w:p>
            <w:r>
              <w:rPr>
                <w:rFonts w:ascii="Calibri" w:hAnsi="Calibri"/>
                <w:b w:val="0"/>
                <w:i w:val="0"/>
                <w:color w:val="1F2937"/>
                <w:sz w:val="17"/>
              </w:rPr>
              <w:t>First trade / reset tier</w:t>
            </w:r>
          </w:p>
        </w:tc>
        <w:tc>
          <w:tcPr>
            <w:tcW w:type="dxa" w:w="2448"/>
          </w:tcPr>
          <w:p>
            <w:r>
              <w:rPr>
                <w:rFonts w:ascii="Calibri" w:hAnsi="Calibri"/>
                <w:b w:val="0"/>
                <w:i w:val="0"/>
                <w:color w:val="1F2937"/>
                <w:sz w:val="17"/>
              </w:rPr>
              <w:t>Move to Recovery 1</w:t>
            </w:r>
          </w:p>
        </w:tc>
      </w:tr>
      <w:tr>
        <w:tc>
          <w:tcPr>
            <w:tcW w:type="dxa" w:w="2448"/>
          </w:tcPr>
          <w:p>
            <w:r>
              <w:rPr>
                <w:rFonts w:ascii="Calibri" w:hAnsi="Calibri"/>
                <w:b/>
                <w:i w:val="0"/>
                <w:color w:val="17365D"/>
                <w:sz w:val="17"/>
              </w:rPr>
              <w:t>Recovery 1</w:t>
            </w:r>
          </w:p>
        </w:tc>
        <w:tc>
          <w:tcPr>
            <w:tcW w:type="dxa" w:w="2448"/>
          </w:tcPr>
          <w:p>
            <w:r>
              <w:rPr>
                <w:rFonts w:ascii="Calibri" w:hAnsi="Calibri"/>
                <w:b w:val="0"/>
                <w:i w:val="0"/>
                <w:color w:val="1F2937"/>
                <w:sz w:val="17"/>
              </w:rPr>
              <w:t>0.35%</w:t>
            </w:r>
          </w:p>
        </w:tc>
        <w:tc>
          <w:tcPr>
            <w:tcW w:type="dxa" w:w="2448"/>
          </w:tcPr>
          <w:p>
            <w:r>
              <w:rPr>
                <w:rFonts w:ascii="Calibri" w:hAnsi="Calibri"/>
                <w:b w:val="0"/>
                <w:i w:val="0"/>
                <w:color w:val="1F2937"/>
                <w:sz w:val="17"/>
              </w:rPr>
              <w:t>After one stop-loss</w:t>
            </w:r>
          </w:p>
        </w:tc>
        <w:tc>
          <w:tcPr>
            <w:tcW w:type="dxa" w:w="2448"/>
          </w:tcPr>
          <w:p>
            <w:r>
              <w:rPr>
                <w:rFonts w:ascii="Calibri" w:hAnsi="Calibri"/>
                <w:b w:val="0"/>
                <w:i w:val="0"/>
                <w:color w:val="1F2937"/>
                <w:sz w:val="17"/>
              </w:rPr>
              <w:t>Move to Recovery 2</w:t>
            </w:r>
          </w:p>
        </w:tc>
      </w:tr>
      <w:tr>
        <w:tc>
          <w:tcPr>
            <w:tcW w:type="dxa" w:w="2448"/>
          </w:tcPr>
          <w:p>
            <w:r>
              <w:rPr>
                <w:rFonts w:ascii="Calibri" w:hAnsi="Calibri"/>
                <w:b/>
                <w:i w:val="0"/>
                <w:color w:val="17365D"/>
                <w:sz w:val="17"/>
              </w:rPr>
              <w:t>Recovery 2</w:t>
            </w:r>
          </w:p>
        </w:tc>
        <w:tc>
          <w:tcPr>
            <w:tcW w:type="dxa" w:w="2448"/>
          </w:tcPr>
          <w:p>
            <w:r>
              <w:rPr>
                <w:rFonts w:ascii="Calibri" w:hAnsi="Calibri"/>
                <w:b w:val="0"/>
                <w:i w:val="0"/>
                <w:color w:val="1F2937"/>
                <w:sz w:val="17"/>
              </w:rPr>
              <w:t>0.70%</w:t>
            </w:r>
          </w:p>
        </w:tc>
        <w:tc>
          <w:tcPr>
            <w:tcW w:type="dxa" w:w="2448"/>
          </w:tcPr>
          <w:p>
            <w:r>
              <w:rPr>
                <w:rFonts w:ascii="Calibri" w:hAnsi="Calibri"/>
                <w:b w:val="0"/>
                <w:i w:val="0"/>
                <w:color w:val="1F2937"/>
                <w:sz w:val="17"/>
              </w:rPr>
              <w:t>After two consecutive stop-losses</w:t>
            </w:r>
          </w:p>
        </w:tc>
        <w:tc>
          <w:tcPr>
            <w:tcW w:type="dxa" w:w="2448"/>
          </w:tcPr>
          <w:p>
            <w:r>
              <w:rPr>
                <w:rFonts w:ascii="Calibri" w:hAnsi="Calibri"/>
                <w:b w:val="0"/>
                <w:i w:val="0"/>
                <w:color w:val="1F2937"/>
                <w:sz w:val="17"/>
              </w:rPr>
              <w:t>Move to Recovery 3</w:t>
            </w:r>
          </w:p>
        </w:tc>
      </w:tr>
      <w:tr>
        <w:tc>
          <w:tcPr>
            <w:tcW w:type="dxa" w:w="2448"/>
          </w:tcPr>
          <w:p>
            <w:r>
              <w:rPr>
                <w:rFonts w:ascii="Calibri" w:hAnsi="Calibri"/>
                <w:b/>
                <w:i w:val="0"/>
                <w:color w:val="17365D"/>
                <w:sz w:val="17"/>
              </w:rPr>
              <w:t>Recovery 3</w:t>
            </w:r>
          </w:p>
        </w:tc>
        <w:tc>
          <w:tcPr>
            <w:tcW w:type="dxa" w:w="2448"/>
          </w:tcPr>
          <w:p>
            <w:r>
              <w:rPr>
                <w:rFonts w:ascii="Calibri" w:hAnsi="Calibri"/>
                <w:b w:val="0"/>
                <w:i w:val="0"/>
                <w:color w:val="1F2937"/>
                <w:sz w:val="17"/>
              </w:rPr>
              <w:t>1.50%</w:t>
            </w:r>
          </w:p>
        </w:tc>
        <w:tc>
          <w:tcPr>
            <w:tcW w:type="dxa" w:w="2448"/>
          </w:tcPr>
          <w:p>
            <w:r>
              <w:rPr>
                <w:rFonts w:ascii="Calibri" w:hAnsi="Calibri"/>
                <w:b w:val="0"/>
                <w:i w:val="0"/>
                <w:color w:val="1F2937"/>
                <w:sz w:val="17"/>
              </w:rPr>
              <w:t>After three consecutive stop-losses</w:t>
            </w:r>
          </w:p>
        </w:tc>
        <w:tc>
          <w:tcPr>
            <w:tcW w:type="dxa" w:w="2448"/>
          </w:tcPr>
          <w:p>
            <w:r>
              <w:rPr>
                <w:rFonts w:ascii="Calibri" w:hAnsi="Calibri"/>
                <w:b w:val="0"/>
                <w:i w:val="0"/>
                <w:color w:val="1F2937"/>
                <w:sz w:val="17"/>
              </w:rPr>
              <w:t>Stop trading and require review</w:t>
            </w:r>
          </w:p>
        </w:tc>
      </w:tr>
    </w:tbl>
    <w:p/>
    <w:p>
      <w:pPr>
        <w:pStyle w:val="Heading3"/>
        <w:spacing w:before="0" w:after="80" w:line="288" w:lineRule="auto"/>
      </w:pPr>
      <w:r>
        <w:rPr>
          <w:rFonts w:ascii="Calibri" w:hAnsi="Calibri"/>
          <w:b w:val="0"/>
          <w:i w:val="0"/>
          <w:color w:val="1F2937"/>
          <w:sz w:val="21"/>
        </w:rPr>
        <w:t>Sizing formula</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EAF2F8"/>
          </w:tcPr>
          <w:p>
            <w:r>
              <w:rPr>
                <w:rFonts w:ascii="Calibri" w:hAnsi="Calibri"/>
                <w:b/>
                <w:i w:val="0"/>
                <w:color w:val="17365D"/>
                <w:sz w:val="20"/>
              </w:rPr>
              <w:t>Risk dollars = current account equity x RRMS tier percentage</w:t>
              <w:br/>
            </w:r>
            <w:r>
              <w:rPr>
                <w:rFonts w:ascii="Calibri" w:hAnsi="Calibri"/>
                <w:b/>
                <w:i w:val="0"/>
                <w:color w:val="17365D"/>
                <w:sz w:val="20"/>
              </w:rPr>
              <w:t>Risk per unit = absolute value of (planned entry price - stop price)</w:t>
              <w:br/>
            </w:r>
            <w:r>
              <w:rPr>
                <w:rFonts w:ascii="Calibri" w:hAnsi="Calibri"/>
                <w:b/>
                <w:i w:val="0"/>
                <w:color w:val="17365D"/>
                <w:sz w:val="20"/>
              </w:rPr>
              <w:t>Quantity = floor(risk dollars / risk per unit), limited by available buying power and venue minimum size.</w:t>
            </w:r>
          </w:p>
        </w:tc>
      </w:tr>
    </w:tbl>
    <w:p/>
    <w:p>
      <w:pPr>
        <w:pStyle w:val="ListBullet"/>
        <w:spacing w:after="60" w:line="276" w:lineRule="auto"/>
      </w:pPr>
      <w:r>
        <w:rPr>
          <w:rFonts w:ascii="Calibri" w:hAnsi="Calibri"/>
          <w:b w:val="0"/>
          <w:i w:val="0"/>
          <w:color w:val="1F2937"/>
          <w:sz w:val="20"/>
        </w:rPr>
        <w:t>A profitable closed trade resets RRMS to the Normal 0.15% tier.</w:t>
      </w:r>
    </w:p>
    <w:p>
      <w:pPr>
        <w:pStyle w:val="ListBullet"/>
        <w:spacing w:after="60" w:line="276" w:lineRule="auto"/>
      </w:pPr>
      <w:r>
        <w:rPr>
          <w:rFonts w:ascii="Calibri" w:hAnsi="Calibri"/>
          <w:b w:val="0"/>
          <w:i w:val="0"/>
          <w:color w:val="1F2937"/>
          <w:sz w:val="20"/>
        </w:rPr>
        <w:t>RRMS advances only after a stop-loss event. A break-even or other discretionary exit does not advance the tier and is flagged for review.</w:t>
      </w:r>
    </w:p>
    <w:p>
      <w:pPr>
        <w:pStyle w:val="ListBullet"/>
        <w:spacing w:after="60" w:line="276" w:lineRule="auto"/>
      </w:pPr>
      <w:r>
        <w:rPr>
          <w:rFonts w:ascii="Calibri" w:hAnsi="Calibri"/>
          <w:b w:val="0"/>
          <w:i w:val="0"/>
          <w:color w:val="1F2937"/>
          <w:sz w:val="20"/>
        </w:rPr>
        <w:t>After four consecutive stop-losses, the system blocks new Strategy 01 entries until a manual review. It does not continue increasing position size.</w:t>
      </w:r>
    </w:p>
    <w:p>
      <w:pPr>
        <w:pStyle w:val="ListBullet"/>
        <w:spacing w:after="60" w:line="276" w:lineRule="auto"/>
      </w:pPr>
      <w:r>
        <w:rPr>
          <w:rFonts w:ascii="Calibri" w:hAnsi="Calibri"/>
          <w:b w:val="0"/>
          <w:i w:val="0"/>
          <w:color w:val="1F2937"/>
          <w:sz w:val="20"/>
        </w:rPr>
        <w:t>The backtest will report strategy results with fixed sizing and with RRMS separately. RRMS must not hide whether the entry strategy itself has an edge.</w:t>
      </w:r>
    </w:p>
    <w:p>
      <w:pPr>
        <w:pStyle w:val="Heading2"/>
        <w:spacing w:before="0" w:after="140" w:line="288" w:lineRule="auto"/>
      </w:pPr>
      <w:r>
        <w:rPr>
          <w:rFonts w:ascii="Calibri" w:hAnsi="Calibri"/>
          <w:b w:val="0"/>
          <w:i w:val="0"/>
          <w:color w:val="1F2937"/>
          <w:sz w:val="21"/>
        </w:rPr>
        <w:t>6.5 Implementation sequence</w:t>
      </w:r>
    </w:p>
    <w:p>
      <w:pPr>
        <w:pStyle w:val="ListBullet"/>
        <w:spacing w:after="60" w:line="276" w:lineRule="auto"/>
      </w:pPr>
      <w:r>
        <w:rPr>
          <w:rFonts w:ascii="Calibri" w:hAnsi="Calibri"/>
          <w:b w:val="0"/>
          <w:i w:val="0"/>
          <w:color w:val="1F2937"/>
          <w:sz w:val="20"/>
        </w:rPr>
        <w:t>Collect and validate SPY 1-hour and 15-minute historical bars.</w:t>
      </w:r>
    </w:p>
    <w:p>
      <w:pPr>
        <w:pStyle w:val="ListBullet"/>
        <w:spacing w:after="60" w:line="276" w:lineRule="auto"/>
      </w:pPr>
      <w:r>
        <w:rPr>
          <w:rFonts w:ascii="Calibri" w:hAnsi="Calibri"/>
          <w:b w:val="0"/>
          <w:i w:val="0"/>
          <w:color w:val="1F2937"/>
          <w:sz w:val="20"/>
        </w:rPr>
        <w:t>Implement Heikin Ashi and no-lookahead Alligator calculations.</w:t>
      </w:r>
    </w:p>
    <w:p>
      <w:pPr>
        <w:pStyle w:val="ListBullet"/>
        <w:spacing w:after="60" w:line="276" w:lineRule="auto"/>
      </w:pPr>
      <w:r>
        <w:rPr>
          <w:rFonts w:ascii="Calibri" w:hAnsi="Calibri"/>
          <w:b w:val="0"/>
          <w:i w:val="0"/>
          <w:color w:val="1F2937"/>
          <w:sz w:val="20"/>
        </w:rPr>
        <w:t>Define numerical open-mouth, parallel-slope, Jaw-buffer, and trading-hours parameters.</w:t>
      </w:r>
    </w:p>
    <w:p>
      <w:pPr>
        <w:pStyle w:val="ListBullet"/>
        <w:spacing w:after="60" w:line="276" w:lineRule="auto"/>
      </w:pPr>
      <w:r>
        <w:rPr>
          <w:rFonts w:ascii="Calibri" w:hAnsi="Calibri"/>
          <w:b w:val="0"/>
          <w:i w:val="0"/>
          <w:color w:val="1F2937"/>
          <w:sz w:val="20"/>
        </w:rPr>
        <w:t>Backtest the entry strategy with fixed sizing first, then apply the RRMS overlay as a separate result series.</w:t>
      </w:r>
    </w:p>
    <w:p>
      <w:pPr>
        <w:pStyle w:val="ListBullet"/>
        <w:spacing w:after="60" w:line="276" w:lineRule="auto"/>
      </w:pPr>
      <w:r>
        <w:rPr>
          <w:rFonts w:ascii="Calibri" w:hAnsi="Calibri"/>
          <w:b w:val="0"/>
          <w:i w:val="0"/>
          <w:color w:val="1F2937"/>
          <w:sz w:val="20"/>
        </w:rPr>
        <w:t>Run shadow mode on live data before IBKR paper orders are considered.</w:t>
      </w:r>
    </w:p>
    <w:sectPr w:rsidR="00FC693F" w:rsidRPr="0006063C" w:rsidSect="00034616">
      <w:headerReference w:type="default" r:id="rId9"/>
      <w:footerReference w:type="default" r:id="rId10"/>
      <w:pgSz w:w="12240" w:h="15840"/>
      <w:pgMar w:top="1152"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7"/>
      </w:rPr>
      <w:t>Living design document | v0.1 | Internal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AI TRADE | SIGNAL &amp; EXECUTION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Trade Signal &amp; Execution Design Document</dc:title>
  <dc:subject>Phase 2 signal and execution architecture</dc:subject>
  <dc:creator>AI Trade project</dc:creator>
  <cp:keywords/>
  <dc:description>Living design document, version 0.2</dc:description>
  <cp:lastModifiedBy/>
  <cp:revision>1</cp:revision>
  <dcterms:created xsi:type="dcterms:W3CDTF">2013-12-23T23:15:00Z</dcterms:created>
  <dcterms:modified xsi:type="dcterms:W3CDTF">2013-12-23T23:15:00Z</dcterms:modified>
  <cp:category/>
</cp:coreProperties>
</file>