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4F1" w:rsidRPr="003A64F1" w:rsidRDefault="003A64F1" w:rsidP="003A6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4F1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3A64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Description</w:t>
      </w:r>
    </w:p>
    <w:p w:rsidR="003A64F1" w:rsidRPr="003A64F1" w:rsidRDefault="003A64F1" w:rsidP="003A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F1">
        <w:rPr>
          <w:rFonts w:ascii="Times New Roman" w:eastAsia="Times New Roman" w:hAnsi="Times New Roman" w:cs="Times New Roman"/>
          <w:b/>
          <w:bCs/>
          <w:sz w:val="24"/>
          <w:szCs w:val="24"/>
        </w:rPr>
        <w:t>METRIBUZIN 70% WP is a selective systemic and contact herbicide for wheat that controls both narrow-leaf and broadleaf weeds. It works through the roots and leaves and can be used for pre- and post-emergence weed control.</w:t>
      </w:r>
    </w:p>
    <w:p w:rsidR="003A64F1" w:rsidRPr="003A64F1" w:rsidRDefault="003A64F1" w:rsidP="003A6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4F1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3A64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Benefits</w:t>
      </w:r>
    </w:p>
    <w:p w:rsidR="003A64F1" w:rsidRPr="003A64F1" w:rsidRDefault="003A64F1" w:rsidP="003A6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r w:rsidRPr="003A64F1">
        <w:rPr>
          <w:rFonts w:ascii="Times New Roman" w:eastAsia="Times New Roman" w:hAnsi="Times New Roman" w:cs="Times New Roman"/>
          <w:b/>
          <w:bCs/>
          <w:sz w:val="24"/>
          <w:szCs w:val="24"/>
        </w:rPr>
        <w:t>narrow-leaf and broadleaf weeds</w:t>
      </w: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64F1" w:rsidRPr="003A64F1" w:rsidRDefault="003A64F1" w:rsidP="003A6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Works through </w:t>
      </w:r>
      <w:r w:rsidRPr="003A64F1">
        <w:rPr>
          <w:rFonts w:ascii="Times New Roman" w:eastAsia="Times New Roman" w:hAnsi="Times New Roman" w:cs="Times New Roman"/>
          <w:b/>
          <w:bCs/>
          <w:sz w:val="24"/>
          <w:szCs w:val="24"/>
        </w:rPr>
        <w:t>roots and leaves</w:t>
      </w: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64F1" w:rsidRPr="003A64F1" w:rsidRDefault="003A64F1" w:rsidP="003A6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Provides effective weed control in wheat </w:t>
      </w:r>
    </w:p>
    <w:p w:rsidR="003A64F1" w:rsidRPr="003A64F1" w:rsidRDefault="003A64F1" w:rsidP="003A6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Can be used for </w:t>
      </w:r>
      <w:r w:rsidRPr="003A64F1">
        <w:rPr>
          <w:rFonts w:ascii="Times New Roman" w:eastAsia="Times New Roman" w:hAnsi="Times New Roman" w:cs="Times New Roman"/>
          <w:b/>
          <w:bCs/>
          <w:sz w:val="24"/>
          <w:szCs w:val="24"/>
        </w:rPr>
        <w:t>pre- and post-emergence</w:t>
      </w: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 applications </w:t>
      </w:r>
    </w:p>
    <w:p w:rsidR="003A64F1" w:rsidRPr="003A64F1" w:rsidRDefault="003A64F1" w:rsidP="003A6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Effective at a low application rate </w:t>
      </w:r>
    </w:p>
    <w:p w:rsidR="003A64F1" w:rsidRPr="003A64F1" w:rsidRDefault="003A64F1" w:rsidP="003A6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:rsidR="003A64F1" w:rsidRPr="003A64F1" w:rsidRDefault="003A64F1" w:rsidP="003A6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4F1">
        <w:rPr>
          <w:rFonts w:ascii="Segoe UI Symbol" w:eastAsia="Times New Roman" w:hAnsi="Segoe UI Symbol" w:cs="Segoe UI Symbol"/>
          <w:b/>
          <w:bCs/>
          <w:sz w:val="27"/>
          <w:szCs w:val="27"/>
        </w:rPr>
        <w:t>🌾</w:t>
      </w:r>
      <w:r w:rsidRPr="003A64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Wheat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5240"/>
      </w:tblGrid>
      <w:tr w:rsidR="003A64F1" w:rsidRPr="003A64F1" w:rsidTr="003A6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3A64F1" w:rsidRPr="003A64F1" w:rsidTr="003A6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3A64F1" w:rsidRPr="003A64F1" w:rsidTr="003A6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Weeds</w:t>
            </w:r>
          </w:p>
        </w:tc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sz w:val="24"/>
                <w:szCs w:val="24"/>
              </w:rPr>
              <w:t>Dumbi Sitti, Bathu, Senji</w:t>
            </w:r>
          </w:p>
        </w:tc>
      </w:tr>
      <w:tr w:rsidR="003A64F1" w:rsidRPr="003A64F1" w:rsidTr="003A6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sz w:val="24"/>
                <w:szCs w:val="24"/>
              </w:rPr>
              <w:t>80 gm/acre</w:t>
            </w:r>
          </w:p>
        </w:tc>
      </w:tr>
      <w:tr w:rsidR="003A64F1" w:rsidRPr="003A64F1" w:rsidTr="003A6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sz w:val="24"/>
                <w:szCs w:val="24"/>
              </w:rPr>
              <w:t>100–120 L/acre</w:t>
            </w:r>
          </w:p>
        </w:tc>
      </w:tr>
      <w:tr w:rsidR="003A64F1" w:rsidRPr="003A64F1" w:rsidTr="003A6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sz w:val="24"/>
                <w:szCs w:val="24"/>
              </w:rPr>
              <w:t>Pre- or post-emergence according to the product label</w:t>
            </w:r>
          </w:p>
        </w:tc>
      </w:tr>
      <w:tr w:rsidR="003A64F1" w:rsidRPr="003A64F1" w:rsidTr="003A6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3A64F1" w:rsidRPr="003A64F1" w:rsidRDefault="003A64F1" w:rsidP="003A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4F1">
              <w:rPr>
                <w:rFonts w:ascii="Times New Roman" w:eastAsia="Times New Roman" w:hAnsi="Times New Roman" w:cs="Times New Roman"/>
                <w:sz w:val="24"/>
                <w:szCs w:val="24"/>
              </w:rPr>
              <w:t>70 days</w:t>
            </w:r>
          </w:p>
        </w:tc>
      </w:tr>
    </w:tbl>
    <w:p w:rsidR="003A64F1" w:rsidRPr="003A64F1" w:rsidRDefault="003A64F1" w:rsidP="003A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F1">
        <w:rPr>
          <w:rFonts w:ascii="Times New Roman" w:eastAsia="Times New Roman" w:hAnsi="Times New Roman" w:cs="Times New Roman"/>
          <w:b/>
          <w:bCs/>
          <w:sz w:val="24"/>
          <w:szCs w:val="24"/>
        </w:rPr>
        <w:t>Tags:</w:t>
      </w:r>
      <w:r w:rsidRPr="003A64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64F1">
        <w:rPr>
          <w:rFonts w:ascii="Courier New" w:eastAsia="Times New Roman" w:hAnsi="Courier New" w:cs="Courier New"/>
          <w:sz w:val="20"/>
          <w:szCs w:val="20"/>
        </w:rPr>
        <w:t>Wheat, Herbicide, Metribuzin, Weed Control, Broadleaf Weeds, Narrowleaf Weeds, Syngenta, 70% WP</w:t>
      </w:r>
    </w:p>
    <w:p w:rsidR="00E14251" w:rsidRDefault="00E14251">
      <w:bookmarkStart w:id="0" w:name="_GoBack"/>
      <w:bookmarkEnd w:id="0"/>
    </w:p>
    <w:sectPr w:rsidR="00E14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5D2D"/>
    <w:multiLevelType w:val="multilevel"/>
    <w:tmpl w:val="8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F08"/>
    <w:rsid w:val="003A64F1"/>
    <w:rsid w:val="00E14251"/>
    <w:rsid w:val="00F0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35A70-3639-4446-8EBB-CCC73176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A6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64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6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64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64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0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3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2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6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9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2026-09-15T16:34:00Z</dcterms:created>
  <dcterms:modified xsi:type="dcterms:W3CDTF">2026-09-15T16:34:00Z</dcterms:modified>
</cp:coreProperties>
</file>