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C4F" w:rsidRPr="007F2C4F" w:rsidRDefault="007F2C4F" w:rsidP="007F2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2C4F">
        <w:rPr>
          <w:rFonts w:ascii="Times New Roman" w:eastAsia="Times New Roman" w:hAnsi="Times New Roman" w:cs="Times New Roman"/>
          <w:b/>
          <w:bCs/>
          <w:sz w:val="27"/>
          <w:szCs w:val="27"/>
        </w:rPr>
        <w:t>AMISTAR TOP 325 SC — Cotton Description</w:t>
      </w:r>
    </w:p>
    <w:p w:rsidR="007F2C4F" w:rsidRPr="007F2C4F" w:rsidRDefault="007F2C4F" w:rsidP="007F2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C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AMISTAR TOP 325 SC is a fungicide for cotton that provides effective control of Stem and Twig Blight disease. It combines </w:t>
      </w:r>
      <w:proofErr w:type="spellStart"/>
      <w:r w:rsidRPr="007F2C4F">
        <w:rPr>
          <w:rFonts w:ascii="Times New Roman" w:eastAsia="Times New Roman" w:hAnsi="Times New Roman" w:cs="Times New Roman"/>
          <w:b/>
          <w:bCs/>
          <w:sz w:val="24"/>
          <w:szCs w:val="24"/>
        </w:rPr>
        <w:t>Azoxystrobin</w:t>
      </w:r>
      <w:proofErr w:type="spellEnd"/>
      <w:r w:rsidRPr="007F2C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F2C4F">
        <w:rPr>
          <w:rFonts w:ascii="Times New Roman" w:eastAsia="Times New Roman" w:hAnsi="Times New Roman" w:cs="Times New Roman"/>
          <w:b/>
          <w:bCs/>
          <w:sz w:val="24"/>
          <w:szCs w:val="24"/>
        </w:rPr>
        <w:t>Difenoconazole</w:t>
      </w:r>
      <w:proofErr w:type="spellEnd"/>
      <w:r w:rsidRPr="007F2C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provide reliable protection against fungal infection. When applied before the disease becomes established, it helps protect cotton plants, maintain healthier growth, and support better crop yield and quality.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BF"/>
    <w:rsid w:val="007F2C4F"/>
    <w:rsid w:val="00B460BF"/>
    <w:rsid w:val="00E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B6771-8278-4428-9E3D-166F96AD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2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2C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2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5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2026-09-15T18:54:00Z</dcterms:created>
  <dcterms:modified xsi:type="dcterms:W3CDTF">2026-09-15T18:54:00Z</dcterms:modified>
</cp:coreProperties>
</file>