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20"/>
      </w:pPr>
      <w:r>
        <w:rPr>
          <w:rFonts w:ascii="Arial" w:cs="Arial" w:eastAsia="Arial" w:hAnsi="Arial"/>
          <w:color w:val="999999"/>
          <w:sz w:val="18"/>
          <w:szCs w:val="18"/>
        </w:rPr>
        <w:t xml:space="preserve">CONFIDENTIAL — PILOT PROPOSAL</w:t>
      </w:r>
    </w:p>
    <w:p>
      <w:pPr>
        <w:spacing w:before="0" w:after="200"/>
      </w:pPr>
      <w:r>
        <w:rPr>
          <w:rFonts w:ascii="Arial" w:cs="Arial" w:eastAsia="Arial" w:hAnsi="Arial"/>
          <w:b/>
          <w:bCs/>
          <w:color w:val="1B3A6B"/>
          <w:sz w:val="56"/>
          <w:szCs w:val="56"/>
        </w:rPr>
        <w:t xml:space="preserve">Fixed Deposit Tokenisation</w:t>
      </w:r>
    </w:p>
    <w:p>
      <w:pPr>
        <w:spacing w:before="0" w:after="80"/>
      </w:pPr>
      <w:r>
        <w:rPr>
          <w:rFonts w:ascii="Arial" w:cs="Arial" w:eastAsia="Arial" w:hAnsi="Arial"/>
          <w:color w:val="1A7A4A"/>
          <w:sz w:val="32"/>
          <w:szCs w:val="32"/>
        </w:rPr>
        <w:t xml:space="preserve">Blockchain-Enabled Deposit Management System</w:t>
      </w:r>
    </w:p>
    <w:p>
      <w:pPr>
        <w:pBdr>
          <w:bottom w:val="single" w:color="1B3A6B" w:sz="4" w:space="1"/>
        </w:pBdr>
        <w:spacing w:before="120" w:after="120"/>
      </w:pPr>
      <w:r>
        <w:t xml:space="preserve"/>
      </w:r>
    </w:p>
    <w:p>
      <w:pPr>
        <w:spacing w:before="100" w:after="60"/>
      </w:pPr>
      <w:r>
        <w:rPr>
          <w:rFonts w:ascii="Arial" w:cs="Arial" w:eastAsia="Arial" w:hAnsi="Arial"/>
          <w:b/>
          <w:bCs/>
          <w:color w:val="1B3A6B"/>
          <w:sz w:val="22"/>
          <w:szCs w:val="22"/>
        </w:rPr>
        <w:t xml:space="preserve">Issuing Institution:</w:t>
      </w:r>
      <w:r>
        <w:rPr>
          <w:rFonts w:ascii="Arial" w:cs="Arial" w:eastAsia="Arial" w:hAnsi="Arial"/>
          <w:sz w:val="22"/>
          <w:szCs w:val="22"/>
        </w:rPr>
        <w:t xml:space="preserve">  ABC Bank Limited</w:t>
      </w:r>
    </w:p>
    <w:p>
      <w:pPr>
        <w:spacing w:before="40" w:after="60"/>
      </w:pPr>
      <w:r>
        <w:rPr>
          <w:rFonts w:ascii="Arial" w:cs="Arial" w:eastAsia="Arial" w:hAnsi="Arial"/>
          <w:b/>
          <w:bCs/>
          <w:color w:val="1B3A6B"/>
          <w:sz w:val="22"/>
          <w:szCs w:val="22"/>
        </w:rPr>
        <w:t xml:space="preserve">Pilot Deposit Amount:</w:t>
      </w:r>
      <w:r>
        <w:rPr>
          <w:rFonts w:ascii="Arial" w:cs="Arial" w:eastAsia="Arial" w:hAnsi="Arial"/>
          <w:sz w:val="22"/>
          <w:szCs w:val="22"/>
        </w:rPr>
        <w:t xml:space="preserve">  INR 30,00,000 (INR 3 Million)</w:t>
      </w:r>
    </w:p>
    <w:p>
      <w:pPr>
        <w:spacing w:before="40" w:after="60"/>
      </w:pPr>
      <w:r>
        <w:rPr>
          <w:rFonts w:ascii="Arial" w:cs="Arial" w:eastAsia="Arial" w:hAnsi="Arial"/>
          <w:b/>
          <w:bCs/>
          <w:color w:val="1B3A6B"/>
          <w:sz w:val="22"/>
          <w:szCs w:val="22"/>
        </w:rPr>
        <w:t xml:space="preserve">Technology Platform:</w:t>
      </w:r>
      <w:r>
        <w:rPr>
          <w:rFonts w:ascii="Arial" w:cs="Arial" w:eastAsia="Arial" w:hAnsi="Arial"/>
          <w:sz w:val="22"/>
          <w:szCs w:val="22"/>
        </w:rPr>
        <w:t xml:space="preserve">  Chia Blockchain (chia-blockchain open-source)</w:t>
      </w:r>
    </w:p>
    <w:p>
      <w:pPr>
        <w:spacing w:before="40" w:after="60"/>
      </w:pPr>
      <w:r>
        <w:rPr>
          <w:rFonts w:ascii="Arial" w:cs="Arial" w:eastAsia="Arial" w:hAnsi="Arial"/>
          <w:b/>
          <w:bCs/>
          <w:color w:val="1B3A6B"/>
          <w:sz w:val="22"/>
          <w:szCs w:val="22"/>
        </w:rPr>
        <w:t xml:space="preserve">Pilot Duration:</w:t>
      </w:r>
      <w:r>
        <w:rPr>
          <w:rFonts w:ascii="Arial" w:cs="Arial" w:eastAsia="Arial" w:hAnsi="Arial"/>
          <w:sz w:val="22"/>
          <w:szCs w:val="22"/>
        </w:rPr>
        <w:t xml:space="preserve">  12 months (1 FD lifecycle)</w:t>
      </w:r>
    </w:p>
    <w:p>
      <w:pPr>
        <w:spacing w:before="40" w:after="60"/>
      </w:pPr>
      <w:r>
        <w:rPr>
          <w:rFonts w:ascii="Arial" w:cs="Arial" w:eastAsia="Arial" w:hAnsi="Arial"/>
          <w:b/>
          <w:bCs/>
          <w:color w:val="1B3A6B"/>
          <w:sz w:val="22"/>
          <w:szCs w:val="22"/>
        </w:rPr>
        <w:t xml:space="preserve">Document Date:</w:t>
      </w:r>
      <w:r>
        <w:rPr>
          <w:rFonts w:ascii="Arial" w:cs="Arial" w:eastAsia="Arial" w:hAnsi="Arial"/>
          <w:sz w:val="22"/>
          <w:szCs w:val="22"/>
        </w:rPr>
        <w:t xml:space="preserve">  March 2026</w:t>
      </w:r>
    </w:p>
    <w:p>
      <w:pPr>
        <w:pBdr>
          <w:bottom w:val="single" w:color="1B3A6B" w:sz="4" w:space="1"/>
        </w:pBdr>
        <w:spacing w:before="120" w:after="120"/>
      </w:pPr>
      <w:r>
        <w:t xml:space="preserve"/>
      </w:r>
    </w:p>
    <w:p>
      <w:pPr>
        <w:spacing w:before="120" w:after="60"/>
      </w:pPr>
      <w:r>
        <w:rPr>
          <w:rFonts w:ascii="Arial" w:cs="Arial" w:eastAsia="Arial" w:hAnsi="Arial"/>
          <w:i/>
          <w:iCs/>
          <w:color w:val="666666"/>
          <w:sz w:val="18"/>
          <w:szCs w:val="18"/>
        </w:rPr>
        <w:t xml:space="preserve">This document is intended for internal review by ABC Bank's technology, product, and compliance teams. It describes a proof-of-concept pilot for tokenising a fixed deposit instrument on a private deployment of the Chia Blockchain.</w:t>
      </w:r>
    </w:p>
    <w:p>
      <w:r>
        <w:br w:type="page"/>
      </w:r>
    </w:p>
    <w:p>
      <w:pPr>
        <w:pStyle w:val="Heading1"/>
        <w:spacing w:before="360" w:after="120"/>
      </w:pPr>
      <w:r>
        <w:rPr>
          <w:rFonts w:ascii="Arial" w:cs="Arial" w:eastAsia="Arial" w:hAnsi="Arial"/>
          <w:b/>
          <w:bCs/>
          <w:color w:val="1B3A6B"/>
          <w:sz w:val="32"/>
          <w:szCs w:val="32"/>
        </w:rPr>
        <w:t xml:space="preserve">1. Executive Summary</w:t>
      </w:r>
    </w:p>
    <w:p>
      <w:pPr>
        <w:spacing w:before="60" w:after="60"/>
      </w:pPr>
      <w:r>
        <w:rPr>
          <w:rFonts w:ascii="Arial" w:cs="Arial" w:eastAsia="Arial" w:hAnsi="Arial"/>
          <w:sz w:val="20"/>
          <w:szCs w:val="20"/>
        </w:rPr>
        <w:t xml:space="preserve">ABC Bank proposes a 12-month pilot to tokenise a Fixed Deposit (FD) of INR 30,00,000 on a private deployment of the Chia Blockchain. This proof-of-concept will demonstrate that the rights, conditions, and lifecycle of a bank FD can be fully encoded on-chain — enabling real-time auditability, programmable redemption, and regulatory-grade controls — without replacing existing core banking systems.</w:t>
      </w:r>
    </w:p>
    <w:p>
      <w:pPr>
        <w:spacing w:before="80" w:after="80"/>
      </w:pPr>
      <w:r>
        <w:t xml:space="preserve"/>
      </w:r>
    </w:p>
    <w:p>
      <w:pPr>
        <w:spacing w:before="200" w:after="80"/>
      </w:pPr>
      <w:r>
        <w:rPr>
          <w:rFonts w:ascii="Arial" w:cs="Arial" w:eastAsia="Arial" w:hAnsi="Arial"/>
          <w:b/>
          <w:bCs/>
          <w:color w:val="1A7A4A"/>
          <w:sz w:val="22"/>
          <w:szCs w:val="22"/>
        </w:rPr>
        <w:t xml:space="preserve">What This Pilot Proves</w:t>
      </w:r>
    </w:p>
    <w:p>
      <w:pPr>
        <w:pStyle w:val="ListParagraph"/>
        <w:numPr>
          <w:ilvl w:val="0"/>
          <w:numId w:val="2"/>
        </w:numPr>
        <w:spacing w:before="40" w:after="40"/>
      </w:pPr>
      <w:r>
        <w:rPr>
          <w:rFonts w:ascii="Arial" w:cs="Arial" w:eastAsia="Arial" w:hAnsi="Arial"/>
          <w:b w:val="false"/>
          <w:bCs w:val="false"/>
          <w:sz w:val="20"/>
          <w:szCs w:val="20"/>
        </w:rPr>
        <w:t xml:space="preserve">A fixed deposit can be represented as a CAT (Chia Asset Token) with its terms — amount, rate, maturity, and issuer — encoded in an on-chain Chialisp puzzle</w:t>
      </w:r>
    </w:p>
    <w:p>
      <w:pPr>
        <w:pStyle w:val="ListParagraph"/>
        <w:numPr>
          <w:ilvl w:val="0"/>
          <w:numId w:val="2"/>
        </w:numPr>
        <w:spacing w:before="40" w:after="40"/>
      </w:pPr>
      <w:r>
        <w:rPr>
          <w:rFonts w:ascii="Arial" w:cs="Arial" w:eastAsia="Arial" w:hAnsi="Arial"/>
          <w:b w:val="false"/>
          <w:bCs w:val="false"/>
          <w:sz w:val="20"/>
          <w:szCs w:val="20"/>
        </w:rPr>
        <w:t xml:space="preserve">The deposit can only be redeemed when maturity conditions are met, enforced by a timelock — no human override required</w:t>
      </w:r>
    </w:p>
    <w:p>
      <w:pPr>
        <w:pStyle w:val="ListParagraph"/>
        <w:numPr>
          <w:ilvl w:val="0"/>
          <w:numId w:val="2"/>
        </w:numPr>
        <w:spacing w:before="40" w:after="40"/>
      </w:pPr>
      <w:r>
        <w:rPr>
          <w:rFonts w:ascii="Arial" w:cs="Arial" w:eastAsia="Arial" w:hAnsi="Arial"/>
          <w:b w:val="false"/>
          <w:bCs w:val="false"/>
          <w:sz w:val="20"/>
          <w:szCs w:val="20"/>
        </w:rPr>
        <w:t xml:space="preserve">ABC Bank retains a clawback right to recall the token in regulatory or KYC breach scenarios, using Chia's native clawback primitive</w:t>
      </w:r>
    </w:p>
    <w:p>
      <w:pPr>
        <w:pStyle w:val="ListParagraph"/>
        <w:numPr>
          <w:ilvl w:val="0"/>
          <w:numId w:val="2"/>
        </w:numPr>
        <w:spacing w:before="40" w:after="40"/>
      </w:pPr>
      <w:r>
        <w:rPr>
          <w:rFonts w:ascii="Arial" w:cs="Arial" w:eastAsia="Arial" w:hAnsi="Arial"/>
          <w:b w:val="false"/>
          <w:bCs w:val="false"/>
          <w:sz w:val="20"/>
          <w:szCs w:val="20"/>
        </w:rPr>
        <w:t xml:space="preserve">Depositor identity is verified via a Decentralised Identifier (DID), preventing unauthorised transfer</w:t>
      </w:r>
    </w:p>
    <w:p>
      <w:pPr>
        <w:pStyle w:val="ListParagraph"/>
        <w:numPr>
          <w:ilvl w:val="0"/>
          <w:numId w:val="2"/>
        </w:numPr>
        <w:spacing w:before="40" w:after="40"/>
      </w:pPr>
      <w:r>
        <w:rPr>
          <w:rFonts w:ascii="Arial" w:cs="Arial" w:eastAsia="Arial" w:hAnsi="Arial"/>
          <w:b w:val="false"/>
          <w:bCs w:val="false"/>
          <w:sz w:val="20"/>
          <w:szCs w:val="20"/>
        </w:rPr>
        <w:t xml:space="preserve">All deposit terms are stored in Chia's DataLayer, providing an immutable, auditable record for regulators</w:t>
      </w:r>
    </w:p>
    <w:p>
      <w:pPr>
        <w:spacing w:before="80" w:after="80"/>
      </w:pPr>
      <w:r>
        <w:t xml:space="preserve"/>
      </w:r>
    </w:p>
    <w:p>
      <w:pPr>
        <w:spacing w:before="200" w:after="80"/>
      </w:pPr>
      <w:r>
        <w:rPr>
          <w:rFonts w:ascii="Arial" w:cs="Arial" w:eastAsia="Arial" w:hAnsi="Arial"/>
          <w:b/>
          <w:bCs/>
          <w:color w:val="1A7A4A"/>
          <w:sz w:val="22"/>
          <w:szCs w:val="22"/>
        </w:rPr>
        <w:t xml:space="preserve">Pilot Snapshot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Parameter</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Detail</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Institution</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ABC Bank Limited (Private Permissioned Deployment)</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Instrument</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Fixed Deposit (FD)</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Principal Amount</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INR 30,00,000</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Tenor</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365 days (1 year)</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Interest Rate</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7.5% per annum (compounded quarterly)</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Maturity Value</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INR 32,32,808 (approx.)</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Token Standard</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CAT (Chia Asset Token) — 3,000,000 units @ 1 unit = INR 1</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Token Name</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ABCFD-001</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Network</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Private permissioned Chia node (ABC Bank internal)</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Blockchain</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Chia (Proof of Space &amp; Time, Python 3.10+)</w:t>
            </w:r>
          </w:p>
        </w:tc>
      </w:tr>
    </w:tbl>
    <w:p>
      <w:r>
        <w:br w:type="page"/>
      </w:r>
    </w:p>
    <w:p>
      <w:pPr>
        <w:pStyle w:val="Heading1"/>
        <w:spacing w:before="360" w:after="120"/>
      </w:pPr>
      <w:r>
        <w:rPr>
          <w:rFonts w:ascii="Arial" w:cs="Arial" w:eastAsia="Arial" w:hAnsi="Arial"/>
          <w:b/>
          <w:bCs/>
          <w:color w:val="1B3A6B"/>
          <w:sz w:val="32"/>
          <w:szCs w:val="32"/>
        </w:rPr>
        <w:t xml:space="preserve">2. Why Chia Blockchain for Deposit Tokenisation</w:t>
      </w:r>
    </w:p>
    <w:p>
      <w:pPr>
        <w:spacing w:before="60" w:after="60"/>
      </w:pPr>
      <w:r>
        <w:rPr>
          <w:rFonts w:ascii="Arial" w:cs="Arial" w:eastAsia="Arial" w:hAnsi="Arial"/>
          <w:sz w:val="20"/>
          <w:szCs w:val="20"/>
        </w:rPr>
        <w:t xml:space="preserve">Chia's architecture is uniquely suited to regulated financial instruments. Unlike Ethereum-based tokenisation, Chia encodes all spending conditions directly in the coin itself via Chialisp — a deterministic, Lisp-style programming language. There are no smart contract re-entrancy risks, no gas fee volatility, and no mutable state.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Feature</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Ethereum ERC-20</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Chia CAT</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Conditions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Smart contract (mutable risk)</w:t>
            </w:r>
          </w:p>
        </w:tc>
        <w:tc>
          <w:tcPr>
            <w:tcW w:type="auto" w:w="0"/>
            <w:gridSpan w:val="1"/>
            <w:tcBorders>
              <w:top w:val="single" w:color="CCCCCC" w:sz="1"/>
              <w:left w:val="single" w:color="CCCCCC" w:sz="1"/>
              <w:bottom w:val="single" w:color="CCCCCC" w:sz="1"/>
              <w:right w:val="single" w:color="CCCCCC" w:sz="1"/>
            </w:tcBorders>
            <w:shd w:fill="D5EFE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Chialisp puzzle (deterministic)</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Clawback</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Custom, error-prone</w:t>
            </w:r>
          </w:p>
        </w:tc>
        <w:tc>
          <w:tcPr>
            <w:tcW w:type="auto" w:w="0"/>
            <w:gridSpan w:val="1"/>
            <w:tcBorders>
              <w:top w:val="single" w:color="CCCCCC" w:sz="1"/>
              <w:left w:val="single" w:color="CCCCCC" w:sz="1"/>
              <w:bottom w:val="single" w:color="CCCCCC" w:sz="1"/>
              <w:right w:val="single" w:color="CCCCCC" w:sz="1"/>
            </w:tcBorders>
            <w:shd w:fill="D5EFE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Native primitive in repo</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Identity (KYC)</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External oracle</w:t>
            </w:r>
          </w:p>
        </w:tc>
        <w:tc>
          <w:tcPr>
            <w:tcW w:type="auto" w:w="0"/>
            <w:gridSpan w:val="1"/>
            <w:tcBorders>
              <w:top w:val="single" w:color="CCCCCC" w:sz="1"/>
              <w:left w:val="single" w:color="CCCCCC" w:sz="1"/>
              <w:bottom w:val="single" w:color="CCCCCC" w:sz="1"/>
              <w:right w:val="single" w:color="CCCCCC" w:sz="1"/>
            </w:tcBorders>
            <w:shd w:fill="D5EFE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Built-in DID wallet</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Audit Trail</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Events log (off-chain risk)</w:t>
            </w:r>
          </w:p>
        </w:tc>
        <w:tc>
          <w:tcPr>
            <w:tcW w:type="auto" w:w="0"/>
            <w:gridSpan w:val="1"/>
            <w:tcBorders>
              <w:top w:val="single" w:color="CCCCCC" w:sz="1"/>
              <w:left w:val="single" w:color="CCCCCC" w:sz="1"/>
              <w:bottom w:val="single" w:color="CCCCCC" w:sz="1"/>
              <w:right w:val="single" w:color="CCCCCC" w:sz="1"/>
            </w:tcBorders>
            <w:shd w:fill="D5EFE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DataLayer (on-chain KV store)</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Energy</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High (even post-merge)</w:t>
            </w:r>
          </w:p>
        </w:tc>
        <w:tc>
          <w:tcPr>
            <w:tcW w:type="auto" w:w="0"/>
            <w:gridSpan w:val="1"/>
            <w:tcBorders>
              <w:top w:val="single" w:color="CCCCCC" w:sz="1"/>
              <w:left w:val="single" w:color="CCCCCC" w:sz="1"/>
              <w:bottom w:val="single" w:color="CCCCCC" w:sz="1"/>
              <w:right w:val="single" w:color="CCCCCC" w:sz="1"/>
            </w:tcBorders>
            <w:shd w:fill="D5EFE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Proof of Space — minimal</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Regulatory Override</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Hard to design</w:t>
            </w:r>
          </w:p>
        </w:tc>
        <w:tc>
          <w:tcPr>
            <w:tcW w:type="auto" w:w="0"/>
            <w:gridSpan w:val="1"/>
            <w:tcBorders>
              <w:top w:val="single" w:color="CCCCCC" w:sz="1"/>
              <w:left w:val="single" w:color="CCCCCC" w:sz="1"/>
              <w:bottom w:val="single" w:color="CCCCCC" w:sz="1"/>
              <w:right w:val="single" w:color="CCCCCC" w:sz="1"/>
            </w:tcBorders>
            <w:shd w:fill="D5EFE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Clawback + DID native</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Private Deployment</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Requires separate permissioned fork</w:t>
            </w:r>
          </w:p>
        </w:tc>
        <w:tc>
          <w:tcPr>
            <w:tcW w:type="auto" w:w="0"/>
            <w:gridSpan w:val="1"/>
            <w:tcBorders>
              <w:top w:val="single" w:color="CCCCCC" w:sz="1"/>
              <w:left w:val="single" w:color="CCCCCC" w:sz="1"/>
              <w:bottom w:val="single" w:color="CCCCCC" w:sz="1"/>
              <w:right w:val="single" w:color="CCCCCC" w:sz="1"/>
            </w:tcBorders>
            <w:shd w:fill="D5EFE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Simulator built into repo</w:t>
            </w:r>
          </w:p>
        </w:tc>
      </w:tr>
    </w:tbl>
    <w:p>
      <w:pPr>
        <w:spacing w:before="80" w:after="80"/>
      </w:pPr>
      <w:r>
        <w:t xml:space="preserve"/>
      </w:r>
    </w:p>
    <w:p>
      <w:pPr>
        <w:spacing w:before="200" w:after="80"/>
      </w:pPr>
      <w:r>
        <w:rPr>
          <w:rFonts w:ascii="Arial" w:cs="Arial" w:eastAsia="Arial" w:hAnsi="Arial"/>
          <w:b/>
          <w:bCs/>
          <w:color w:val="1A7A4A"/>
          <w:sz w:val="22"/>
          <w:szCs w:val="22"/>
        </w:rPr>
        <w:t xml:space="preserve">Relevant Chia Repo Modules Used in This Pilot</w:t>
      </w:r>
    </w:p>
    <w:p>
      <w:pPr>
        <w:pStyle w:val="ListParagraph"/>
        <w:numPr>
          <w:ilvl w:val="0"/>
          <w:numId w:val="2"/>
        </w:numPr>
        <w:spacing w:before="40" w:after="40"/>
      </w:pPr>
      <w:r>
        <w:rPr>
          <w:rFonts w:ascii="Arial" w:cs="Arial" w:eastAsia="Arial" w:hAnsi="Arial"/>
          <w:b w:val="false"/>
          <w:bCs w:val="false"/>
          <w:sz w:val="20"/>
          <w:szCs w:val="20"/>
        </w:rPr>
        <w:t xml:space="preserve">chia/wallet/cat_wallet/ — CAT token minting, transfer, burn logic</w:t>
      </w:r>
    </w:p>
    <w:p>
      <w:pPr>
        <w:pStyle w:val="ListParagraph"/>
        <w:numPr>
          <w:ilvl w:val="0"/>
          <w:numId w:val="2"/>
        </w:numPr>
        <w:spacing w:before="40" w:after="40"/>
      </w:pPr>
      <w:r>
        <w:rPr>
          <w:rFonts w:ascii="Arial" w:cs="Arial" w:eastAsia="Arial" w:hAnsi="Arial"/>
          <w:b w:val="false"/>
          <w:bCs w:val="false"/>
          <w:sz w:val="20"/>
          <w:szCs w:val="20"/>
        </w:rPr>
        <w:t xml:space="preserve">chia/wallet/puzzles/clawback/ — Native clawback/recall by ABC Bank</w:t>
      </w:r>
    </w:p>
    <w:p>
      <w:pPr>
        <w:pStyle w:val="ListParagraph"/>
        <w:numPr>
          <w:ilvl w:val="0"/>
          <w:numId w:val="2"/>
        </w:numPr>
        <w:spacing w:before="40" w:after="40"/>
      </w:pPr>
      <w:r>
        <w:rPr>
          <w:rFonts w:ascii="Arial" w:cs="Arial" w:eastAsia="Arial" w:hAnsi="Arial"/>
          <w:b w:val="false"/>
          <w:bCs w:val="false"/>
          <w:sz w:val="20"/>
          <w:szCs w:val="20"/>
        </w:rPr>
        <w:t xml:space="preserve">chia/wallet/did_wallet/ — Depositor KYC identity on-chain</w:t>
      </w:r>
    </w:p>
    <w:p>
      <w:pPr>
        <w:pStyle w:val="ListParagraph"/>
        <w:numPr>
          <w:ilvl w:val="0"/>
          <w:numId w:val="2"/>
        </w:numPr>
        <w:spacing w:before="40" w:after="40"/>
      </w:pPr>
      <w:r>
        <w:rPr>
          <w:rFonts w:ascii="Arial" w:cs="Arial" w:eastAsia="Arial" w:hAnsi="Arial"/>
          <w:b w:val="false"/>
          <w:bCs w:val="false"/>
          <w:sz w:val="20"/>
          <w:szCs w:val="20"/>
        </w:rPr>
        <w:t xml:space="preserve">chia/data_layer/ — Immutable storage of FD terms and audit log</w:t>
      </w:r>
    </w:p>
    <w:p>
      <w:pPr>
        <w:pStyle w:val="ListParagraph"/>
        <w:numPr>
          <w:ilvl w:val="0"/>
          <w:numId w:val="2"/>
        </w:numPr>
        <w:spacing w:before="40" w:after="40"/>
      </w:pPr>
      <w:r>
        <w:rPr>
          <w:rFonts w:ascii="Arial" w:cs="Arial" w:eastAsia="Arial" w:hAnsi="Arial"/>
          <w:b w:val="false"/>
          <w:bCs w:val="false"/>
          <w:sz w:val="20"/>
          <w:szCs w:val="20"/>
        </w:rPr>
        <w:t xml:space="preserve">chia/wallet/conditions.py — Timelock (ASSERT_SECONDS_ABSOLUTE) for maturity</w:t>
      </w:r>
    </w:p>
    <w:p>
      <w:pPr>
        <w:pStyle w:val="ListParagraph"/>
        <w:numPr>
          <w:ilvl w:val="0"/>
          <w:numId w:val="2"/>
        </w:numPr>
        <w:spacing w:before="40" w:after="40"/>
      </w:pPr>
      <w:r>
        <w:rPr>
          <w:rFonts w:ascii="Arial" w:cs="Arial" w:eastAsia="Arial" w:hAnsi="Arial"/>
          <w:b w:val="false"/>
          <w:bCs w:val="false"/>
          <w:sz w:val="20"/>
          <w:szCs w:val="20"/>
        </w:rPr>
        <w:t xml:space="preserve">chia/simulator/ — Local test environment for the pilot</w:t>
      </w:r>
    </w:p>
    <w:p>
      <w:r>
        <w:br w:type="page"/>
      </w:r>
    </w:p>
    <w:p>
      <w:pPr>
        <w:pStyle w:val="Heading1"/>
        <w:spacing w:before="360" w:after="120"/>
      </w:pPr>
      <w:r>
        <w:rPr>
          <w:rFonts w:ascii="Arial" w:cs="Arial" w:eastAsia="Arial" w:hAnsi="Arial"/>
          <w:b/>
          <w:bCs/>
          <w:color w:val="1B3A6B"/>
          <w:sz w:val="32"/>
          <w:szCs w:val="32"/>
        </w:rPr>
        <w:t xml:space="preserve">3. Instrument Design — ABCFD-001 Token</w:t>
      </w:r>
    </w:p>
    <w:p>
      <w:pPr>
        <w:pStyle w:val="Heading2"/>
        <w:spacing w:before="280" w:after="100"/>
      </w:pPr>
      <w:r>
        <w:rPr>
          <w:rFonts w:ascii="Arial" w:cs="Arial" w:eastAsia="Arial" w:hAnsi="Arial"/>
          <w:b/>
          <w:bCs/>
          <w:color w:val="1B3A6B"/>
          <w:sz w:val="26"/>
          <w:szCs w:val="26"/>
        </w:rPr>
        <w:t xml:space="preserve">3.1 Fixed Deposit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FD Parameter</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Depositor Name</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Mr. Ramesh Kumar (KYC-verified)</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Depositor DID</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did:chia:abc001:ramesh_kumar_kyc_verified</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Principal</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INR 30,00,000</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Deposit Date</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01 April 2026</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Maturity Date</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01 April 2027 (365 days)</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Interest Rate</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7.5% p.a. (compounded quarterly)</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Maturity Amount</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INR 32,32,808</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Premature Withdrawal</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Allowed with 1% penalty (puzzle-enforced)</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Nomination</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Mrs. Sunita Kumar (secondary DID)</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Auto-renewal</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Disabled for pilot</w:t>
            </w:r>
          </w:p>
        </w:tc>
      </w:tr>
    </w:tbl>
    <w:p>
      <w:pPr>
        <w:spacing w:before="80" w:after="80"/>
      </w:pPr>
      <w:r>
        <w:t xml:space="preserve"/>
      </w:r>
    </w:p>
    <w:p>
      <w:pPr>
        <w:pStyle w:val="Heading2"/>
        <w:spacing w:before="280" w:after="100"/>
      </w:pPr>
      <w:r>
        <w:rPr>
          <w:rFonts w:ascii="Arial" w:cs="Arial" w:eastAsia="Arial" w:hAnsi="Arial"/>
          <w:b/>
          <w:bCs/>
          <w:color w:val="1B3A6B"/>
          <w:sz w:val="26"/>
          <w:szCs w:val="26"/>
        </w:rPr>
        <w:t xml:space="preserve">3.2 Token Design</w:t>
      </w:r>
    </w:p>
    <w:p>
      <w:pPr>
        <w:spacing w:before="60" w:after="60"/>
      </w:pPr>
      <w:r>
        <w:rPr>
          <w:rFonts w:ascii="Arial" w:cs="Arial" w:eastAsia="Arial" w:hAnsi="Arial"/>
          <w:sz w:val="20"/>
          <w:szCs w:val="20"/>
        </w:rPr>
        <w:t xml:space="preserve">The ABCFD-001 token is a CAT (Chia Asset Token) where 1 token unit = INR 1 of deposit principal. The full deposit of INR 30,00,000 is represented as 3,000,000 ABCFD-001 tokens minted at deposit creation and held in the depositor's Chia wallet.</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Token Parameter</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Token Name</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ABCFD-001</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Total Supply</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3,000,000 units (= INR 30,00,000)</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Denomination</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1 unit = INR 1</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Minting Authority</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ABC Bank (issuer key)</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Burning Authority</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ABC Bank (on redemption/maturity)</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Transfer Restriction</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DID-gated — only KYC-verified wallets</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Clawback Period</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Full tenor — ABC Bank can recall anytime</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Timelock</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ASSERT_SECONDS_ABSOLUTE: Unix timestamp of 01 Apr 2027</w:t>
            </w:r>
          </w:p>
        </w:tc>
      </w:tr>
    </w:tbl>
    <w:p>
      <w:pPr>
        <w:spacing w:before="80" w:after="80"/>
      </w:pPr>
      <w:r>
        <w:t xml:space="preserve"/>
      </w:r>
    </w:p>
    <w:p>
      <w:pPr>
        <w:pStyle w:val="Heading2"/>
        <w:spacing w:before="280" w:after="100"/>
      </w:pPr>
      <w:r>
        <w:rPr>
          <w:rFonts w:ascii="Arial" w:cs="Arial" w:eastAsia="Arial" w:hAnsi="Arial"/>
          <w:b/>
          <w:bCs/>
          <w:color w:val="1B3A6B"/>
          <w:sz w:val="26"/>
          <w:szCs w:val="26"/>
        </w:rPr>
        <w:t xml:space="preserve">3.3 Chialisp Puzzle Logic</w:t>
      </w:r>
    </w:p>
    <w:p>
      <w:pPr>
        <w:spacing w:before="60" w:after="60"/>
      </w:pPr>
      <w:r>
        <w:rPr>
          <w:rFonts w:ascii="Arial" w:cs="Arial" w:eastAsia="Arial" w:hAnsi="Arial"/>
          <w:sz w:val="20"/>
          <w:szCs w:val="20"/>
        </w:rPr>
        <w:t xml:space="preserve">The ABCFD-001 coin puzzle encodes the following spending conditions in Chialisp:</w:t>
      </w:r>
    </w:p>
    <w:p>
      <w:pPr>
        <w:spacing w:before="80" w:after="80"/>
      </w:pPr>
      <w:r>
        <w:t xml:space="preserve"/>
      </w:r>
    </w:p>
    <w:p>
      <w:pPr>
        <w:spacing w:before="80" w:after="80"/>
      </w:pPr>
      <w:r>
        <w:rPr>
          <w:rFonts w:ascii="Courier New" w:cs="Courier New" w:eastAsia="Courier New" w:hAnsi="Courier New"/>
          <w:color w:val="2E4057"/>
          <w:sz w:val="17"/>
          <w:szCs w:val="17"/>
        </w:rPr>
        <w:t xml:space="preserve">; ABCFD-001 Fixed Deposit Puzzle (simplified pseudocode)
(mod (conditions depositor_did bank_pubkey maturity_timestamp clawback_pubkey)
  (if (= (condition-type conditions) CLAWBACK)
      ; ABC Bank can always recall token
      (assert-sig clawback_pubkey)
  (if (= (condition-type conditions) PREMATURE_REDEEM)
      ; Premature: require bank + depositor, apply penalty
      (list (assert-sig bank_pubkey)
            (assert-sig depositor_did)
            (create-coin penalty_address penalty_amount))
  ; Normal redemption at maturity
  (list (assert-seconds-absolute maturity_timestamp)
        (assert-sig depositor_did)
        (create-coin depositor_address principal_plus_interest)))))</w:t>
      </w:r>
    </w:p>
    <w:p>
      <w:r>
        <w:br w:type="page"/>
      </w:r>
    </w:p>
    <w:p>
      <w:pPr>
        <w:pStyle w:val="Heading1"/>
        <w:spacing w:before="360" w:after="120"/>
      </w:pPr>
      <w:r>
        <w:rPr>
          <w:rFonts w:ascii="Arial" w:cs="Arial" w:eastAsia="Arial" w:hAnsi="Arial"/>
          <w:b/>
          <w:bCs/>
          <w:color w:val="1B3A6B"/>
          <w:sz w:val="32"/>
          <w:szCs w:val="32"/>
        </w:rPr>
        <w:t xml:space="preserve">4. Token Lifecycle — End to End</w:t>
      </w:r>
    </w:p>
    <w:p>
      <w:pPr>
        <w:pStyle w:val="Heading2"/>
        <w:spacing w:before="280" w:after="100"/>
      </w:pPr>
      <w:r>
        <w:rPr>
          <w:rFonts w:ascii="Arial" w:cs="Arial" w:eastAsia="Arial" w:hAnsi="Arial"/>
          <w:b/>
          <w:bCs/>
          <w:color w:val="1B3A6B"/>
          <w:sz w:val="26"/>
          <w:szCs w:val="26"/>
        </w:rPr>
        <w:t xml:space="preserve">4.1 Lifecycle Stages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500"/>
        <w:gridCol w:w="3026"/>
      </w:tblGrid>
      <w:tr>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Stage</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Action</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On-Chain Event</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1</w:t>
            </w:r>
          </w:p>
        </w:tc>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KYC &amp; DID Creation</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ABC Bank verifies Ramesh Kumar. Issues DID.</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DID coin minted: did:chia:abc001:ramesh_kumar</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19"/>
                <w:szCs w:val="19"/>
              </w:rPr>
              <w:t xml:space="preserve">2</w:t>
            </w:r>
          </w:p>
        </w:tc>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Deposit Receipt</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Customer deposits INR 30,00,000 at branch/net banking</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Fiat received off-chain; triggers minting</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3</w:t>
            </w:r>
          </w:p>
        </w:tc>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Token Minting</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ABC Bank mints 3,000,000 ABCFD-001 tokens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CAT coin created with timelock + clawback puzzle</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19"/>
                <w:szCs w:val="19"/>
              </w:rPr>
              <w:t xml:space="preserve">4</w:t>
            </w:r>
          </w:p>
        </w:tc>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DataLayer Record</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FD terms stored in Chia DataLayer</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Key-value record: amount, rate, maturity, DID</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5</w:t>
            </w:r>
          </w:p>
        </w:tc>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Token Holding</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Depositor holds ABCFD-001 in Chia wallet</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Coin locked — timelock active, transfers DID-gated</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19"/>
                <w:szCs w:val="19"/>
              </w:rPr>
              <w:t xml:space="preserve">6a</w:t>
            </w:r>
          </w:p>
        </w:tc>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Maturity Redemption</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On 01 Apr 2027, depositor submits redemption</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Timelock passes; puzzle unlocks; tokens burned; maturity amount disbursed</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6b</w:t>
            </w:r>
          </w:p>
        </w:tc>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Premature Withdrawal</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Depositor requests early withdrawal</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Bank + depositor co-sign; penalty deducted; tokens burned</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19"/>
                <w:szCs w:val="19"/>
              </w:rPr>
              <w:t xml:space="preserve">6c</w:t>
            </w:r>
          </w:p>
        </w:tc>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Clawback (Regulatory)</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Regulator/bank invokes recall (e.g., AML flag)</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Bank clawback key signs; tokens returned to bank</w:t>
            </w:r>
          </w:p>
        </w:tc>
      </w:tr>
    </w:tbl>
    <w:p>
      <w:pPr>
        <w:spacing w:before="80" w:after="80"/>
      </w:pPr>
      <w:r>
        <w:t xml:space="preserve"/>
      </w:r>
    </w:p>
    <w:p>
      <w:pPr>
        <w:pStyle w:val="Heading2"/>
        <w:spacing w:before="280" w:after="100"/>
      </w:pPr>
      <w:r>
        <w:rPr>
          <w:rFonts w:ascii="Arial" w:cs="Arial" w:eastAsia="Arial" w:hAnsi="Arial"/>
          <w:b/>
          <w:bCs/>
          <w:color w:val="1B3A6B"/>
          <w:sz w:val="26"/>
          <w:szCs w:val="26"/>
        </w:rPr>
        <w:t xml:space="preserve">4.2 Lifecycle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13"/>
        <w:gridCol w:w="2513"/>
      </w:tblGrid>
      <w:tr>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Date</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Milestone</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System Action</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Status</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01 Apr 2026</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Deposit Created</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3,000,000 ABCFD-001 minted</w:t>
            </w:r>
          </w:p>
        </w:tc>
        <w:tc>
          <w:tcPr>
            <w:tcW w:type="auto" w:w="0"/>
            <w:gridSpan w:val="1"/>
            <w:tcBorders>
              <w:top w:val="single" w:color="CCCCCC" w:sz="1"/>
              <w:left w:val="single" w:color="CCCCCC" w:sz="1"/>
              <w:bottom w:val="single" w:color="CCCCCC" w:sz="1"/>
              <w:right w:val="single" w:color="CCCCCC" w:sz="1"/>
            </w:tcBorders>
            <w:shd w:fill="D5EFE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 Active</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01 Jul 2026</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Q1 Interest Accrual</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DataLayer updated with accrued interest</w:t>
            </w:r>
          </w:p>
        </w:tc>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 Accruing</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01 Oct 2026</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Q2 Interest Accrual</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DataLayer updated</w:t>
            </w:r>
          </w:p>
        </w:tc>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 Accruing</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01 Jan 2027</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Q3 Interest Accrual</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DataLayer updated</w:t>
            </w:r>
          </w:p>
        </w:tc>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 Accruing</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01 Apr 2027</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Maturity</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Timelock expires; puzzle unlocks; tokens burned</w:t>
            </w:r>
          </w:p>
        </w:tc>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 Matured</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01 Apr 2027</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Payout</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INR 32,32,808 credited to depositor</w:t>
            </w:r>
          </w:p>
        </w:tc>
        <w:tc>
          <w:tcPr>
            <w:tcW w:type="auto" w:w="0"/>
            <w:gridSpan w:val="1"/>
            <w:tcBorders>
              <w:top w:val="single" w:color="CCCCCC" w:sz="1"/>
              <w:left w:val="single" w:color="CCCCCC" w:sz="1"/>
              <w:bottom w:val="single" w:color="CCCCCC" w:sz="1"/>
              <w:right w:val="single" w:color="CCCCCC" w:sz="1"/>
            </w:tcBorders>
            <w:shd w:fill="D5EFE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 Closed</w:t>
            </w:r>
          </w:p>
        </w:tc>
      </w:tr>
    </w:tbl>
    <w:p>
      <w:r>
        <w:br w:type="page"/>
      </w:r>
    </w:p>
    <w:p>
      <w:pPr>
        <w:pStyle w:val="Heading1"/>
        <w:spacing w:before="360" w:after="120"/>
      </w:pPr>
      <w:r>
        <w:rPr>
          <w:rFonts w:ascii="Arial" w:cs="Arial" w:eastAsia="Arial" w:hAnsi="Arial"/>
          <w:b/>
          <w:bCs/>
          <w:color w:val="1B3A6B"/>
          <w:sz w:val="32"/>
          <w:szCs w:val="32"/>
        </w:rPr>
        <w:t xml:space="preserve">5. Technical Architecture</w:t>
      </w:r>
    </w:p>
    <w:p>
      <w:pPr>
        <w:pStyle w:val="Heading2"/>
        <w:spacing w:before="280" w:after="100"/>
      </w:pPr>
      <w:r>
        <w:rPr>
          <w:rFonts w:ascii="Arial" w:cs="Arial" w:eastAsia="Arial" w:hAnsi="Arial"/>
          <w:b/>
          <w:bCs/>
          <w:color w:val="1B3A6B"/>
          <w:sz w:val="26"/>
          <w:szCs w:val="26"/>
        </w:rPr>
        <w:t xml:space="preserve">5.1 System Components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Component</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Chia Module</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Role in Pilot</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CAT Engine</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chia/wallet/cat_wallet/</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Mint, transfer, and burn ABCFD-001 tokens</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Puzzle / Conditions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chia/wallet/conditions.py</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Timelock (maturity) and spend conditions</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Clawback</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chia/wallet/puzzles/clawback/</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Regulatory recall by ABC Bank</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Identity (DID)</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chia/wallet/did_wallet/</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KYC-linked depositor identity</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Data Store</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chia/data_layer/</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Immutable FD terms + interest accrual log</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Full Node</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chia/full_node/</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ABC Bank runs a private node</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Simulator</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chia/simulator/</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Dev/test environment for pilot team</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RPC Layer</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chia/rpc/</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Core banking integration via REST/RPC</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CLI</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chia/cmds/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Bank operations: mint, burn, clawback</w:t>
            </w:r>
          </w:p>
        </w:tc>
      </w:tr>
    </w:tbl>
    <w:p>
      <w:pPr>
        <w:spacing w:before="80" w:after="80"/>
      </w:pPr>
      <w:r>
        <w:t xml:space="preserve"/>
      </w:r>
    </w:p>
    <w:p>
      <w:pPr>
        <w:pStyle w:val="Heading2"/>
        <w:spacing w:before="280" w:after="100"/>
      </w:pPr>
      <w:r>
        <w:rPr>
          <w:rFonts w:ascii="Arial" w:cs="Arial" w:eastAsia="Arial" w:hAnsi="Arial"/>
          <w:b/>
          <w:bCs/>
          <w:color w:val="1B3A6B"/>
          <w:sz w:val="26"/>
          <w:szCs w:val="26"/>
        </w:rPr>
        <w:t xml:space="preserve">5.2 Integration Architecture</w:t>
      </w:r>
    </w:p>
    <w:p>
      <w:pPr>
        <w:spacing w:before="60" w:after="60"/>
      </w:pPr>
      <w:r>
        <w:rPr>
          <w:rFonts w:ascii="Arial" w:cs="Arial" w:eastAsia="Arial" w:hAnsi="Arial"/>
          <w:sz w:val="20"/>
          <w:szCs w:val="20"/>
        </w:rPr>
        <w:t xml:space="preserve">The pilot runs as a private, permissioned deployment — meaning ABC Bank controls the single node. No public mainnet exposure. The Chia simulator (chia/simulator/) allows full lifecycle testing before any live deployment.</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Layer</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Core Banking (CBS)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ABC Bank's existing CBS (Finacle/Flexcube) triggers token events via API hooks</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Chia RPC Bridge</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Python microservice wrapping chia/rpc/ — translates CBS events to on-chain actions</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Private Chia Node</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Single node, air-gapped from Chia mainnet. Runs chia/full_node/ + chia/wallet/</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DataLayer Server</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chia/data_layer/ instance storing FD metadata. Accessible to auditors via read-only mirror</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Depositor Interface</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Net banking portal shows token balance and FD status via DataLayer query</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Regulator Portal</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Read-only DataLayer access for RBI sandbox reporting</w:t>
            </w:r>
          </w:p>
        </w:tc>
      </w:tr>
    </w:tbl>
    <w:p>
      <w:r>
        <w:br w:type="page"/>
      </w:r>
    </w:p>
    <w:p>
      <w:pPr>
        <w:pStyle w:val="Heading1"/>
        <w:spacing w:before="360" w:after="120"/>
      </w:pPr>
      <w:r>
        <w:rPr>
          <w:rFonts w:ascii="Arial" w:cs="Arial" w:eastAsia="Arial" w:hAnsi="Arial"/>
          <w:b/>
          <w:bCs/>
          <w:color w:val="1B3A6B"/>
          <w:sz w:val="32"/>
          <w:szCs w:val="32"/>
        </w:rPr>
        <w:t xml:space="preserve">6. Financial Model</w:t>
      </w:r>
    </w:p>
    <w:p>
      <w:pPr>
        <w:pStyle w:val="Heading2"/>
        <w:spacing w:before="280" w:after="100"/>
      </w:pPr>
      <w:r>
        <w:rPr>
          <w:rFonts w:ascii="Arial" w:cs="Arial" w:eastAsia="Arial" w:hAnsi="Arial"/>
          <w:b/>
          <w:bCs/>
          <w:color w:val="1B3A6B"/>
          <w:sz w:val="26"/>
          <w:szCs w:val="26"/>
        </w:rPr>
        <w:t xml:space="preserve">6.1 Deposit Economics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Component</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Normal Maturity</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Premature (Day 180)</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Principal</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INR 30,00,000</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INR 30,00,000</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Interest Rate</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7.5% p.a.</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6.5% p.a. (penalty)</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Interest Earned</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INR 2,32,808</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INR 97,500</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Penalty Deduction</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Nil</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INR 30,000 (1%)</w:t>
            </w:r>
          </w:p>
        </w:tc>
      </w:tr>
      <w:tr>
        <w:tc>
          <w:tcPr>
            <w:tcW w:type="auto" w:w="0"/>
            <w:gridSpan w:val="1"/>
            <w:tcBorders>
              <w:top w:val="single" w:color="CCCCCC" w:sz="1"/>
              <w:left w:val="single" w:color="CCCCCC" w:sz="1"/>
              <w:bottom w:val="single" w:color="CCCCCC" w:sz="1"/>
              <w:right w:val="single" w:color="CCCCCC" w:sz="1"/>
            </w:tcBorders>
            <w:shd w:fill="D5EFE0" w:val="clear"/>
            <w:tcMar>
              <w:top w:type="dxa" w:w="80"/>
              <w:left w:type="dxa" w:w="120"/>
              <w:bottom w:type="dxa" w:w="80"/>
              <w:right w:type="dxa" w:w="120"/>
            </w:tcMar>
          </w:tcPr>
          <w:p>
            <w:pPr>
              <w:jc w:val="left"/>
            </w:pPr>
            <w:r>
              <w:rPr>
                <w:rFonts w:ascii="Arial" w:cs="Arial" w:eastAsia="Arial" w:hAnsi="Arial"/>
                <w:b/>
                <w:bCs/>
                <w:sz w:val="19"/>
                <w:szCs w:val="19"/>
              </w:rPr>
              <w:t xml:space="preserve">Total Payout</w:t>
            </w:r>
          </w:p>
        </w:tc>
        <w:tc>
          <w:tcPr>
            <w:tcW w:type="auto" w:w="0"/>
            <w:gridSpan w:val="1"/>
            <w:tcBorders>
              <w:top w:val="single" w:color="CCCCCC" w:sz="1"/>
              <w:left w:val="single" w:color="CCCCCC" w:sz="1"/>
              <w:bottom w:val="single" w:color="CCCCCC" w:sz="1"/>
              <w:right w:val="single" w:color="CCCCCC" w:sz="1"/>
            </w:tcBorders>
            <w:shd w:fill="D5EFE0" w:val="clear"/>
            <w:tcMar>
              <w:top w:type="dxa" w:w="80"/>
              <w:left w:type="dxa" w:w="120"/>
              <w:bottom w:type="dxa" w:w="80"/>
              <w:right w:type="dxa" w:w="120"/>
            </w:tcMar>
          </w:tcPr>
          <w:p>
            <w:pPr>
              <w:jc w:val="right"/>
            </w:pPr>
            <w:r>
              <w:rPr>
                <w:rFonts w:ascii="Arial" w:cs="Arial" w:eastAsia="Arial" w:hAnsi="Arial"/>
                <w:b/>
                <w:bCs/>
                <w:sz w:val="19"/>
                <w:szCs w:val="19"/>
              </w:rPr>
              <w:t xml:space="preserve">INR 32,32,808</w:t>
            </w:r>
          </w:p>
        </w:tc>
        <w:tc>
          <w:tcPr>
            <w:tcW w:type="auto" w:w="0"/>
            <w:gridSpan w:val="1"/>
            <w:tcBorders>
              <w:top w:val="single" w:color="CCCCCC" w:sz="1"/>
              <w:left w:val="single" w:color="CCCCCC" w:sz="1"/>
              <w:bottom w:val="single" w:color="CCCCCC" w:sz="1"/>
              <w:right w:val="single" w:color="CCCCCC" w:sz="1"/>
            </w:tcBorders>
            <w:shd w:fill="D5EFE0" w:val="clear"/>
            <w:tcMar>
              <w:top w:type="dxa" w:w="80"/>
              <w:left w:type="dxa" w:w="120"/>
              <w:bottom w:type="dxa" w:w="80"/>
              <w:right w:type="dxa" w:w="120"/>
            </w:tcMar>
          </w:tcPr>
          <w:p>
            <w:pPr>
              <w:jc w:val="right"/>
            </w:pPr>
            <w:r>
              <w:rPr>
                <w:rFonts w:ascii="Arial" w:cs="Arial" w:eastAsia="Arial" w:hAnsi="Arial"/>
                <w:b/>
                <w:bCs/>
                <w:sz w:val="19"/>
                <w:szCs w:val="19"/>
              </w:rPr>
              <w:t xml:space="preserve">INR 30,67,500</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Tokens Burned</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3,000,000 ABCFD-001</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3,000,000 ABCFD-001</w:t>
            </w:r>
          </w:p>
        </w:tc>
      </w:tr>
    </w:tbl>
    <w:p>
      <w:pPr>
        <w:spacing w:before="80" w:after="80"/>
      </w:pPr>
      <w:r>
        <w:t xml:space="preserve"/>
      </w:r>
    </w:p>
    <w:p>
      <w:pPr>
        <w:pStyle w:val="Heading2"/>
        <w:spacing w:before="280" w:after="100"/>
      </w:pPr>
      <w:r>
        <w:rPr>
          <w:rFonts w:ascii="Arial" w:cs="Arial" w:eastAsia="Arial" w:hAnsi="Arial"/>
          <w:b/>
          <w:bCs/>
          <w:color w:val="1B3A6B"/>
          <w:sz w:val="26"/>
          <w:szCs w:val="26"/>
        </w:rPr>
        <w:t xml:space="preserve">6.2 Token-to-Fiat Settlement</w:t>
      </w:r>
    </w:p>
    <w:p>
      <w:pPr>
        <w:spacing w:before="60" w:after="60"/>
      </w:pPr>
      <w:r>
        <w:rPr>
          <w:rFonts w:ascii="Arial" w:cs="Arial" w:eastAsia="Arial" w:hAnsi="Arial"/>
          <w:sz w:val="20"/>
          <w:szCs w:val="20"/>
        </w:rPr>
        <w:t xml:space="preserve">Token burning is the on-chain event that triggers the fiat payout. The Chia RPC bridge monitors the DataLayer for burn events and instructs CBS to credit the depositor's savings account. The settlement is T+0 for maturity redemptions and T+1 for premature withdrawals (pending bank verification).</w:t>
      </w:r>
    </w:p>
    <w:p>
      <w:pPr>
        <w:spacing w:before="80" w:after="80"/>
      </w:pPr>
      <w:r>
        <w:t xml:space="preserve"/>
      </w:r>
    </w:p>
    <w:p>
      <w:pPr>
        <w:pStyle w:val="Heading2"/>
        <w:spacing w:before="280" w:after="100"/>
      </w:pPr>
      <w:r>
        <w:rPr>
          <w:rFonts w:ascii="Arial" w:cs="Arial" w:eastAsia="Arial" w:hAnsi="Arial"/>
          <w:b/>
          <w:bCs/>
          <w:color w:val="1B3A6B"/>
          <w:sz w:val="26"/>
          <w:szCs w:val="26"/>
        </w:rPr>
        <w:t xml:space="preserve">6.3 Pilot Cost Estimate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Item</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Estimated Cost (INR)</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Chia node infrastructure (cloud VM, 12 months)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1,20,000</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RPC bridge development (Python, 3 months)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6,00,000</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DataLayer setup and integration</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1,50,000</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Testing and QA (simulator-based)</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2,00,000</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Compliance and legal review</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3,00,000</w:t>
            </w:r>
          </w:p>
        </w:tc>
      </w:tr>
      <w:tr>
        <w:tc>
          <w:tcPr>
            <w:tcW w:type="auto" w:w="0"/>
            <w:gridSpan w:val="1"/>
            <w:tcBorders>
              <w:top w:val="single" w:color="CCCCCC" w:sz="1"/>
              <w:left w:val="single" w:color="CCCCCC" w:sz="1"/>
              <w:bottom w:val="single" w:color="CCCCCC" w:sz="1"/>
              <w:right w:val="single" w:color="CCCCCC" w:sz="1"/>
            </w:tcBorders>
            <w:shd w:fill="D5EFE0" w:val="clear"/>
            <w:tcMar>
              <w:top w:type="dxa" w:w="80"/>
              <w:left w:type="dxa" w:w="120"/>
              <w:bottom w:type="dxa" w:w="80"/>
              <w:right w:type="dxa" w:w="120"/>
            </w:tcMar>
          </w:tcPr>
          <w:p>
            <w:pPr>
              <w:jc w:val="left"/>
            </w:pPr>
            <w:r>
              <w:rPr>
                <w:rFonts w:ascii="Arial" w:cs="Arial" w:eastAsia="Arial" w:hAnsi="Arial"/>
                <w:b/>
                <w:bCs/>
                <w:sz w:val="19"/>
                <w:szCs w:val="19"/>
              </w:rPr>
              <w:t xml:space="preserve">Total Pilot Investment</w:t>
            </w:r>
          </w:p>
        </w:tc>
        <w:tc>
          <w:tcPr>
            <w:tcW w:type="auto" w:w="0"/>
            <w:gridSpan w:val="1"/>
            <w:tcBorders>
              <w:top w:val="single" w:color="CCCCCC" w:sz="1"/>
              <w:left w:val="single" w:color="CCCCCC" w:sz="1"/>
              <w:bottom w:val="single" w:color="CCCCCC" w:sz="1"/>
              <w:right w:val="single" w:color="CCCCCC" w:sz="1"/>
            </w:tcBorders>
            <w:shd w:fill="D5EFE0" w:val="clear"/>
            <w:tcMar>
              <w:top w:type="dxa" w:w="80"/>
              <w:left w:type="dxa" w:w="120"/>
              <w:bottom w:type="dxa" w:w="80"/>
              <w:right w:type="dxa" w:w="120"/>
            </w:tcMar>
          </w:tcPr>
          <w:p>
            <w:pPr>
              <w:jc w:val="right"/>
            </w:pPr>
            <w:r>
              <w:rPr>
                <w:rFonts w:ascii="Arial" w:cs="Arial" w:eastAsia="Arial" w:hAnsi="Arial"/>
                <w:b/>
                <w:bCs/>
                <w:sz w:val="19"/>
                <w:szCs w:val="19"/>
              </w:rPr>
              <w:t xml:space="preserve">INR 13,70,000</w:t>
            </w:r>
          </w:p>
        </w:tc>
      </w:tr>
    </w:tbl>
    <w:p>
      <w:r>
        <w:br w:type="page"/>
      </w:r>
    </w:p>
    <w:p>
      <w:pPr>
        <w:pStyle w:val="Heading1"/>
        <w:spacing w:before="360" w:after="120"/>
      </w:pPr>
      <w:r>
        <w:rPr>
          <w:rFonts w:ascii="Arial" w:cs="Arial" w:eastAsia="Arial" w:hAnsi="Arial"/>
          <w:b/>
          <w:bCs/>
          <w:color w:val="1B3A6B"/>
          <w:sz w:val="32"/>
          <w:szCs w:val="32"/>
        </w:rPr>
        <w:t xml:space="preserve">7. Compliance &amp; Regulatory Framework</w:t>
      </w:r>
    </w:p>
    <w:p>
      <w:pPr>
        <w:pStyle w:val="Heading2"/>
        <w:spacing w:before="280" w:after="100"/>
      </w:pPr>
      <w:r>
        <w:rPr>
          <w:rFonts w:ascii="Arial" w:cs="Arial" w:eastAsia="Arial" w:hAnsi="Arial"/>
          <w:b/>
          <w:bCs/>
          <w:color w:val="1B3A6B"/>
          <w:sz w:val="26"/>
          <w:szCs w:val="26"/>
        </w:rPr>
        <w:t xml:space="preserve">7.1 RBI Sandbox Alignment</w:t>
      </w:r>
    </w:p>
    <w:p>
      <w:pPr>
        <w:spacing w:before="60" w:after="60"/>
      </w:pPr>
      <w:r>
        <w:rPr>
          <w:rFonts w:ascii="Arial" w:cs="Arial" w:eastAsia="Arial" w:hAnsi="Arial"/>
          <w:sz w:val="20"/>
          <w:szCs w:val="20"/>
        </w:rPr>
        <w:t xml:space="preserve">This pilot is designed to be compatible with RBI's Regulatory Sandbox (RS) framework under the Fintech department. The private permissioned deployment ensures no public XCH tokens are involved, and the instrument remains squarely within the definition of a regulated deposit product.</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Regulatory Requirement</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How Pilot Addresses It</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KYC / AML</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DID wallet (chia/wallet/did_wallet/) links each token to a verified identity</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Issuer Control</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Only ABC Bank holds mint/burn keys; clawback primitive gives full recall rights</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Audit Trail</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DataLayer provides immutable, timestamped record of all FD events</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Transfer Restrictions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DID-gated transfers prevent non-KYC wallets from receiving tokens</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Premature Withdrawal</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Puzzle enforces penalty calculation on-chain — no manual bank intervention</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Nomination / Succession</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Nominee DID encoded in puzzle — enabled on depositor's death certificate</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No Crypto Exposure</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Private node — no public Chia XCH involvement; purely internal ledger</w:t>
            </w:r>
          </w:p>
        </w:tc>
      </w:tr>
    </w:tbl>
    <w:p>
      <w:pPr>
        <w:spacing w:before="80" w:after="80"/>
      </w:pPr>
      <w:r>
        <w:t xml:space="preserve"/>
      </w:r>
    </w:p>
    <w:p>
      <w:pPr>
        <w:pStyle w:val="Heading2"/>
        <w:spacing w:before="280" w:after="100"/>
      </w:pPr>
      <w:r>
        <w:rPr>
          <w:rFonts w:ascii="Arial" w:cs="Arial" w:eastAsia="Arial" w:hAnsi="Arial"/>
          <w:b/>
          <w:bCs/>
          <w:color w:val="1B3A6B"/>
          <w:sz w:val="26"/>
          <w:szCs w:val="26"/>
        </w:rPr>
        <w:t xml:space="preserve">7.2 Key Risks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Risk</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Likelihood</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Mitigation</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Key compromise (bank mint key)</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Low</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HSM storage; multi-sig clawback key</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Puzzle logic bug</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Medium</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Full test coverage via chia/simulator/</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Regulatory non-acceptance</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Medium</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RBI sandbox engagement before scale-up</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CBS integration failure</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Low</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RPC bridge with retry logic and CBS fallback</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Data privacy (DPDPA 2023)</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Low</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PII stored off-chain; only DID hash on-chain</w:t>
            </w:r>
          </w:p>
        </w:tc>
      </w:tr>
    </w:tbl>
    <w:p>
      <w:r>
        <w:br w:type="page"/>
      </w:r>
    </w:p>
    <w:p>
      <w:pPr>
        <w:pStyle w:val="Heading1"/>
        <w:spacing w:before="360" w:after="120"/>
      </w:pPr>
      <w:r>
        <w:rPr>
          <w:rFonts w:ascii="Arial" w:cs="Arial" w:eastAsia="Arial" w:hAnsi="Arial"/>
          <w:b/>
          <w:bCs/>
          <w:color w:val="1B3A6B"/>
          <w:sz w:val="32"/>
          <w:szCs w:val="32"/>
        </w:rPr>
        <w:t xml:space="preserve">8. Pilot Rollout Plan</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500"/>
        <w:gridCol w:w="2026"/>
      </w:tblGrid>
      <w:tr>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Phase</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Timeline</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Deliverable</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Owner</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Phase 0
Setup</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Month 1</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Chia node deployed, simulator configured, repo cloned and tested</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Tech Team</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Phase 1
Dev</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Month 2–3</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Chialisp puzzle written, CAT minting tested, clawback tested in simulator</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Tech + Blockchain</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Phase 2
Integration</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Month 4–5</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RPC bridge to CBS, DataLayer integration, DID issuance workflow</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Tech + CBS Team</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Phase 3
UAT</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Month 6</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Full lifecycle UAT — mint, hold, premature, clawback, maturity</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QA + Compliance</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Phase 4
Pilot Live</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Month 7</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Single FD of INR 30,00,000 tokenised live on private node</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Product</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Phase 5
Monitor</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Month 8–12</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Quarterly accrual updates, regulator reporting, issue resolution</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Ops + Compliance</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Phase 6
Review</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Month 12</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Full lifecycle review; go/no-go for scale-up to 100 FDs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Management</w:t>
            </w:r>
          </w:p>
        </w:tc>
      </w:tr>
    </w:tbl>
    <w:p>
      <w:pPr>
        <w:spacing w:before="80" w:after="80"/>
      </w:pPr>
      <w:r>
        <w:t xml:space="preserve"/>
      </w:r>
    </w:p>
    <w:p>
      <w:pPr>
        <w:pStyle w:val="Heading2"/>
        <w:spacing w:before="280" w:after="100"/>
      </w:pPr>
      <w:r>
        <w:rPr>
          <w:rFonts w:ascii="Arial" w:cs="Arial" w:eastAsia="Arial" w:hAnsi="Arial"/>
          <w:b/>
          <w:bCs/>
          <w:color w:val="1B3A6B"/>
          <w:sz w:val="26"/>
          <w:szCs w:val="26"/>
        </w:rPr>
        <w:t xml:space="preserve">8.1 Success Criteria</w:t>
      </w:r>
    </w:p>
    <w:p>
      <w:pPr>
        <w:pStyle w:val="ListParagraph"/>
        <w:numPr>
          <w:ilvl w:val="0"/>
          <w:numId w:val="2"/>
        </w:numPr>
        <w:spacing w:before="40" w:after="40"/>
      </w:pPr>
      <w:r>
        <w:rPr>
          <w:rFonts w:ascii="Arial" w:cs="Arial" w:eastAsia="Arial" w:hAnsi="Arial"/>
          <w:b w:val="false"/>
          <w:bCs w:val="false"/>
          <w:sz w:val="20"/>
          <w:szCs w:val="20"/>
        </w:rPr>
        <w:t xml:space="preserve">ABCFD-001 token minted and held correctly in depositor's Chia wallet</w:t>
      </w:r>
    </w:p>
    <w:p>
      <w:pPr>
        <w:pStyle w:val="ListParagraph"/>
        <w:numPr>
          <w:ilvl w:val="0"/>
          <w:numId w:val="2"/>
        </w:numPr>
        <w:spacing w:before="40" w:after="40"/>
      </w:pPr>
      <w:r>
        <w:rPr>
          <w:rFonts w:ascii="Arial" w:cs="Arial" w:eastAsia="Arial" w:hAnsi="Arial"/>
          <w:b w:val="false"/>
          <w:bCs w:val="false"/>
          <w:sz w:val="20"/>
          <w:szCs w:val="20"/>
        </w:rPr>
        <w:t xml:space="preserve">Timelock enforces maturity — redemption before 01 Apr 2027 is rejected by puzzle</w:t>
      </w:r>
    </w:p>
    <w:p>
      <w:pPr>
        <w:pStyle w:val="ListParagraph"/>
        <w:numPr>
          <w:ilvl w:val="0"/>
          <w:numId w:val="2"/>
        </w:numPr>
        <w:spacing w:before="40" w:after="40"/>
      </w:pPr>
      <w:r>
        <w:rPr>
          <w:rFonts w:ascii="Arial" w:cs="Arial" w:eastAsia="Arial" w:hAnsi="Arial"/>
          <w:b w:val="false"/>
          <w:bCs w:val="false"/>
          <w:sz w:val="20"/>
          <w:szCs w:val="20"/>
        </w:rPr>
        <w:t xml:space="preserve">Clawback executes successfully in test regulatory scenario within 24 hours</w:t>
      </w:r>
    </w:p>
    <w:p>
      <w:pPr>
        <w:pStyle w:val="ListParagraph"/>
        <w:numPr>
          <w:ilvl w:val="0"/>
          <w:numId w:val="2"/>
        </w:numPr>
        <w:spacing w:before="40" w:after="40"/>
      </w:pPr>
      <w:r>
        <w:rPr>
          <w:rFonts w:ascii="Arial" w:cs="Arial" w:eastAsia="Arial" w:hAnsi="Arial"/>
          <w:b w:val="false"/>
          <w:bCs w:val="false"/>
          <w:sz w:val="20"/>
          <w:szCs w:val="20"/>
        </w:rPr>
        <w:t xml:space="preserve">DataLayer record matches CBS record with zero discrepancy</w:t>
      </w:r>
    </w:p>
    <w:p>
      <w:pPr>
        <w:pStyle w:val="ListParagraph"/>
        <w:numPr>
          <w:ilvl w:val="0"/>
          <w:numId w:val="2"/>
        </w:numPr>
        <w:spacing w:before="40" w:after="40"/>
      </w:pPr>
      <w:r>
        <w:rPr>
          <w:rFonts w:ascii="Arial" w:cs="Arial" w:eastAsia="Arial" w:hAnsi="Arial"/>
          <w:b w:val="false"/>
          <w:bCs w:val="false"/>
          <w:sz w:val="20"/>
          <w:szCs w:val="20"/>
        </w:rPr>
        <w:t xml:space="preserve">Premature withdrawal penalty correctly deducted on-chain</w:t>
      </w:r>
    </w:p>
    <w:p>
      <w:pPr>
        <w:pStyle w:val="ListParagraph"/>
        <w:numPr>
          <w:ilvl w:val="0"/>
          <w:numId w:val="2"/>
        </w:numPr>
        <w:spacing w:before="40" w:after="40"/>
      </w:pPr>
      <w:r>
        <w:rPr>
          <w:rFonts w:ascii="Arial" w:cs="Arial" w:eastAsia="Arial" w:hAnsi="Arial"/>
          <w:b w:val="false"/>
          <w:bCs w:val="false"/>
          <w:sz w:val="20"/>
          <w:szCs w:val="20"/>
        </w:rPr>
        <w:t xml:space="preserve">End-to-end lifecycle completed with no manual intervention required</w:t>
      </w:r>
    </w:p>
    <w:p>
      <w:r>
        <w:br w:type="page"/>
      </w:r>
    </w:p>
    <w:p>
      <w:pPr>
        <w:pStyle w:val="Heading1"/>
        <w:spacing w:before="360" w:after="120"/>
      </w:pPr>
      <w:r>
        <w:rPr>
          <w:rFonts w:ascii="Arial" w:cs="Arial" w:eastAsia="Arial" w:hAnsi="Arial"/>
          <w:b/>
          <w:bCs/>
          <w:color w:val="1B3A6B"/>
          <w:sz w:val="32"/>
          <w:szCs w:val="32"/>
        </w:rPr>
        <w:t xml:space="preserve">9. Scale-Up Vision</w:t>
      </w:r>
    </w:p>
    <w:p>
      <w:pPr>
        <w:spacing w:before="60" w:after="60"/>
      </w:pPr>
      <w:r>
        <w:rPr>
          <w:rFonts w:ascii="Arial" w:cs="Arial" w:eastAsia="Arial" w:hAnsi="Arial"/>
          <w:sz w:val="20"/>
          <w:szCs w:val="20"/>
        </w:rPr>
        <w:t xml:space="preserve">If the pilot succeeds, ABC Bank can expand the tokenisation programme progressively:</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13"/>
        <w:gridCol w:w="2513"/>
        <w:gridCol w:w="2000"/>
      </w:tblGrid>
      <w:tr>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Phase</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Scope</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Volume</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Timeline</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Pilot</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1 FD, 1 depositor</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INR 30,00,000</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Year 1</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Scale 1</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100 FDs, retail depositors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INR 50 Cr</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Year 2</w:t>
            </w:r>
          </w:p>
        </w:tc>
      </w:tr>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Scale 2</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Corporate FDs + NRE/NRO</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INR 500 Cr</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Year 3</w:t>
            </w:r>
          </w:p>
        </w:tc>
      </w:tr>
      <w:tr>
        <w:tc>
          <w:tcPr>
            <w:tcW w:type="auto" w:w="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9"/>
                <w:szCs w:val="19"/>
              </w:rPr>
              <w:t xml:space="preserve">Full Production</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All FD products, inter-bank transfers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INR 5,000 Cr+</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Year 4–5</w:t>
            </w:r>
          </w:p>
        </w:tc>
      </w:tr>
    </w:tbl>
    <w:p>
      <w:pPr>
        <w:spacing w:before="80" w:after="80"/>
      </w:pPr>
      <w:r>
        <w:t xml:space="preserve"/>
      </w:r>
    </w:p>
    <w:p>
      <w:pPr>
        <w:pStyle w:val="Heading2"/>
        <w:spacing w:before="280" w:after="100"/>
      </w:pPr>
      <w:r>
        <w:rPr>
          <w:rFonts w:ascii="Arial" w:cs="Arial" w:eastAsia="Arial" w:hAnsi="Arial"/>
          <w:b/>
          <w:bCs/>
          <w:color w:val="1B3A6B"/>
          <w:sz w:val="26"/>
          <w:szCs w:val="26"/>
        </w:rPr>
        <w:t xml:space="preserve">9.1 Future Instrument Extensions</w:t>
      </w:r>
    </w:p>
    <w:p>
      <w:pPr>
        <w:pStyle w:val="ListParagraph"/>
        <w:numPr>
          <w:ilvl w:val="0"/>
          <w:numId w:val="2"/>
        </w:numPr>
        <w:spacing w:before="40" w:after="40"/>
      </w:pPr>
      <w:r>
        <w:rPr>
          <w:rFonts w:ascii="Arial" w:cs="Arial" w:eastAsia="Arial" w:hAnsi="Arial"/>
          <w:b w:val="false"/>
          <w:bCs w:val="false"/>
          <w:sz w:val="20"/>
          <w:szCs w:val="20"/>
        </w:rPr>
        <w:t xml:space="preserve">Recurring Deposit (RD) — monthly CAT minting on each instalment</w:t>
      </w:r>
    </w:p>
    <w:p>
      <w:pPr>
        <w:pStyle w:val="ListParagraph"/>
        <w:numPr>
          <w:ilvl w:val="0"/>
          <w:numId w:val="2"/>
        </w:numPr>
        <w:spacing w:before="40" w:after="40"/>
      </w:pPr>
      <w:r>
        <w:rPr>
          <w:rFonts w:ascii="Arial" w:cs="Arial" w:eastAsia="Arial" w:hAnsi="Arial"/>
          <w:b w:val="false"/>
          <w:bCs w:val="false"/>
          <w:sz w:val="20"/>
          <w:szCs w:val="20"/>
        </w:rPr>
        <w:t xml:space="preserve">NRE/NRO Fixed Deposits — DID linked to FEMA-compliant identity</w:t>
      </w:r>
    </w:p>
    <w:p>
      <w:pPr>
        <w:pStyle w:val="ListParagraph"/>
        <w:numPr>
          <w:ilvl w:val="0"/>
          <w:numId w:val="2"/>
        </w:numPr>
        <w:spacing w:before="40" w:after="40"/>
      </w:pPr>
      <w:r>
        <w:rPr>
          <w:rFonts w:ascii="Arial" w:cs="Arial" w:eastAsia="Arial" w:hAnsi="Arial"/>
          <w:b w:val="false"/>
          <w:bCs w:val="false"/>
          <w:sz w:val="20"/>
          <w:szCs w:val="20"/>
        </w:rPr>
        <w:t xml:space="preserve">Corporate FDs — multi-sig puzzle requiring board resolution DID</w:t>
      </w:r>
    </w:p>
    <w:p>
      <w:pPr>
        <w:pStyle w:val="ListParagraph"/>
        <w:numPr>
          <w:ilvl w:val="0"/>
          <w:numId w:val="2"/>
        </w:numPr>
        <w:spacing w:before="40" w:after="40"/>
      </w:pPr>
      <w:r>
        <w:rPr>
          <w:rFonts w:ascii="Arial" w:cs="Arial" w:eastAsia="Arial" w:hAnsi="Arial"/>
          <w:b w:val="false"/>
          <w:bCs w:val="false"/>
          <w:sz w:val="20"/>
          <w:szCs w:val="20"/>
        </w:rPr>
        <w:t xml:space="preserve">Bank Guarantee — Singleton token (unique instrument) via chia/wallet/singleton.py</w:t>
      </w:r>
    </w:p>
    <w:p>
      <w:pPr>
        <w:pStyle w:val="ListParagraph"/>
        <w:numPr>
          <w:ilvl w:val="0"/>
          <w:numId w:val="2"/>
        </w:numPr>
        <w:spacing w:before="40" w:after="40"/>
      </w:pPr>
      <w:r>
        <w:rPr>
          <w:rFonts w:ascii="Arial" w:cs="Arial" w:eastAsia="Arial" w:hAnsi="Arial"/>
          <w:b w:val="false"/>
          <w:bCs w:val="false"/>
          <w:sz w:val="20"/>
          <w:szCs w:val="20"/>
        </w:rPr>
        <w:t xml:space="preserve">Margin Deposit (F&amp;O) — clawback triggered by broker margin call</w:t>
      </w:r>
    </w:p>
    <w:p>
      <w:pPr>
        <w:pStyle w:val="ListParagraph"/>
        <w:numPr>
          <w:ilvl w:val="0"/>
          <w:numId w:val="2"/>
        </w:numPr>
        <w:spacing w:before="40" w:after="40"/>
      </w:pPr>
      <w:r>
        <w:rPr>
          <w:rFonts w:ascii="Arial" w:cs="Arial" w:eastAsia="Arial" w:hAnsi="Arial"/>
          <w:b w:val="false"/>
          <w:bCs w:val="false"/>
          <w:sz w:val="20"/>
          <w:szCs w:val="20"/>
        </w:rPr>
        <w:t xml:space="preserve">Provident Fund Units — transfer-restricted CAT with lock-in puzzle</w:t>
      </w:r>
    </w:p>
    <w:p>
      <w:r>
        <w:br w:type="page"/>
      </w:r>
    </w:p>
    <w:p>
      <w:pPr>
        <w:pStyle w:val="Heading1"/>
        <w:spacing w:before="360" w:after="120"/>
      </w:pPr>
      <w:r>
        <w:rPr>
          <w:rFonts w:ascii="Arial" w:cs="Arial" w:eastAsia="Arial" w:hAnsi="Arial"/>
          <w:b/>
          <w:bCs/>
          <w:color w:val="1B3A6B"/>
          <w:sz w:val="32"/>
          <w:szCs w:val="32"/>
        </w:rPr>
        <w:t xml:space="preserve">10. Conclusion</w:t>
      </w:r>
    </w:p>
    <w:p>
      <w:pPr>
        <w:spacing w:before="60" w:after="60"/>
      </w:pPr>
      <w:r>
        <w:rPr>
          <w:rFonts w:ascii="Arial" w:cs="Arial" w:eastAsia="Arial" w:hAnsi="Arial"/>
          <w:sz w:val="20"/>
          <w:szCs w:val="20"/>
        </w:rPr>
        <w:t xml:space="preserve">The tokenisation of ABC Bank's INR 30,00,000 Fixed Deposit on Chia Blockchain is a technically sound, commercially feasible, and regulatorily tractable proof-of-concept. Every component required — CAT tokens, clawback, DID, DataLayer, timelock conditions, and private deployment simulator — is available in the open-source chia-blockchain repository without any third-party dependency.</w:t>
      </w:r>
    </w:p>
    <w:p>
      <w:pPr>
        <w:spacing w:before="80" w:after="80"/>
      </w:pPr>
      <w:r>
        <w:t xml:space="preserve"/>
      </w:r>
    </w:p>
    <w:p>
      <w:pPr>
        <w:spacing w:before="60" w:after="60"/>
      </w:pPr>
      <w:r>
        <w:rPr>
          <w:rFonts w:ascii="Arial" w:cs="Arial" w:eastAsia="Arial" w:hAnsi="Arial"/>
          <w:sz w:val="20"/>
          <w:szCs w:val="20"/>
        </w:rPr>
        <w:t xml:space="preserve">The pilot does not require any public cryptocurrency exposure, does not modify existing core banking systems, and is fully reversible. It demonstrates that programmable, auditable, self-enforcing deposit instruments are achievable within India's regulated banking framework.</w:t>
      </w:r>
    </w:p>
    <w:p>
      <w:pPr>
        <w:spacing w:before="80" w:after="80"/>
      </w:pPr>
      <w:r>
        <w:t xml:space="preserve"/>
      </w:r>
    </w:p>
    <w:p>
      <w:pPr>
        <w:spacing w:before="60" w:after="60"/>
      </w:pPr>
      <w:r>
        <w:rPr>
          <w:rFonts w:ascii="Arial" w:cs="Arial" w:eastAsia="Arial" w:hAnsi="Arial"/>
          <w:b w:val="false"/>
          <w:bCs w:val="false"/>
          <w:sz w:val="20"/>
          <w:szCs w:val="20"/>
        </w:rPr>
        <w:t xml:space="preserve">ABC Bank has an opportunity to be the first Indian bank to demonstrate blockchain-native deposit lifecycle management — positioning itself ahead of the RBI's expected CBDC and tokenisation frameworks.</w:t>
      </w:r>
    </w:p>
    <w:p>
      <w:pPr>
        <w:spacing w:before="80" w:after="80"/>
      </w:pPr>
      <w:r>
        <w:t xml:space="preserve"/>
      </w:r>
    </w:p>
    <w:p>
      <w:pPr>
        <w:pBdr>
          <w:bottom w:val="single" w:color="1B3A6B" w:sz="4" w:space="1"/>
        </w:pBdr>
        <w:spacing w:before="120" w:after="120"/>
      </w:pPr>
      <w:r>
        <w:t xml:space="preserve"/>
      </w:r>
    </w:p>
    <w:p>
      <w:pPr>
        <w:spacing w:before="200" w:after="60"/>
        <w:jc w:val="center"/>
      </w:pPr>
      <w:r>
        <w:rPr>
          <w:rFonts w:ascii="Arial" w:cs="Arial" w:eastAsia="Arial" w:hAnsi="Arial"/>
          <w:i/>
          <w:iCs/>
          <w:color w:val="999999"/>
          <w:sz w:val="18"/>
          <w:szCs w:val="18"/>
        </w:rPr>
        <w:t xml:space="preserve">Prepared for ABC Bank Limited — Internal Use Only</w:t>
      </w:r>
    </w:p>
    <w:p>
      <w:pPr>
        <w:jc w:val="center"/>
      </w:pPr>
      <w:r>
        <w:rPr>
          <w:rFonts w:ascii="Arial" w:cs="Arial" w:eastAsia="Arial" w:hAnsi="Arial"/>
          <w:i/>
          <w:iCs/>
          <w:color w:val="999999"/>
          <w:sz w:val="18"/>
          <w:szCs w:val="18"/>
        </w:rPr>
        <w:t xml:space="preserve">Technology &amp; Digital Banking Division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tabs>
        <w:tab w:val="right" w:pos="9026"/>
      </w:tabs>
    </w:pPr>
    <w:r>
      <w:rPr>
        <w:rFonts w:ascii="Arial" w:cs="Arial" w:eastAsia="Arial" w:hAnsi="Arial"/>
        <w:color w:val="888888"/>
        <w:sz w:val="16"/>
        <w:szCs w:val="16"/>
      </w:rPr>
      <w:t xml:space="preserve">ABCFD-001 Pilot Document  |  March 2026</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pPr>
    <w:r>
      <w:rPr>
        <w:rFonts w:ascii="Arial" w:cs="Arial" w:eastAsia="Arial" w:hAnsi="Arial"/>
        <w:color w:val="888888"/>
        <w:sz w:val="16"/>
        <w:szCs w:val="16"/>
      </w:rPr>
      <w:t xml:space="preserve">ABC Bank Limited  |  Fixed Deposit Tokenisation Pilot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2026-03-13T07:48:44.099Z</dcterms:created>
  <dcterms:modified xsi:type="dcterms:W3CDTF">2026-03-13T07:48:44.100Z</dcterms:modified>
</cp:coreProperties>
</file>

<file path=docProps/custom.xml><?xml version="1.0" encoding="utf-8"?>
<Properties xmlns="http://schemas.openxmlformats.org/officeDocument/2006/custom-properties" xmlns:vt="http://schemas.openxmlformats.org/officeDocument/2006/docPropsVTypes"/>
</file>